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66479C" w:rsidR="004860F0" w:rsidRDefault="00775E93" w:rsidRPr="00A313F3">
      <w:pPr>
        <w:jc w:val="center"/>
        <w:rPr>
          <w:b/>
        </w:rPr>
      </w:pPr>
      <w:r w:rsidRPr="00A313F3">
        <w:rPr>
          <w:b/>
        </w:rPr>
        <w:t>NE</w:t>
      </w:r>
      <w:r w:rsidR="006324BD">
        <w:rPr>
          <w:b/>
        </w:rPr>
        <w:t>GOCIA</w:t>
      </w:r>
      <w:r w:rsidR="00BE0233">
        <w:rPr>
          <w:b/>
        </w:rPr>
        <w:t xml:space="preserve">TION ANNUELLE EXERCICE </w:t>
      </w:r>
      <w:r w:rsidR="00E65F43">
        <w:rPr>
          <w:b/>
        </w:rPr>
        <w:t>2023</w:t>
      </w:r>
    </w:p>
    <w:p w:rsidP="0066479C" w:rsidR="00775E93" w:rsidRDefault="00775E93">
      <w:pPr>
        <w:jc w:val="center"/>
        <w:rPr>
          <w:b/>
        </w:rPr>
      </w:pPr>
      <w:r w:rsidRPr="00A313F3">
        <w:rPr>
          <w:b/>
        </w:rPr>
        <w:t>ACCORD D’ENTREPRISE</w:t>
      </w:r>
    </w:p>
    <w:p w:rsidP="0066479C" w:rsidR="001A7300" w:rsidRDefault="001A7300">
      <w:pPr>
        <w:jc w:val="both"/>
      </w:pPr>
    </w:p>
    <w:p w:rsidP="0066479C" w:rsidR="00775E93" w:rsidRDefault="001A7300" w:rsidRPr="008B375E">
      <w:pPr>
        <w:jc w:val="both"/>
        <w:rPr>
          <w:i/>
        </w:rPr>
      </w:pPr>
      <w:r w:rsidRPr="008B375E">
        <w:rPr>
          <w:i/>
        </w:rPr>
        <w:t>Entre</w:t>
      </w:r>
      <w:r w:rsidR="008B375E" w:rsidRPr="008B375E">
        <w:rPr>
          <w:i/>
        </w:rPr>
        <w:t xml:space="preserve"> les soussignés</w:t>
      </w:r>
      <w:r w:rsidRPr="008B375E">
        <w:rPr>
          <w:i/>
        </w:rPr>
        <w:t>,</w:t>
      </w:r>
    </w:p>
    <w:p w:rsidP="0066479C" w:rsidR="00775E93" w:rsidRDefault="00775E93">
      <w:pPr>
        <w:jc w:val="both"/>
      </w:pPr>
      <w:r>
        <w:t>La Direction de BIO H</w:t>
      </w:r>
      <w:r w:rsidR="00C0059D">
        <w:t>ABITAT</w:t>
      </w:r>
      <w:r>
        <w:t xml:space="preserve">, dont le siège social est ZI de la Folie Sud – rue Charles Tellier – 85310 </w:t>
      </w:r>
      <w:r w:rsidR="00BE0233">
        <w:t xml:space="preserve">LA CHAIZE LE VICOMTE, </w:t>
      </w:r>
      <w:r w:rsidR="008712BA">
        <w:t>re</w:t>
      </w:r>
      <w:r w:rsidR="00BE0233">
        <w:t>présentée par</w:t>
      </w:r>
      <w:r w:rsidR="00C0059D">
        <w:t xml:space="preserve"> </w:t>
      </w:r>
      <w:r w:rsidR="001A61F8">
        <w:t>XX</w:t>
      </w:r>
      <w:r w:rsidR="00DF012E">
        <w:t>.</w:t>
      </w:r>
    </w:p>
    <w:p w:rsidP="0066479C" w:rsidR="00DF012E" w:rsidRDefault="00DF012E" w:rsidRPr="008B375E">
      <w:pPr>
        <w:jc w:val="both"/>
        <w:rPr>
          <w:i/>
        </w:rPr>
      </w:pPr>
      <w:r w:rsidRPr="008B375E">
        <w:rPr>
          <w:i/>
        </w:rPr>
        <w:t>D’une part,</w:t>
      </w:r>
    </w:p>
    <w:p w:rsidP="0066479C" w:rsidR="00DF012E" w:rsidRDefault="008B375E" w:rsidRPr="008B375E">
      <w:pPr>
        <w:jc w:val="both"/>
        <w:rPr>
          <w:i/>
        </w:rPr>
      </w:pPr>
      <w:r w:rsidRPr="008B375E">
        <w:rPr>
          <w:i/>
        </w:rPr>
        <w:t>Et l</w:t>
      </w:r>
      <w:r w:rsidR="00DF012E" w:rsidRPr="008B375E">
        <w:rPr>
          <w:i/>
        </w:rPr>
        <w:t xml:space="preserve">es </w:t>
      </w:r>
      <w:r w:rsidRPr="008B375E">
        <w:rPr>
          <w:i/>
        </w:rPr>
        <w:t>O</w:t>
      </w:r>
      <w:r w:rsidR="00A313F3" w:rsidRPr="008B375E">
        <w:rPr>
          <w:i/>
        </w:rPr>
        <w:t>rganisations</w:t>
      </w:r>
      <w:r w:rsidR="00DF012E" w:rsidRPr="008B375E">
        <w:rPr>
          <w:i/>
        </w:rPr>
        <w:t xml:space="preserve"> Syndicales</w:t>
      </w:r>
      <w:r w:rsidR="001A7300" w:rsidRPr="008B375E">
        <w:rPr>
          <w:i/>
        </w:rPr>
        <w:t> :</w:t>
      </w:r>
    </w:p>
    <w:p w:rsidP="0066479C" w:rsidR="00DF012E" w:rsidRDefault="00DF012E">
      <w:pPr>
        <w:jc w:val="both"/>
      </w:pPr>
      <w:r>
        <w:t>CFDT repr</w:t>
      </w:r>
      <w:r w:rsidR="0011338A">
        <w:t xml:space="preserve">ésentée par </w:t>
      </w:r>
      <w:r w:rsidR="001A61F8">
        <w:t>XX</w:t>
      </w:r>
      <w:r>
        <w:t>,</w:t>
      </w:r>
    </w:p>
    <w:p w:rsidP="00267102" w:rsidR="00267102" w:rsidRDefault="001A61F8">
      <w:pPr>
        <w:jc w:val="both"/>
      </w:pPr>
      <w:r>
        <w:t>CFTC représentée par XX</w:t>
      </w:r>
      <w:r w:rsidR="00267102">
        <w:t>,</w:t>
      </w:r>
    </w:p>
    <w:p w:rsidP="00267102" w:rsidR="00267102" w:rsidRDefault="00267102">
      <w:pPr>
        <w:jc w:val="both"/>
      </w:pPr>
      <w:r>
        <w:t xml:space="preserve">CGT représentée par </w:t>
      </w:r>
      <w:r w:rsidR="001A61F8">
        <w:t>XX</w:t>
      </w:r>
      <w:r>
        <w:t>,</w:t>
      </w:r>
    </w:p>
    <w:p w:rsidP="0066479C" w:rsidR="009D3F2D" w:rsidRDefault="00DF012E" w:rsidRPr="008B375E">
      <w:pPr>
        <w:jc w:val="both"/>
        <w:rPr>
          <w:i/>
        </w:rPr>
      </w:pPr>
      <w:r w:rsidRPr="008B375E">
        <w:rPr>
          <w:i/>
        </w:rPr>
        <w:t>D’autre part,</w:t>
      </w:r>
    </w:p>
    <w:p w:rsidP="0066479C" w:rsidR="00230839" w:rsidRDefault="005F1460" w:rsidRPr="00FB4436">
      <w:pPr>
        <w:jc w:val="both"/>
        <w:rPr>
          <w:b/>
        </w:rPr>
      </w:pPr>
      <w:r w:rsidRPr="00FB4436">
        <w:rPr>
          <w:b/>
        </w:rPr>
        <w:t>PREAMBULE</w:t>
      </w:r>
    </w:p>
    <w:p w:rsidP="0066479C" w:rsidR="005F1460" w:rsidRDefault="005F1460" w:rsidRPr="00451D22">
      <w:pPr>
        <w:jc w:val="both"/>
      </w:pPr>
      <w:r w:rsidRPr="00451D22">
        <w:t>Conformément aux dispositions des articles L.2242-1 et suivants du Code du Travail, la Société BIO HABITAT a engagé, avec ses partenaires sociaux, une négociation annuelle obligatoire.</w:t>
      </w:r>
    </w:p>
    <w:p w:rsidP="0066479C" w:rsidR="005F1460" w:rsidRDefault="005F1460" w:rsidRPr="00451D22">
      <w:pPr>
        <w:jc w:val="both"/>
      </w:pPr>
      <w:r w:rsidRPr="00451D22">
        <w:t>Dans le cadre de la négociation, les représentants de la Direction de l’entreprise et les Organisations Syndicales se sont réuni</w:t>
      </w:r>
      <w:r w:rsidR="00267102" w:rsidRPr="00451D22">
        <w:t xml:space="preserve">s à quatre reprises, les </w:t>
      </w:r>
      <w:r w:rsidR="00451D22" w:rsidRPr="00451D22">
        <w:t>25 octobre, 10 novembre, 16 novembre et 23 novembre 2022</w:t>
      </w:r>
      <w:r w:rsidRPr="00451D22">
        <w:t xml:space="preserve">. </w:t>
      </w:r>
    </w:p>
    <w:p w:rsidP="00547460" w:rsidR="009D3F2D" w:rsidRDefault="00510C07" w:rsidRPr="007A1082">
      <w:pPr>
        <w:jc w:val="both"/>
      </w:pPr>
      <w:r w:rsidRPr="007A1082">
        <w:t>A l’ouverture d</w:t>
      </w:r>
      <w:r w:rsidR="00547460" w:rsidRPr="007A1082">
        <w:t>e ces négociations, Patrick Mahé</w:t>
      </w:r>
      <w:r w:rsidR="003E1567" w:rsidRPr="007A1082">
        <w:t>, Directeur Général</w:t>
      </w:r>
      <w:r w:rsidRPr="007A1082">
        <w:t xml:space="preserve"> a tenu à rappeler</w:t>
      </w:r>
      <w:r w:rsidR="00547460" w:rsidRPr="007A1082">
        <w:t xml:space="preserve"> que dans le cadre de celles-ci, l’objectif était d’a</w:t>
      </w:r>
      <w:r w:rsidR="002665A9" w:rsidRPr="007A1082">
        <w:t>ccompagner les salariés</w:t>
      </w:r>
      <w:r w:rsidRPr="007A1082">
        <w:t xml:space="preserve"> </w:t>
      </w:r>
      <w:r w:rsidR="00547460" w:rsidRPr="007A1082">
        <w:t>dans le cadre du contexte économ</w:t>
      </w:r>
      <w:r w:rsidR="007A1082" w:rsidRPr="007A1082">
        <w:t xml:space="preserve">ique actuel afin de répondre au mieux aux tensions sur le marché d’emplois et sur le pouvoir d’achat de chacun. </w:t>
      </w:r>
    </w:p>
    <w:p w:rsidP="00C0059D" w:rsidR="007B7730" w:rsidRDefault="007B7730" w:rsidRPr="00971ADC">
      <w:pPr>
        <w:spacing w:before="240"/>
        <w:jc w:val="both"/>
        <w:rPr>
          <w:b/>
        </w:rPr>
      </w:pPr>
      <w:r w:rsidRPr="00971ADC">
        <w:rPr>
          <w:b/>
        </w:rPr>
        <w:t xml:space="preserve">CHAPITRE 1 : </w:t>
      </w:r>
      <w:r w:rsidR="008B375E">
        <w:rPr>
          <w:b/>
        </w:rPr>
        <w:t>CHAMP D’APPLICATION DE L’ACCORD</w:t>
      </w:r>
    </w:p>
    <w:p w:rsidP="0066479C" w:rsidR="007B7730" w:rsidRDefault="007B7730">
      <w:pPr>
        <w:jc w:val="both"/>
      </w:pPr>
      <w:r>
        <w:t>Le présent accord s’applique à l’ensemble du personnel de la société BIO HABITAT.</w:t>
      </w:r>
    </w:p>
    <w:p w:rsidP="0066479C" w:rsidR="007B7730" w:rsidRDefault="007B7730">
      <w:pPr>
        <w:jc w:val="both"/>
      </w:pPr>
      <w:r>
        <w:t xml:space="preserve">Pour définir </w:t>
      </w:r>
      <w:r w:rsidR="00971ADC">
        <w:t>les modalités constitutives</w:t>
      </w:r>
      <w:r>
        <w:t xml:space="preserve"> du présent accord, il a été pris en considération :</w:t>
      </w:r>
    </w:p>
    <w:p w:rsidP="0066479C" w:rsidR="007B7730" w:rsidRDefault="007B7730">
      <w:pPr>
        <w:pStyle w:val="Paragraphedeliste"/>
        <w:numPr>
          <w:ilvl w:val="0"/>
          <w:numId w:val="1"/>
        </w:numPr>
        <w:jc w:val="both"/>
      </w:pPr>
      <w:r>
        <w:t>La situation de l’entreprise au regard de la prévision de ses résul</w:t>
      </w:r>
      <w:r w:rsidR="00CA2C8B">
        <w:t>tats au titre de l’exercice</w:t>
      </w:r>
      <w:r w:rsidR="00E63AE1">
        <w:t xml:space="preserve"> de 2022</w:t>
      </w:r>
      <w:r w:rsidR="00CA2C8B">
        <w:t xml:space="preserve"> </w:t>
      </w:r>
      <w:r w:rsidR="00C0059D">
        <w:t>ainsi que des</w:t>
      </w:r>
      <w:r>
        <w:t xml:space="preserve"> perspec</w:t>
      </w:r>
      <w:r w:rsidR="00C0059D">
        <w:t>tives pour le prochain exercice</w:t>
      </w:r>
    </w:p>
    <w:p w:rsidP="00060B3A" w:rsidR="00060B3A" w:rsidRDefault="00060B3A">
      <w:pPr>
        <w:pStyle w:val="Paragraphedeliste"/>
        <w:numPr>
          <w:ilvl w:val="0"/>
          <w:numId w:val="1"/>
        </w:numPr>
      </w:pPr>
      <w:r w:rsidRPr="00060B3A">
        <w:t>La volonté de créer une dynamique sociale</w:t>
      </w:r>
    </w:p>
    <w:p w:rsidP="0066479C" w:rsidR="00C0059D" w:rsidRDefault="00C0059D">
      <w:pPr>
        <w:pStyle w:val="Paragraphedeliste"/>
        <w:numPr>
          <w:ilvl w:val="0"/>
          <w:numId w:val="1"/>
        </w:numPr>
        <w:jc w:val="both"/>
      </w:pPr>
      <w:r>
        <w:t>Les propositions des organisations syndicales</w:t>
      </w:r>
    </w:p>
    <w:p w:rsidP="00C0059D" w:rsidR="00C0059D" w:rsidRDefault="001A7300">
      <w:pPr>
        <w:pStyle w:val="Paragraphedeliste"/>
        <w:numPr>
          <w:ilvl w:val="0"/>
          <w:numId w:val="1"/>
        </w:numPr>
        <w:jc w:val="both"/>
      </w:pPr>
      <w:r>
        <w:t>Les données relatives au coû</w:t>
      </w:r>
      <w:r w:rsidR="007B7730">
        <w:t>t de la vie définie en prospective par l’INSEE</w:t>
      </w:r>
    </w:p>
    <w:p w:rsidP="00C0059D" w:rsidR="008437B0" w:rsidRDefault="008437B0">
      <w:pPr>
        <w:spacing w:before="240"/>
        <w:jc w:val="both"/>
        <w:rPr>
          <w:b/>
        </w:rPr>
      </w:pPr>
      <w:r w:rsidRPr="00971ADC">
        <w:rPr>
          <w:b/>
        </w:rPr>
        <w:lastRenderedPageBreak/>
        <w:t xml:space="preserve">CHAPITRE 2 : </w:t>
      </w:r>
      <w:r w:rsidR="008B375E">
        <w:rPr>
          <w:b/>
        </w:rPr>
        <w:t>DUREE DE L’ACCORD</w:t>
      </w:r>
    </w:p>
    <w:p w:rsidP="0066479C" w:rsidR="00230839" w:rsidRDefault="008437B0">
      <w:pPr>
        <w:jc w:val="both"/>
      </w:pPr>
      <w:r>
        <w:t>Le présent accord est conclu pour une durée de 12 mois à compter du 1</w:t>
      </w:r>
      <w:r w:rsidRPr="008437B0">
        <w:rPr>
          <w:vertAlign w:val="superscript"/>
        </w:rPr>
        <w:t>er</w:t>
      </w:r>
      <w:r w:rsidR="00812DF4">
        <w:t xml:space="preserve"> janvier</w:t>
      </w:r>
      <w:r w:rsidR="00BE0233">
        <w:t xml:space="preserve"> 20</w:t>
      </w:r>
      <w:r w:rsidR="00812DF4">
        <w:t>2</w:t>
      </w:r>
      <w:r w:rsidR="00E63AE1">
        <w:t>3</w:t>
      </w:r>
      <w:r>
        <w:t>.</w:t>
      </w:r>
      <w:r w:rsidR="00A646BB">
        <w:t xml:space="preserve"> </w:t>
      </w:r>
    </w:p>
    <w:p w:rsidP="00812DF4" w:rsidR="00812DF4" w:rsidRDefault="00812DF4" w:rsidRPr="00812DF4">
      <w:pPr>
        <w:spacing w:before="240"/>
        <w:jc w:val="both"/>
        <w:rPr>
          <w:b/>
        </w:rPr>
      </w:pPr>
      <w:r>
        <w:rPr>
          <w:b/>
        </w:rPr>
        <w:t xml:space="preserve">CHAPITRE 3 : </w:t>
      </w:r>
      <w:r w:rsidR="00E63AE1">
        <w:rPr>
          <w:b/>
        </w:rPr>
        <w:t>REMUNERATION</w:t>
      </w:r>
    </w:p>
    <w:p w:rsidP="00812DF4" w:rsidR="00812DF4" w:rsidRDefault="00812DF4" w:rsidRPr="00812DF4">
      <w:pPr>
        <w:spacing w:before="240"/>
        <w:jc w:val="both"/>
      </w:pPr>
      <w:r w:rsidRPr="00812DF4">
        <w:t>Il a été décidé les mesures suivantes :</w:t>
      </w:r>
    </w:p>
    <w:p w:rsidP="00812DF4" w:rsidR="00812DF4" w:rsidRDefault="00812DF4" w:rsidRPr="00812DF4">
      <w:pPr>
        <w:spacing w:before="240"/>
        <w:jc w:val="both"/>
        <w:rPr>
          <w:b/>
        </w:rPr>
      </w:pPr>
      <w:r w:rsidRPr="00812DF4">
        <w:rPr>
          <w:b/>
        </w:rPr>
        <w:t xml:space="preserve">Pour les catégories Ouvriers – Employés - Technicien </w:t>
      </w:r>
    </w:p>
    <w:p w:rsidP="00812DF4" w:rsidR="00812DF4" w:rsidRDefault="00812DF4" w:rsidRPr="00812DF4">
      <w:pPr>
        <w:spacing w:before="240"/>
        <w:jc w:val="both"/>
        <w:rPr>
          <w:b/>
        </w:rPr>
      </w:pPr>
      <w:r w:rsidRPr="00812DF4">
        <w:rPr>
          <w:b/>
        </w:rPr>
        <w:t>A – Augmentation générale</w:t>
      </w:r>
    </w:p>
    <w:p w:rsidP="00812DF4" w:rsidR="00812DF4" w:rsidRDefault="00812DF4">
      <w:pPr>
        <w:spacing w:before="240"/>
        <w:jc w:val="both"/>
      </w:pPr>
      <w:r w:rsidRPr="00812DF4">
        <w:t xml:space="preserve">Il sera appliqué aux salaires de base </w:t>
      </w:r>
      <w:r w:rsidR="003E1567">
        <w:t xml:space="preserve">une augmentation générale de </w:t>
      </w:r>
      <w:r w:rsidR="002665A9" w:rsidRPr="002665A9">
        <w:t>6</w:t>
      </w:r>
      <w:r w:rsidRPr="002665A9">
        <w:t>%.</w:t>
      </w:r>
    </w:p>
    <w:p w:rsidP="00812DF4" w:rsidR="001F4CFB" w:rsidRDefault="002665A9">
      <w:pPr>
        <w:spacing w:before="240"/>
        <w:jc w:val="both"/>
      </w:pPr>
      <w:r w:rsidRPr="00246A7C">
        <w:t>Les salariés de la catégorie Ouvriers embauchés en 2022 bénéficieront de l’augmentation générale</w:t>
      </w:r>
      <w:r w:rsidR="006335CB" w:rsidRPr="00246A7C">
        <w:t xml:space="preserve"> suivant la grille </w:t>
      </w:r>
      <w:r w:rsidR="005C7D9B">
        <w:t xml:space="preserve">de salaires </w:t>
      </w:r>
      <w:r w:rsidR="006335CB" w:rsidRPr="00246A7C">
        <w:t>établie</w:t>
      </w:r>
      <w:r w:rsidRPr="00246A7C">
        <w:t>.</w:t>
      </w:r>
      <w:r>
        <w:t xml:space="preserve"> </w:t>
      </w:r>
    </w:p>
    <w:p w:rsidP="00812DF4" w:rsidR="00812DF4" w:rsidRDefault="00812DF4" w:rsidRPr="00812DF4">
      <w:pPr>
        <w:spacing w:before="240"/>
        <w:jc w:val="both"/>
        <w:rPr>
          <w:b/>
        </w:rPr>
      </w:pPr>
      <w:r w:rsidRPr="00812DF4">
        <w:rPr>
          <w:b/>
        </w:rPr>
        <w:t>B – Classification et Augmentations Individuelles</w:t>
      </w:r>
    </w:p>
    <w:p w:rsidP="00812DF4" w:rsidR="00812DF4" w:rsidRDefault="00812DF4" w:rsidRPr="00084DD3">
      <w:pPr>
        <w:spacing w:before="240"/>
        <w:jc w:val="both"/>
      </w:pPr>
      <w:r w:rsidRPr="00084DD3">
        <w:t xml:space="preserve">Une enveloppe de </w:t>
      </w:r>
      <w:r w:rsidRPr="002665A9">
        <w:t>0,</w:t>
      </w:r>
      <w:r w:rsidR="002665A9" w:rsidRPr="002665A9">
        <w:t>3</w:t>
      </w:r>
      <w:r w:rsidRPr="002665A9">
        <w:t>%</w:t>
      </w:r>
      <w:r w:rsidRPr="00084DD3">
        <w:t xml:space="preserve"> de la masse salariale de cette catégorie sera dédiée à la révision des situations individue</w:t>
      </w:r>
      <w:r w:rsidR="00ED54F5">
        <w:t>lles (augmentation individuelle)</w:t>
      </w:r>
      <w:r w:rsidRPr="00084DD3">
        <w:t>.</w:t>
      </w:r>
    </w:p>
    <w:p w:rsidP="00812DF4" w:rsidR="005C7D9B" w:rsidRDefault="00812DF4">
      <w:pPr>
        <w:spacing w:before="240"/>
        <w:jc w:val="both"/>
      </w:pPr>
      <w:r w:rsidRPr="00084DD3">
        <w:t>L’augmentation individuelle n’est pas cumulable à une évolution de cl</w:t>
      </w:r>
      <w:r w:rsidR="00084DD3" w:rsidRPr="00084DD3">
        <w:t>assification sur l’exercice 202</w:t>
      </w:r>
      <w:r w:rsidR="00E63AE1">
        <w:t>2</w:t>
      </w:r>
      <w:r w:rsidR="005C7D9B">
        <w:t xml:space="preserve"> ayant impliqué une modification du taux horaire.</w:t>
      </w:r>
    </w:p>
    <w:p w:rsidP="00812DF4" w:rsidR="00510C07" w:rsidRDefault="005C7D9B" w:rsidRPr="00B77F6E">
      <w:pPr>
        <w:spacing w:before="240"/>
        <w:jc w:val="both"/>
        <w:rPr>
          <w:b/>
        </w:rPr>
      </w:pPr>
      <w:r w:rsidRPr="00B77F6E">
        <w:rPr>
          <w:b/>
        </w:rPr>
        <w:t xml:space="preserve"> </w:t>
      </w:r>
      <w:r w:rsidR="00ED54F5" w:rsidRPr="00B77F6E">
        <w:rPr>
          <w:b/>
        </w:rPr>
        <w:t>Pour la catégorie « Agent de Maitrise »</w:t>
      </w:r>
    </w:p>
    <w:p w:rsidP="00ED54F5" w:rsidR="00ED54F5" w:rsidRDefault="00ED54F5" w:rsidRPr="00B77F6E">
      <w:pPr>
        <w:spacing w:before="240"/>
        <w:jc w:val="both"/>
        <w:rPr>
          <w:b/>
        </w:rPr>
      </w:pPr>
      <w:r w:rsidRPr="00B77F6E">
        <w:rPr>
          <w:b/>
        </w:rPr>
        <w:t>A – Augmentation générale</w:t>
      </w:r>
    </w:p>
    <w:p w:rsidP="00246A7C" w:rsidR="00246A7C" w:rsidRDefault="00ED54F5">
      <w:pPr>
        <w:spacing w:before="240"/>
        <w:jc w:val="both"/>
      </w:pPr>
      <w:r w:rsidRPr="00B77F6E">
        <w:t xml:space="preserve">Il sera appliqué aux salaires de base </w:t>
      </w:r>
      <w:r w:rsidR="00E63AE1">
        <w:t xml:space="preserve">une augmentation générale </w:t>
      </w:r>
      <w:r w:rsidR="00E63AE1" w:rsidRPr="002665A9">
        <w:t xml:space="preserve">de </w:t>
      </w:r>
      <w:r w:rsidR="002665A9" w:rsidRPr="002665A9">
        <w:t>5.5</w:t>
      </w:r>
      <w:r w:rsidRPr="002665A9">
        <w:t xml:space="preserve"> %.</w:t>
      </w:r>
    </w:p>
    <w:p w:rsidP="00ED54F5" w:rsidR="00ED54F5" w:rsidRDefault="00246A7C">
      <w:pPr>
        <w:spacing w:before="240"/>
        <w:jc w:val="both"/>
      </w:pPr>
      <w:r w:rsidRPr="00246A7C">
        <w:t xml:space="preserve"> Les salariés de la catégorie « Agent de Maitrise » embauchés </w:t>
      </w:r>
      <w:r>
        <w:t xml:space="preserve">à compter du </w:t>
      </w:r>
      <w:r w:rsidRPr="00246A7C">
        <w:t>1</w:t>
      </w:r>
      <w:r w:rsidRPr="00246A7C">
        <w:rPr>
          <w:vertAlign w:val="superscript"/>
        </w:rPr>
        <w:t>er</w:t>
      </w:r>
      <w:r w:rsidRPr="00246A7C">
        <w:t xml:space="preserve"> septembre 2022 ne sont p</w:t>
      </w:r>
      <w:r w:rsidR="005C7D9B">
        <w:t>as éligibles à cette augmentation</w:t>
      </w:r>
      <w:r w:rsidRPr="00246A7C">
        <w:t xml:space="preserve">. </w:t>
      </w:r>
    </w:p>
    <w:p w:rsidP="00812DF4" w:rsidR="00510C07" w:rsidRDefault="00ED54F5" w:rsidRPr="002665A9">
      <w:pPr>
        <w:spacing w:before="240"/>
        <w:jc w:val="both"/>
        <w:rPr>
          <w:b/>
        </w:rPr>
      </w:pPr>
      <w:r w:rsidRPr="002665A9">
        <w:rPr>
          <w:b/>
        </w:rPr>
        <w:t>B – Augmentations Individuelles</w:t>
      </w:r>
    </w:p>
    <w:p w:rsidP="00547460" w:rsidR="009D3F2D" w:rsidRDefault="00ED54F5" w:rsidRPr="002665A9">
      <w:pPr>
        <w:spacing w:before="240"/>
        <w:jc w:val="both"/>
      </w:pPr>
      <w:r w:rsidRPr="002665A9">
        <w:t xml:space="preserve">Une enveloppe de </w:t>
      </w:r>
      <w:r w:rsidR="002665A9" w:rsidRPr="002665A9">
        <w:t>0,3</w:t>
      </w:r>
      <w:r w:rsidRPr="002665A9">
        <w:t xml:space="preserve"> % de la masse salariale</w:t>
      </w:r>
      <w:r w:rsidRPr="00B77F6E">
        <w:t xml:space="preserve"> de cette catégorie sera dédiée à la révision des situations individuelles (augmentation individuelle).</w:t>
      </w:r>
    </w:p>
    <w:p w:rsidP="00812DF4" w:rsidR="00246A7C" w:rsidRDefault="00246A7C">
      <w:pPr>
        <w:spacing w:before="240"/>
        <w:jc w:val="both"/>
        <w:rPr>
          <w:b/>
        </w:rPr>
      </w:pPr>
    </w:p>
    <w:p w:rsidP="00812DF4" w:rsidR="00246A7C" w:rsidRDefault="00246A7C">
      <w:pPr>
        <w:spacing w:before="240"/>
        <w:jc w:val="both"/>
        <w:rPr>
          <w:b/>
        </w:rPr>
      </w:pPr>
    </w:p>
    <w:p w:rsidP="00812DF4" w:rsidR="00246A7C" w:rsidRDefault="00246A7C">
      <w:pPr>
        <w:spacing w:before="240"/>
        <w:jc w:val="both"/>
        <w:rPr>
          <w:b/>
        </w:rPr>
      </w:pPr>
    </w:p>
    <w:p w:rsidP="00812DF4" w:rsidR="005C7D9B" w:rsidRDefault="005C7D9B">
      <w:pPr>
        <w:spacing w:before="240"/>
        <w:jc w:val="both"/>
        <w:rPr>
          <w:b/>
        </w:rPr>
      </w:pPr>
    </w:p>
    <w:p w:rsidP="00812DF4" w:rsidR="00E63AE1" w:rsidRDefault="00ED54F5">
      <w:pPr>
        <w:spacing w:before="240"/>
        <w:jc w:val="both"/>
        <w:rPr>
          <w:b/>
        </w:rPr>
      </w:pPr>
      <w:r>
        <w:rPr>
          <w:b/>
        </w:rPr>
        <w:lastRenderedPageBreak/>
        <w:t>Pour la catégorie</w:t>
      </w:r>
      <w:r w:rsidR="00812DF4" w:rsidRPr="00812DF4">
        <w:rPr>
          <w:b/>
        </w:rPr>
        <w:t xml:space="preserve"> « </w:t>
      </w:r>
      <w:r>
        <w:rPr>
          <w:b/>
        </w:rPr>
        <w:t>Cadre »</w:t>
      </w:r>
    </w:p>
    <w:p w:rsidP="00E63AE1" w:rsidR="00E63AE1" w:rsidRDefault="00E63AE1" w:rsidRPr="00B77F6E">
      <w:pPr>
        <w:spacing w:before="240"/>
        <w:jc w:val="both"/>
        <w:rPr>
          <w:b/>
        </w:rPr>
      </w:pPr>
      <w:r w:rsidRPr="00B77F6E">
        <w:rPr>
          <w:b/>
        </w:rPr>
        <w:t>A – Augmentation générale</w:t>
      </w:r>
    </w:p>
    <w:p w:rsidP="00246A7C" w:rsidR="00246A7C" w:rsidRDefault="00E63AE1" w:rsidRPr="00246A7C">
      <w:pPr>
        <w:spacing w:before="240"/>
        <w:jc w:val="both"/>
      </w:pPr>
      <w:r w:rsidRPr="00246A7C">
        <w:t>Il sera appliqué aux salaires de base une augmentation générale de 3.8 %.</w:t>
      </w:r>
    </w:p>
    <w:p w:rsidP="00E63AE1" w:rsidR="00E63AE1" w:rsidRDefault="00246A7C">
      <w:pPr>
        <w:spacing w:before="240"/>
        <w:jc w:val="both"/>
      </w:pPr>
      <w:r w:rsidRPr="00246A7C">
        <w:t xml:space="preserve"> Les salariés de la catégorie « Cadre » embauchés </w:t>
      </w:r>
      <w:r>
        <w:t>à compter du 1</w:t>
      </w:r>
      <w:r w:rsidRPr="00246A7C">
        <w:rPr>
          <w:vertAlign w:val="superscript"/>
        </w:rPr>
        <w:t>er</w:t>
      </w:r>
      <w:r>
        <w:t xml:space="preserve"> septembre </w:t>
      </w:r>
      <w:r w:rsidRPr="00246A7C">
        <w:t>2022 ne sont pa</w:t>
      </w:r>
      <w:r w:rsidR="005C7D9B">
        <w:t>s éligibles à cette augmentation.</w:t>
      </w:r>
      <w:r w:rsidRPr="00246A7C">
        <w:t xml:space="preserve"> </w:t>
      </w:r>
    </w:p>
    <w:p w:rsidP="00E63AE1" w:rsidR="00E63AE1" w:rsidRDefault="00E63AE1" w:rsidRPr="002665A9">
      <w:pPr>
        <w:spacing w:before="240"/>
        <w:jc w:val="both"/>
        <w:rPr>
          <w:b/>
        </w:rPr>
      </w:pPr>
      <w:r w:rsidRPr="002665A9">
        <w:rPr>
          <w:b/>
        </w:rPr>
        <w:t>B – Augmentations Individuelles</w:t>
      </w:r>
    </w:p>
    <w:p w:rsidP="002665A9" w:rsidR="007A1082" w:rsidRDefault="002665A9">
      <w:pPr>
        <w:spacing w:before="240"/>
        <w:jc w:val="both"/>
      </w:pPr>
      <w:r>
        <w:t>Une enveloppe de 1</w:t>
      </w:r>
      <w:r w:rsidR="00E63AE1" w:rsidRPr="002665A9">
        <w:t>,5 % de la masse salariale de cette catégorie sera</w:t>
      </w:r>
      <w:r w:rsidR="00E63AE1" w:rsidRPr="00B77F6E">
        <w:t xml:space="preserve"> dédiée à la révision des situations individuelles (augmentation individuelle).</w:t>
      </w:r>
    </w:p>
    <w:p w:rsidP="002665A9" w:rsidR="007A1082" w:rsidRDefault="005C7D9B" w:rsidRPr="005C7D9B">
      <w:pPr>
        <w:spacing w:before="240"/>
        <w:jc w:val="both"/>
      </w:pPr>
      <w:r>
        <w:t xml:space="preserve">Sur la base des entretiens individuels, les cadres évalués « inférieurs aux attentes » ne pourront pas prétendre à une augmentation individuelle. </w:t>
      </w:r>
    </w:p>
    <w:p w:rsidP="002665A9" w:rsidR="00451D22" w:rsidRDefault="00E63AE1" w:rsidRPr="00246A7C">
      <w:pPr>
        <w:spacing w:before="240"/>
        <w:jc w:val="both"/>
        <w:rPr>
          <w:b/>
        </w:rPr>
      </w:pPr>
      <w:r w:rsidRPr="00246A7C">
        <w:rPr>
          <w:b/>
        </w:rPr>
        <w:t>Pour l’ensemble des catégories, l</w:t>
      </w:r>
      <w:r w:rsidR="00ED54F5" w:rsidRPr="00246A7C">
        <w:rPr>
          <w:b/>
        </w:rPr>
        <w:t>es augmentations i</w:t>
      </w:r>
      <w:r w:rsidR="00F00379" w:rsidRPr="00246A7C">
        <w:rPr>
          <w:b/>
        </w:rPr>
        <w:t xml:space="preserve">ndividuelles seront appliquées </w:t>
      </w:r>
      <w:r w:rsidR="00ED54F5" w:rsidRPr="00246A7C">
        <w:rPr>
          <w:b/>
        </w:rPr>
        <w:t>sur la paie du mois de</w:t>
      </w:r>
      <w:r w:rsidR="00F00379" w:rsidRPr="00246A7C">
        <w:rPr>
          <w:b/>
        </w:rPr>
        <w:t xml:space="preserve"> février 202</w:t>
      </w:r>
      <w:r w:rsidRPr="00246A7C">
        <w:rPr>
          <w:b/>
        </w:rPr>
        <w:t>3</w:t>
      </w:r>
      <w:r w:rsidR="00F00379" w:rsidRPr="00246A7C">
        <w:rPr>
          <w:b/>
        </w:rPr>
        <w:t xml:space="preserve"> à effet rétroactif au 1</w:t>
      </w:r>
      <w:r w:rsidR="00F00379" w:rsidRPr="00246A7C">
        <w:rPr>
          <w:b/>
          <w:vertAlign w:val="superscript"/>
        </w:rPr>
        <w:t>er</w:t>
      </w:r>
      <w:r w:rsidRPr="00246A7C">
        <w:rPr>
          <w:b/>
        </w:rPr>
        <w:t xml:space="preserve"> janvier 2023</w:t>
      </w:r>
      <w:r w:rsidR="00F00379" w:rsidRPr="00246A7C">
        <w:rPr>
          <w:b/>
        </w:rPr>
        <w:t>.</w:t>
      </w:r>
      <w:r w:rsidR="002665A9" w:rsidRPr="00246A7C">
        <w:rPr>
          <w:b/>
        </w:rPr>
        <w:t xml:space="preserve"> Les entretiens annuels devront être impérativement réalisés et fournis au service RH avant toute demande d’AI et au plus tard </w:t>
      </w:r>
      <w:r w:rsidR="00246A7C" w:rsidRPr="00246A7C">
        <w:rPr>
          <w:b/>
        </w:rPr>
        <w:t>mi-janvier</w:t>
      </w:r>
      <w:r w:rsidR="002665A9" w:rsidRPr="00246A7C">
        <w:rPr>
          <w:b/>
        </w:rPr>
        <w:t>.</w:t>
      </w:r>
    </w:p>
    <w:p w:rsidP="00451D22" w:rsidR="00451D22" w:rsidRDefault="00567FD8" w:rsidRPr="002665A9">
      <w:pPr>
        <w:spacing w:before="240"/>
        <w:jc w:val="both"/>
        <w:rPr>
          <w:b/>
        </w:rPr>
      </w:pPr>
      <w:r>
        <w:rPr>
          <w:b/>
        </w:rPr>
        <w:t>CHAPITRE 4</w:t>
      </w:r>
      <w:r w:rsidR="00451D22" w:rsidRPr="002665A9">
        <w:rPr>
          <w:b/>
        </w:rPr>
        <w:t xml:space="preserve"> : </w:t>
      </w:r>
      <w:r w:rsidR="002665A9" w:rsidRPr="002665A9">
        <w:rPr>
          <w:b/>
        </w:rPr>
        <w:t>TICKET-RES</w:t>
      </w:r>
      <w:r w:rsidR="00451D22" w:rsidRPr="002665A9">
        <w:rPr>
          <w:b/>
        </w:rPr>
        <w:t>TAURANT</w:t>
      </w:r>
      <w:r w:rsidR="00315774">
        <w:rPr>
          <w:b/>
        </w:rPr>
        <w:t>/PRIME PANIER</w:t>
      </w:r>
    </w:p>
    <w:p w:rsidP="00451D22" w:rsidR="00451D22" w:rsidRDefault="00451D22">
      <w:pPr>
        <w:spacing w:before="240"/>
        <w:jc w:val="both"/>
      </w:pPr>
      <w:r w:rsidRPr="002665A9">
        <w:t>A compter du 1</w:t>
      </w:r>
      <w:r w:rsidRPr="002665A9">
        <w:rPr>
          <w:vertAlign w:val="superscript"/>
        </w:rPr>
        <w:t>er</w:t>
      </w:r>
      <w:r w:rsidRPr="002665A9">
        <w:t xml:space="preserve"> janvier 2023, il sera attribué à chaque salarié bénéficiaire des 133 tickets restaurant annuels, 30 tickets restaurant supplémentaires, soit 3 sur les 10 mois d’attribution. </w:t>
      </w:r>
    </w:p>
    <w:p w:rsidP="00451D22" w:rsidR="00315774" w:rsidRDefault="00315774" w:rsidRPr="00315774">
      <w:pPr>
        <w:spacing w:before="240"/>
        <w:jc w:val="both"/>
      </w:pPr>
      <w:r>
        <w:t xml:space="preserve">A compter de cette même date, pour les bénéficiaires </w:t>
      </w:r>
      <w:r w:rsidR="007A1082">
        <w:t>du prime panier</w:t>
      </w:r>
      <w:r>
        <w:t>, celle-ci passe de 8.95€ à 9.25€.</w:t>
      </w:r>
    </w:p>
    <w:p w:rsidP="002B0BAC" w:rsidR="00F00379" w:rsidRDefault="00567FD8" w:rsidRPr="002665A9">
      <w:pPr>
        <w:spacing w:after="0"/>
        <w:jc w:val="both"/>
        <w:rPr>
          <w:b/>
        </w:rPr>
      </w:pPr>
      <w:r>
        <w:rPr>
          <w:b/>
        </w:rPr>
        <w:t>CHAPITRE 5</w:t>
      </w:r>
      <w:r w:rsidR="002665A9" w:rsidRPr="002665A9">
        <w:rPr>
          <w:b/>
        </w:rPr>
        <w:t> : PRIME DE NOËL</w:t>
      </w:r>
    </w:p>
    <w:p w:rsidP="002B0BAC" w:rsidR="002665A9" w:rsidRDefault="002665A9">
      <w:pPr>
        <w:spacing w:after="0"/>
        <w:jc w:val="both"/>
      </w:pPr>
    </w:p>
    <w:p w:rsidP="002B0BAC" w:rsidR="00315774" w:rsidRDefault="002665A9">
      <w:pPr>
        <w:spacing w:after="0"/>
        <w:jc w:val="both"/>
      </w:pPr>
      <w:r>
        <w:t>A compter de cette date, la prime de Noël d’un montant de 125€ sera attribuée chaque année sur la paie de</w:t>
      </w:r>
      <w:r w:rsidR="007A1082">
        <w:t xml:space="preserve"> novembre versée au 05 décembre et ne sera plus intégrée aux négociations annuelles obligatoires.</w:t>
      </w:r>
      <w:r>
        <w:t xml:space="preserve"> </w:t>
      </w:r>
    </w:p>
    <w:p w:rsidP="002B0BAC" w:rsidR="00C83161" w:rsidRDefault="00C83161">
      <w:pPr>
        <w:spacing w:after="0"/>
        <w:jc w:val="both"/>
      </w:pPr>
    </w:p>
    <w:p w:rsidP="002B0BAC" w:rsidR="00C83161" w:rsidRDefault="00567FD8" w:rsidRPr="00C83161">
      <w:pPr>
        <w:spacing w:after="0"/>
        <w:jc w:val="both"/>
        <w:rPr>
          <w:b/>
        </w:rPr>
      </w:pPr>
      <w:r>
        <w:rPr>
          <w:b/>
        </w:rPr>
        <w:t>CHAPITRE 6</w:t>
      </w:r>
      <w:r w:rsidR="00C83161" w:rsidRPr="00C83161">
        <w:rPr>
          <w:b/>
        </w:rPr>
        <w:t> : MUTUELLE</w:t>
      </w:r>
      <w:r w:rsidR="00C83161">
        <w:rPr>
          <w:b/>
        </w:rPr>
        <w:t xml:space="preserve"> NON CADRE</w:t>
      </w:r>
    </w:p>
    <w:p w:rsidP="002B0BAC" w:rsidR="008D5F22" w:rsidRDefault="008D5F22">
      <w:pPr>
        <w:spacing w:after="0"/>
        <w:jc w:val="both"/>
      </w:pPr>
    </w:p>
    <w:p w:rsidP="002B0BAC" w:rsidR="00C83161" w:rsidRDefault="008D5F22" w:rsidRPr="00C83161">
      <w:pPr>
        <w:spacing w:after="0"/>
        <w:jc w:val="both"/>
      </w:pPr>
      <w:r>
        <w:t>L</w:t>
      </w:r>
      <w:r w:rsidR="00C83161" w:rsidRPr="00292648">
        <w:t>a partici</w:t>
      </w:r>
      <w:r w:rsidR="00246A7C" w:rsidRPr="00292648">
        <w:t>pation employeur</w:t>
      </w:r>
      <w:r w:rsidR="00C83161" w:rsidRPr="00292648">
        <w:t xml:space="preserve"> </w:t>
      </w:r>
      <w:r w:rsidR="00292648">
        <w:t>sera augmentée de 1,83</w:t>
      </w:r>
      <w:r w:rsidR="004C06AF">
        <w:t>*</w:t>
      </w:r>
      <w:r w:rsidR="005C7D9B">
        <w:t xml:space="preserve"> euros par mois et par salarié (</w:t>
      </w:r>
      <w:r w:rsidR="004C06AF">
        <w:t>*</w:t>
      </w:r>
      <w:r w:rsidR="005C7D9B">
        <w:t>sous réserve d’un plafond de sécurité sociale d’un montant de 3 666 euros).</w:t>
      </w:r>
    </w:p>
    <w:p w:rsidP="00F859F9" w:rsidR="005C7D9B" w:rsidRDefault="005C7D9B">
      <w:pPr>
        <w:spacing w:before="240"/>
        <w:jc w:val="both"/>
        <w:rPr>
          <w:b/>
        </w:rPr>
      </w:pPr>
    </w:p>
    <w:p w:rsidP="00F859F9" w:rsidR="005C7D9B" w:rsidRDefault="005C7D9B">
      <w:pPr>
        <w:spacing w:before="240"/>
        <w:jc w:val="both"/>
        <w:rPr>
          <w:b/>
        </w:rPr>
      </w:pPr>
    </w:p>
    <w:p w:rsidP="00F859F9" w:rsidR="005C7D9B" w:rsidRDefault="005C7D9B">
      <w:pPr>
        <w:spacing w:before="240"/>
        <w:jc w:val="both"/>
        <w:rPr>
          <w:b/>
        </w:rPr>
      </w:pPr>
    </w:p>
    <w:p w:rsidP="00F859F9" w:rsidR="00685B23" w:rsidRDefault="0082724E" w:rsidRPr="00F4316D">
      <w:pPr>
        <w:spacing w:before="240"/>
        <w:jc w:val="both"/>
        <w:rPr>
          <w:b/>
        </w:rPr>
      </w:pPr>
      <w:r>
        <w:rPr>
          <w:b/>
        </w:rPr>
        <w:lastRenderedPageBreak/>
        <w:t xml:space="preserve">CHAPITRE </w:t>
      </w:r>
      <w:r w:rsidR="00F859F9">
        <w:rPr>
          <w:b/>
        </w:rPr>
        <w:t xml:space="preserve"> </w:t>
      </w:r>
      <w:r w:rsidR="002665A9">
        <w:rPr>
          <w:b/>
        </w:rPr>
        <w:t>7</w:t>
      </w:r>
      <w:r w:rsidR="00EC5C88">
        <w:rPr>
          <w:b/>
        </w:rPr>
        <w:t xml:space="preserve"> </w:t>
      </w:r>
      <w:r>
        <w:rPr>
          <w:b/>
        </w:rPr>
        <w:t xml:space="preserve">: </w:t>
      </w:r>
      <w:r w:rsidR="00A94C3A">
        <w:rPr>
          <w:b/>
        </w:rPr>
        <w:t xml:space="preserve"> R</w:t>
      </w:r>
      <w:r w:rsidR="00F859F9">
        <w:rPr>
          <w:b/>
        </w:rPr>
        <w:t>EVISION DE L’ACCORD</w:t>
      </w:r>
    </w:p>
    <w:p w:rsidP="0018538C" w:rsidR="0018538C" w:rsidRDefault="0018538C" w:rsidRPr="00A12A26">
      <w:pPr>
        <w:jc w:val="both"/>
      </w:pPr>
      <w:r w:rsidRPr="00A12A26">
        <w:t>Le présent accord p</w:t>
      </w:r>
      <w:r>
        <w:t>eut</w:t>
      </w:r>
      <w:r w:rsidRPr="00A12A26">
        <w:t xml:space="preserve"> être révisé, à tout moment pendant la période d’application, par accord collectif conclu sous la forme d’un avenant.</w:t>
      </w:r>
    </w:p>
    <w:p w:rsidP="0018538C" w:rsidR="0018538C" w:rsidRDefault="0018538C" w:rsidRPr="00A12A26">
      <w:pPr>
        <w:jc w:val="both"/>
      </w:pPr>
      <w:r w:rsidRPr="00A12A26">
        <w:t>Les organisations syndicales de salariés habilitées à engager la procédure de révision sont déterminées conformément aux dispositions de l’article L. 2261-7-1 du Code du travail.</w:t>
      </w:r>
    </w:p>
    <w:p w:rsidP="0018538C" w:rsidR="0018538C" w:rsidRDefault="0018538C" w:rsidRPr="00A12A26">
      <w:pPr>
        <w:jc w:val="both"/>
      </w:pPr>
      <w:r w:rsidRPr="00A12A26">
        <w:t>La demande d’engagement de la procédure de révision est formulée par lettre recommandée avec accusé de réception ou remise en main propre contre décharge à l’employeur et à chaque organisation habilitée à négocier l’avenant de révision. A la demande de révision sont jointes les modifications que son auteur souhaite apporter au présent accord.</w:t>
      </w:r>
    </w:p>
    <w:p w:rsidP="0018538C" w:rsidR="0018538C" w:rsidRDefault="0018538C" w:rsidRPr="00A12A26">
      <w:pPr>
        <w:jc w:val="both"/>
      </w:pPr>
      <w:r w:rsidRPr="00A12A26">
        <w:t>L’invitation à négocier l’avenant de révision est adressée par l’employeur aux organisations syndicales représentatives dans le mois courant à compter de la notification la plus tardive des demandes d’engagement de la procédure de révision.</w:t>
      </w:r>
    </w:p>
    <w:p w:rsidP="0018538C" w:rsidR="0018538C" w:rsidRDefault="0018538C">
      <w:pPr>
        <w:jc w:val="both"/>
      </w:pPr>
      <w:r w:rsidRPr="00A12A26">
        <w:t>Les conditions de validité de l’avenant de révision obéissent aux conditions posées par l’article L. 2232-12 du Code du travail.</w:t>
      </w:r>
    </w:p>
    <w:p w:rsidP="00F859F9" w:rsidR="00F4316D" w:rsidRDefault="00F4316D">
      <w:pPr>
        <w:spacing w:before="240"/>
        <w:jc w:val="both"/>
        <w:rPr>
          <w:b/>
        </w:rPr>
      </w:pPr>
      <w:r w:rsidRPr="00685B23">
        <w:rPr>
          <w:b/>
        </w:rPr>
        <w:t xml:space="preserve">CHAPITRE </w:t>
      </w:r>
      <w:r w:rsidR="002665A9">
        <w:rPr>
          <w:b/>
        </w:rPr>
        <w:t>8</w:t>
      </w:r>
      <w:r w:rsidRPr="00685B23">
        <w:rPr>
          <w:b/>
        </w:rPr>
        <w:t> :</w:t>
      </w:r>
      <w:r>
        <w:rPr>
          <w:b/>
        </w:rPr>
        <w:t xml:space="preserve"> </w:t>
      </w:r>
      <w:r w:rsidR="00F859F9">
        <w:rPr>
          <w:b/>
        </w:rPr>
        <w:t>PUBLICITE DE L’ACCORD</w:t>
      </w:r>
    </w:p>
    <w:p w:rsidP="0018538C" w:rsidR="0018538C" w:rsidRDefault="0018538C" w:rsidRPr="00A12A26">
      <w:r w:rsidRPr="0010575B">
        <w:t>Conformément aux articles L. 2232-9 et D. 2232-1-2 du Code du travail, le présent accord est adressé pour information à la Commission paritaire de branche.</w:t>
      </w:r>
    </w:p>
    <w:p w:rsidP="002A4D97" w:rsidR="00062B2F" w:rsidRDefault="0018538C">
      <w:r w:rsidRPr="00A12A26">
        <w:t>Conformément à l’article L. 2231-5 du Code</w:t>
      </w:r>
      <w:r>
        <w:t xml:space="preserve"> du travail, le présent accord est</w:t>
      </w:r>
      <w:r w:rsidRPr="00A12A26">
        <w:t xml:space="preserve"> notifié à chacune des organisations </w:t>
      </w:r>
      <w:r w:rsidR="00B77F6E" w:rsidRPr="00A12A26">
        <w:t>représentatives.</w:t>
      </w:r>
      <w:r w:rsidR="00B77F6E">
        <w:t xml:space="preserve"> Les</w:t>
      </w:r>
      <w:r w:rsidR="00062B2F">
        <w:t xml:space="preserve"> formalités de dépôt de cet accord </w:t>
      </w:r>
      <w:r w:rsidR="00062B2F" w:rsidRPr="00A12A26">
        <w:t>auprès</w:t>
      </w:r>
      <w:r w:rsidRPr="00A12A26">
        <w:t xml:space="preserve"> de la Dir</w:t>
      </w:r>
      <w:r w:rsidR="00062B2F">
        <w:t>ection régionale de l’économie, de l’emploi, du travail et des solidarités (DREETS)</w:t>
      </w:r>
      <w:r w:rsidRPr="00A12A26">
        <w:t xml:space="preserve"> </w:t>
      </w:r>
      <w:r>
        <w:t xml:space="preserve">des Pays de la Loire, </w:t>
      </w:r>
      <w:r w:rsidR="00062B2F">
        <w:t xml:space="preserve">seront réalisées en ligne sur le site </w:t>
      </w:r>
      <w:hyperlink r:id="rId8" w:history="1">
        <w:r w:rsidR="00C32028" w:rsidRPr="007706D5">
          <w:rPr>
            <w:rStyle w:val="Lienhypertexte"/>
          </w:rPr>
          <w:t>www.Teleaccords.travail-emploi.gouv.fr</w:t>
        </w:r>
      </w:hyperlink>
      <w:r w:rsidR="00C32028">
        <w:t xml:space="preserve"> </w:t>
      </w:r>
      <w:r w:rsidR="00062B2F">
        <w:t xml:space="preserve">conformément à la procédure légale. </w:t>
      </w:r>
    </w:p>
    <w:p w:rsidP="002A4D97" w:rsidR="00062B2F" w:rsidRDefault="00062B2F">
      <w:r>
        <w:t>Le présent accord sera par ailleurs déposé au Greffe du conseil de Prud’hommes de la Roche sur Yon.</w:t>
      </w:r>
    </w:p>
    <w:p w:rsidP="0018538C" w:rsidR="0018538C" w:rsidRDefault="0018538C">
      <w:pPr>
        <w:pStyle w:val="BBBodyTextNoSpacing"/>
        <w:contextualSpacing/>
      </w:pPr>
      <w:r>
        <w:t xml:space="preserve">En application de l’article R. 2231-1-1 du Code du travail une version </w:t>
      </w:r>
      <w:proofErr w:type="spellStart"/>
      <w:r>
        <w:t>anonymisée</w:t>
      </w:r>
      <w:proofErr w:type="spellEnd"/>
      <w:r>
        <w:t xml:space="preserve"> de l’accord sera également déposée.</w:t>
      </w:r>
    </w:p>
    <w:p w:rsidP="0018538C" w:rsidR="0018538C" w:rsidRDefault="0018538C">
      <w:pPr>
        <w:pStyle w:val="BBBodyTextNoSpacing"/>
        <w:contextualSpacing/>
      </w:pPr>
    </w:p>
    <w:p w:rsidP="0018538C" w:rsidR="0018538C" w:rsidRDefault="0018538C">
      <w:pPr>
        <w:pStyle w:val="BBBodyTextNoSpacing"/>
        <w:contextualSpacing/>
      </w:pPr>
      <w:r>
        <w:t>Le présent accord sera porté à la connaissance du personnel par voie d’affichage.</w:t>
      </w:r>
    </w:p>
    <w:p w:rsidP="0018538C" w:rsidR="00062B2F" w:rsidRDefault="00062B2F">
      <w:pPr>
        <w:pStyle w:val="BBBodyTextNoSpacing"/>
        <w:contextualSpacing/>
      </w:pPr>
    </w:p>
    <w:p w:rsidP="0018538C" w:rsidR="0018538C" w:rsidRDefault="0018538C">
      <w:pPr>
        <w:pStyle w:val="BBBodyTextNoSpacing"/>
        <w:contextualSpacing/>
      </w:pPr>
      <w:r>
        <w:t>Un exemplaire sera remis aux organisat</w:t>
      </w:r>
      <w:r w:rsidR="00062B2F">
        <w:t>ions syndicales représentatives et signataires du présent accord.</w:t>
      </w:r>
    </w:p>
    <w:p w:rsidP="0018538C" w:rsidR="0018538C" w:rsidRDefault="0018538C">
      <w:pPr>
        <w:pStyle w:val="BBBodyTextNoSpacing"/>
        <w:contextualSpacing/>
      </w:pPr>
    </w:p>
    <w:p w:rsidP="0018538C" w:rsidR="004C06AF" w:rsidRDefault="004C06AF">
      <w:pPr>
        <w:pStyle w:val="BBBodyTextNoSpacing"/>
        <w:contextualSpacing/>
      </w:pPr>
    </w:p>
    <w:p w:rsidP="0018538C" w:rsidR="004C06AF" w:rsidRDefault="004C06AF">
      <w:pPr>
        <w:pStyle w:val="BBBodyTextNoSpacing"/>
        <w:contextualSpacing/>
      </w:pPr>
    </w:p>
    <w:p w:rsidP="0018538C" w:rsidR="004C06AF" w:rsidRDefault="004C06AF">
      <w:pPr>
        <w:pStyle w:val="BBBodyTextNoSpacing"/>
        <w:contextualSpacing/>
      </w:pPr>
    </w:p>
    <w:p w:rsidP="0018538C" w:rsidR="004C06AF" w:rsidRDefault="004C06AF">
      <w:pPr>
        <w:pStyle w:val="BBBodyTextNoSpacing"/>
        <w:contextualSpacing/>
      </w:pPr>
    </w:p>
    <w:p w:rsidP="0018538C" w:rsidR="004C06AF" w:rsidRDefault="004C06AF">
      <w:pPr>
        <w:pStyle w:val="BBBodyTextNoSpacing"/>
        <w:contextualSpacing/>
      </w:pPr>
    </w:p>
    <w:p w:rsidP="0018538C" w:rsidR="004C06AF" w:rsidRDefault="004C06AF">
      <w:pPr>
        <w:pStyle w:val="BBBodyTextNoSpacing"/>
        <w:contextualSpacing/>
      </w:pPr>
    </w:p>
    <w:p w:rsidP="0018538C" w:rsidR="004C06AF" w:rsidRDefault="004C06AF">
      <w:pPr>
        <w:pStyle w:val="BBBodyTextNoSpacing"/>
        <w:contextualSpacing/>
      </w:pPr>
    </w:p>
    <w:p w:rsidP="0018538C" w:rsidR="004C06AF" w:rsidRDefault="004C06AF">
      <w:pPr>
        <w:pStyle w:val="BBBodyTextNoSpacing"/>
        <w:contextualSpacing/>
      </w:pPr>
    </w:p>
    <w:p w:rsidP="0018538C" w:rsidR="004C06AF" w:rsidRDefault="004C06AF">
      <w:pPr>
        <w:pStyle w:val="BBBodyTextNoSpacing"/>
        <w:contextualSpacing/>
      </w:pPr>
    </w:p>
    <w:p w:rsidP="0018538C" w:rsidR="0018538C" w:rsidRDefault="0018538C">
      <w:pPr>
        <w:pStyle w:val="BBBodyTextNoSpacing"/>
        <w:contextualSpacing/>
      </w:pPr>
      <w:r w:rsidRPr="00590702">
        <w:t>Fait à La-Chaize-le-Vicomte</w:t>
      </w:r>
      <w:r w:rsidR="00E63AE1">
        <w:t>, le 23/11/ 2022</w:t>
      </w:r>
      <w:r w:rsidR="002A4D97">
        <w:t xml:space="preserve">. </w:t>
      </w:r>
    </w:p>
    <w:p w:rsidP="0018538C" w:rsidR="00B24470" w:rsidRDefault="00B24470">
      <w:pPr>
        <w:pStyle w:val="BBBodyTextNoSpacing"/>
        <w:contextualSpacing/>
      </w:pPr>
    </w:p>
    <w:p w:rsidP="0018538C" w:rsidR="002A4D97" w:rsidRDefault="002A4D97">
      <w:pPr>
        <w:pStyle w:val="BBBodyTextNoSpacing"/>
        <w:contextualSpacing/>
      </w:pPr>
    </w:p>
    <w:p w:rsidP="0018538C" w:rsidR="002A4D97" w:rsidRDefault="002A4D97">
      <w:pPr>
        <w:pStyle w:val="BBBodyTextNoSpacing"/>
        <w:contextualSpacing/>
      </w:pPr>
      <w:r>
        <w:t>Pour la société BIO HABITAT :</w:t>
      </w:r>
    </w:p>
    <w:p w:rsidP="0018538C" w:rsidR="002A4D97" w:rsidRDefault="002A4D97" w:rsidRPr="00590702">
      <w:pPr>
        <w:pStyle w:val="BBBodyTextNoSpacing"/>
        <w:contextualSpacing/>
      </w:pPr>
    </w:p>
    <w:p w:rsidP="0066479C" w:rsidR="00A713A0" w:rsidRDefault="001A61F8">
      <w:pPr>
        <w:jc w:val="both"/>
      </w:pPr>
      <w:r>
        <w:t>XX</w:t>
      </w:r>
    </w:p>
    <w:p w:rsidP="0066479C" w:rsidR="00B24470" w:rsidRDefault="00B24470">
      <w:pPr>
        <w:jc w:val="both"/>
      </w:pPr>
    </w:p>
    <w:p w:rsidP="0066479C" w:rsidR="00153156" w:rsidRDefault="00153156">
      <w:pPr>
        <w:jc w:val="both"/>
      </w:pPr>
      <w:r>
        <w:t xml:space="preserve">Pour les organisations syndicales </w:t>
      </w:r>
    </w:p>
    <w:p w:rsidP="00E63AE1" w:rsidR="00E63AE1" w:rsidRDefault="00E63AE1">
      <w:pPr>
        <w:jc w:val="both"/>
      </w:pPr>
      <w:r>
        <w:t xml:space="preserve">CFDT représentée par </w:t>
      </w:r>
      <w:r w:rsidR="001A61F8">
        <w:t>XX</w:t>
      </w:r>
      <w:r>
        <w:t>,</w:t>
      </w:r>
    </w:p>
    <w:p w:rsidP="0066479C" w:rsidR="00B24470" w:rsidRDefault="00B24470">
      <w:pPr>
        <w:jc w:val="both"/>
      </w:pPr>
    </w:p>
    <w:p w:rsidP="0066479C" w:rsidR="00153156" w:rsidRDefault="00153156">
      <w:pPr>
        <w:jc w:val="both"/>
      </w:pPr>
      <w:r>
        <w:t>CFT</w:t>
      </w:r>
      <w:r w:rsidR="00A713A0">
        <w:t>C re</w:t>
      </w:r>
      <w:r w:rsidR="008213C4">
        <w:t xml:space="preserve">présentée par </w:t>
      </w:r>
      <w:r w:rsidR="001A61F8">
        <w:t>XX</w:t>
      </w:r>
      <w:r w:rsidR="00D1362D">
        <w:t>,</w:t>
      </w:r>
    </w:p>
    <w:p w:rsidP="0066479C" w:rsidR="0040597E" w:rsidRDefault="0040597E">
      <w:pPr>
        <w:jc w:val="both"/>
      </w:pPr>
    </w:p>
    <w:p w:rsidP="0066479C" w:rsidR="00153156" w:rsidRDefault="00153156">
      <w:pPr>
        <w:jc w:val="both"/>
      </w:pPr>
      <w:r>
        <w:t>CGT r</w:t>
      </w:r>
      <w:r w:rsidR="00A713A0">
        <w:t xml:space="preserve">eprésentée par </w:t>
      </w:r>
      <w:bookmarkStart w:id="0" w:name="_GoBack"/>
      <w:bookmarkEnd w:id="0"/>
      <w:r w:rsidR="001A61F8">
        <w:t>XX</w:t>
      </w:r>
      <w:r>
        <w:t>,</w:t>
      </w:r>
    </w:p>
    <w:p w:rsidP="0066479C" w:rsidR="006F5BAE" w:rsidRDefault="006F5BAE">
      <w:pPr>
        <w:jc w:val="both"/>
      </w:pPr>
    </w:p>
    <w:p w:rsidP="0066479C" w:rsidR="00A713A0" w:rsidRDefault="00A713A0">
      <w:pPr>
        <w:jc w:val="both"/>
      </w:pPr>
    </w:p>
    <w:sectPr w:rsidR="00A713A0" w:rsidSect="00567FD8">
      <w:headerReference r:id="rId9" w:type="default"/>
      <w:footerReference r:id="rId10" w:type="default"/>
      <w:pgSz w:h="16838" w:w="11906"/>
      <w:pgMar w:bottom="2268" w:footer="886" w:gutter="0" w:header="708" w:left="1417" w:right="1417" w:top="17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222" w:rsidRDefault="00691222" w:rsidP="00D8606F">
      <w:pPr>
        <w:spacing w:after="0" w:line="240" w:lineRule="auto"/>
      </w:pPr>
      <w:r>
        <w:separator/>
      </w:r>
    </w:p>
  </w:endnote>
  <w:endnote w:type="continuationSeparator" w:id="0">
    <w:p w:rsidR="00691222" w:rsidRDefault="00691222" w:rsidP="00D8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9D3F2D" w:rsidRDefault="009D3F2D">
    <w:pPr>
      <w:pStyle w:val="Pieddepage"/>
    </w:pPr>
    <w:r>
      <w:rPr>
        <w:noProof/>
        <w:lang w:eastAsia="fr-FR"/>
      </w:rPr>
      <w:drawing>
        <wp:inline distB="0" distL="0" distR="0" distT="0" wp14:anchorId="1179EA34" wp14:editId="0D1A8FE1">
          <wp:extent cx="5760720" cy="589395"/>
          <wp:effectExtent b="1270" l="0" r="0" t="0"/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58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D8606F" w:rsidR="00691222" w:rsidRDefault="00691222">
      <w:pPr>
        <w:spacing w:after="0" w:line="240" w:lineRule="auto"/>
      </w:pPr>
      <w:r>
        <w:separator/>
      </w:r>
    </w:p>
  </w:footnote>
  <w:footnote w:id="0" w:type="continuationSeparator">
    <w:p w:rsidP="00D8606F" w:rsidR="00691222" w:rsidRDefault="00691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9D3F2D" w:rsidR="008C19F2" w:rsidRDefault="009D3F2D">
    <w:pPr>
      <w:pStyle w:val="En-tte"/>
      <w:jc w:val="center"/>
    </w:pPr>
    <w:r>
      <w:rPr>
        <w:noProof/>
        <w:lang w:eastAsia="fr-FR"/>
      </w:rPr>
      <w:drawing>
        <wp:inline distB="0" distL="0" distR="0" distT="0" wp14:anchorId="07BEACC8" wp14:editId="38F72463">
          <wp:extent cx="2743200" cy="447675"/>
          <wp:effectExtent b="9525" l="0" r="0" t="0"/>
          <wp:docPr id="28" name="Imag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0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9D3F2D" w:rsidR="009D3F2D" w:rsidRDefault="009D3F2D">
    <w:pPr>
      <w:pStyle w:val="En-tte"/>
      <w:jc w:val="center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19442C3"/>
    <w:multiLevelType w:val="hybridMultilevel"/>
    <w:tmpl w:val="45C04876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CFD6A3A"/>
    <w:multiLevelType w:val="hybridMultilevel"/>
    <w:tmpl w:val="26F27C50"/>
    <w:lvl w:ilvl="0" w:tplc="8B26BA9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A83C840C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4FE43CEC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7A7A1A8A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63C615B0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6E8AFF90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EE166476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91C8421C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97A2B998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2">
    <w:nsid w:val="122252B8"/>
    <w:multiLevelType w:val="hybridMultilevel"/>
    <w:tmpl w:val="636CC636"/>
    <w:lvl w:ilvl="0" w:tplc="8A4E579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B5A64E7E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A47E183E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4B2C5CD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DE7CE976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F732DEC2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5EEE25C0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AFD03C40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EF645C4A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3">
    <w:nsid w:val="237505C4"/>
    <w:multiLevelType w:val="hybridMultilevel"/>
    <w:tmpl w:val="81EA5598"/>
    <w:lvl w:ilvl="0" w:tplc="B58683A2">
      <w:start w:val="1"/>
      <w:numFmt w:val="upperLetter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25B53E54"/>
    <w:multiLevelType w:val="hybridMultilevel"/>
    <w:tmpl w:val="EB663B9E"/>
    <w:lvl w:ilvl="0" w:tplc="95F21384"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AF06D85"/>
    <w:multiLevelType w:val="hybridMultilevel"/>
    <w:tmpl w:val="EB3ABB62"/>
    <w:lvl w:ilvl="0" w:tplc="040C0001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6">
    <w:nsid w:val="35D74A0C"/>
    <w:multiLevelType w:val="hybridMultilevel"/>
    <w:tmpl w:val="CC0A1E0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417742F"/>
    <w:multiLevelType w:val="hybridMultilevel"/>
    <w:tmpl w:val="FF6C675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91A5CFE"/>
    <w:multiLevelType w:val="hybridMultilevel"/>
    <w:tmpl w:val="95DA7AA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6EF164F7"/>
    <w:multiLevelType w:val="hybridMultilevel"/>
    <w:tmpl w:val="4A7859F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73E863C8"/>
    <w:multiLevelType w:val="hybridMultilevel"/>
    <w:tmpl w:val="8F226D46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78104353"/>
    <w:multiLevelType w:val="hybridMultilevel"/>
    <w:tmpl w:val="319C7DA8"/>
    <w:lvl w:ilvl="0" w:tplc="040C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2">
    <w:nsid w:val="79A57DA9"/>
    <w:multiLevelType w:val="hybridMultilevel"/>
    <w:tmpl w:val="51242E0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2"/>
  </w:num>
  <w:num w:numId="5">
    <w:abstractNumId w:val="11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16"/>
  <w:proofState w:grammar="clean" w:spelling="clean"/>
  <w:defaultTabStop w:val="708"/>
  <w:hyphenationZone w:val="425"/>
  <w:characterSpacingControl w:val="doNotCompress"/>
  <w:hdrShapeDefaults>
    <o:shapedefaults spidmax="2252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93"/>
    <w:rsid w:val="00027E6D"/>
    <w:rsid w:val="000526CD"/>
    <w:rsid w:val="00060B3A"/>
    <w:rsid w:val="00062B2F"/>
    <w:rsid w:val="00082F14"/>
    <w:rsid w:val="00084DD3"/>
    <w:rsid w:val="000E3EFD"/>
    <w:rsid w:val="000F5AA8"/>
    <w:rsid w:val="00111B13"/>
    <w:rsid w:val="0011338A"/>
    <w:rsid w:val="001162E0"/>
    <w:rsid w:val="00146043"/>
    <w:rsid w:val="00153156"/>
    <w:rsid w:val="001731F7"/>
    <w:rsid w:val="0018538C"/>
    <w:rsid w:val="001A61F8"/>
    <w:rsid w:val="001A7300"/>
    <w:rsid w:val="001D7176"/>
    <w:rsid w:val="001E5247"/>
    <w:rsid w:val="001F4CFB"/>
    <w:rsid w:val="00207EDC"/>
    <w:rsid w:val="002255B6"/>
    <w:rsid w:val="00230839"/>
    <w:rsid w:val="00246A7C"/>
    <w:rsid w:val="002665A9"/>
    <w:rsid w:val="00267102"/>
    <w:rsid w:val="00292648"/>
    <w:rsid w:val="002927BE"/>
    <w:rsid w:val="00293A94"/>
    <w:rsid w:val="00297053"/>
    <w:rsid w:val="002A4D97"/>
    <w:rsid w:val="002B0BAC"/>
    <w:rsid w:val="002D3F0C"/>
    <w:rsid w:val="002E7C8E"/>
    <w:rsid w:val="00303385"/>
    <w:rsid w:val="00312356"/>
    <w:rsid w:val="00315774"/>
    <w:rsid w:val="0035491D"/>
    <w:rsid w:val="00370066"/>
    <w:rsid w:val="003A6921"/>
    <w:rsid w:val="003A7FF3"/>
    <w:rsid w:val="003B1881"/>
    <w:rsid w:val="003D5954"/>
    <w:rsid w:val="003E1567"/>
    <w:rsid w:val="0040597E"/>
    <w:rsid w:val="00427A6D"/>
    <w:rsid w:val="00436F5F"/>
    <w:rsid w:val="004460F0"/>
    <w:rsid w:val="00451D22"/>
    <w:rsid w:val="004860F0"/>
    <w:rsid w:val="00487195"/>
    <w:rsid w:val="004C06AF"/>
    <w:rsid w:val="004C51DE"/>
    <w:rsid w:val="0050477A"/>
    <w:rsid w:val="00510C07"/>
    <w:rsid w:val="00524F77"/>
    <w:rsid w:val="005272D2"/>
    <w:rsid w:val="00547460"/>
    <w:rsid w:val="00561FBF"/>
    <w:rsid w:val="00567FD8"/>
    <w:rsid w:val="005B1BB4"/>
    <w:rsid w:val="005C7D9B"/>
    <w:rsid w:val="005F1460"/>
    <w:rsid w:val="005F2E59"/>
    <w:rsid w:val="006324BD"/>
    <w:rsid w:val="006335CB"/>
    <w:rsid w:val="00662DB4"/>
    <w:rsid w:val="0066479C"/>
    <w:rsid w:val="00681012"/>
    <w:rsid w:val="00685B23"/>
    <w:rsid w:val="0069111D"/>
    <w:rsid w:val="00691222"/>
    <w:rsid w:val="006A5E1F"/>
    <w:rsid w:val="006B7AC5"/>
    <w:rsid w:val="006E63B1"/>
    <w:rsid w:val="006E7D09"/>
    <w:rsid w:val="006F0BE3"/>
    <w:rsid w:val="006F5BAE"/>
    <w:rsid w:val="00763CB4"/>
    <w:rsid w:val="00775E93"/>
    <w:rsid w:val="007A1082"/>
    <w:rsid w:val="007B7730"/>
    <w:rsid w:val="007C2DEE"/>
    <w:rsid w:val="00812DF4"/>
    <w:rsid w:val="008213C4"/>
    <w:rsid w:val="0082724E"/>
    <w:rsid w:val="008437B0"/>
    <w:rsid w:val="008712BA"/>
    <w:rsid w:val="008A7CC2"/>
    <w:rsid w:val="008B375E"/>
    <w:rsid w:val="008C15BA"/>
    <w:rsid w:val="008C19F2"/>
    <w:rsid w:val="008D5F22"/>
    <w:rsid w:val="008F02AF"/>
    <w:rsid w:val="00921228"/>
    <w:rsid w:val="0093342C"/>
    <w:rsid w:val="00962A69"/>
    <w:rsid w:val="0097030D"/>
    <w:rsid w:val="00971AC7"/>
    <w:rsid w:val="00971ADC"/>
    <w:rsid w:val="00981B81"/>
    <w:rsid w:val="00984752"/>
    <w:rsid w:val="009D3F2D"/>
    <w:rsid w:val="009F4696"/>
    <w:rsid w:val="00A25B73"/>
    <w:rsid w:val="00A313F3"/>
    <w:rsid w:val="00A646BB"/>
    <w:rsid w:val="00A713A0"/>
    <w:rsid w:val="00A94C3A"/>
    <w:rsid w:val="00AA2BDD"/>
    <w:rsid w:val="00AA3B0F"/>
    <w:rsid w:val="00AB1967"/>
    <w:rsid w:val="00AC7D1B"/>
    <w:rsid w:val="00AD2865"/>
    <w:rsid w:val="00AE49BF"/>
    <w:rsid w:val="00AE75A2"/>
    <w:rsid w:val="00AF6F3E"/>
    <w:rsid w:val="00B24410"/>
    <w:rsid w:val="00B24470"/>
    <w:rsid w:val="00B263A7"/>
    <w:rsid w:val="00B53B3A"/>
    <w:rsid w:val="00B62619"/>
    <w:rsid w:val="00B77F6E"/>
    <w:rsid w:val="00B94F37"/>
    <w:rsid w:val="00BA0BE9"/>
    <w:rsid w:val="00BE0233"/>
    <w:rsid w:val="00BF15AA"/>
    <w:rsid w:val="00C0059D"/>
    <w:rsid w:val="00C1350F"/>
    <w:rsid w:val="00C22C34"/>
    <w:rsid w:val="00C2490E"/>
    <w:rsid w:val="00C32028"/>
    <w:rsid w:val="00C62BFF"/>
    <w:rsid w:val="00C6619B"/>
    <w:rsid w:val="00C83161"/>
    <w:rsid w:val="00CA2C8B"/>
    <w:rsid w:val="00CA5A2D"/>
    <w:rsid w:val="00CC3FD9"/>
    <w:rsid w:val="00CF3E12"/>
    <w:rsid w:val="00D05A10"/>
    <w:rsid w:val="00D0794B"/>
    <w:rsid w:val="00D1362D"/>
    <w:rsid w:val="00D40892"/>
    <w:rsid w:val="00D44516"/>
    <w:rsid w:val="00D54908"/>
    <w:rsid w:val="00D57490"/>
    <w:rsid w:val="00D8606F"/>
    <w:rsid w:val="00DA3C48"/>
    <w:rsid w:val="00DC1613"/>
    <w:rsid w:val="00DE461A"/>
    <w:rsid w:val="00DE5119"/>
    <w:rsid w:val="00DF012E"/>
    <w:rsid w:val="00DF5496"/>
    <w:rsid w:val="00E565EA"/>
    <w:rsid w:val="00E576C2"/>
    <w:rsid w:val="00E63AE1"/>
    <w:rsid w:val="00E65F43"/>
    <w:rsid w:val="00E7214C"/>
    <w:rsid w:val="00E762AD"/>
    <w:rsid w:val="00EC20E8"/>
    <w:rsid w:val="00EC5C88"/>
    <w:rsid w:val="00ED54F5"/>
    <w:rsid w:val="00EE63C6"/>
    <w:rsid w:val="00F00379"/>
    <w:rsid w:val="00F169F4"/>
    <w:rsid w:val="00F2542E"/>
    <w:rsid w:val="00F4316D"/>
    <w:rsid w:val="00F5705F"/>
    <w:rsid w:val="00F80C2B"/>
    <w:rsid w:val="00F859F9"/>
    <w:rsid w:val="00F90FB6"/>
    <w:rsid w:val="00FB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2529" v:ext="edit"/>
    <o:shapelayout v:ext="edit">
      <o:idmap data="1" v:ext="edit"/>
    </o:shapelayout>
  </w:shapeDefaults>
  <w:decimalSymbol w:val=","/>
  <w:listSeparator w:val=";"/>
  <w14:docId w14:val="2BCDFECE"/>
  <w15:docId w15:val="{F269D94E-EFCA-4F43-BDAB-DB37DDBB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2B0BAC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B7730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D8606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8606F"/>
  </w:style>
  <w:style w:styleId="Pieddepage" w:type="paragraph">
    <w:name w:val="footer"/>
    <w:basedOn w:val="Normal"/>
    <w:link w:val="PieddepageCar"/>
    <w:uiPriority w:val="99"/>
    <w:unhideWhenUsed/>
    <w:rsid w:val="00D8606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8606F"/>
  </w:style>
  <w:style w:styleId="Textedebulles" w:type="paragraph">
    <w:name w:val="Balloon Text"/>
    <w:basedOn w:val="Normal"/>
    <w:link w:val="TextedebullesCar"/>
    <w:uiPriority w:val="99"/>
    <w:semiHidden/>
    <w:unhideWhenUsed/>
    <w:rsid w:val="0093342C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93342C"/>
    <w:rPr>
      <w:rFonts w:ascii="Tahoma" w:cs="Tahoma" w:hAnsi="Tahoma"/>
      <w:sz w:val="16"/>
      <w:szCs w:val="16"/>
    </w:rPr>
  </w:style>
  <w:style w:customStyle="1" w:styleId="BBBodyTextNoSpacing" w:type="paragraph">
    <w:name w:val="B&amp;B Body Text No Spacing"/>
    <w:basedOn w:val="Corpsdetexte"/>
    <w:uiPriority w:val="1"/>
    <w:qFormat/>
    <w:rsid w:val="0018538C"/>
    <w:pPr>
      <w:spacing w:after="0" w:line="240" w:lineRule="auto"/>
      <w:jc w:val="both"/>
    </w:pPr>
    <w:rPr>
      <w:rFonts w:cs="Times New Roman"/>
    </w:rPr>
  </w:style>
  <w:style w:styleId="Corpsdetexte" w:type="paragraph">
    <w:name w:val="Body Text"/>
    <w:basedOn w:val="Normal"/>
    <w:link w:val="CorpsdetexteCar"/>
    <w:uiPriority w:val="99"/>
    <w:semiHidden/>
    <w:unhideWhenUsed/>
    <w:rsid w:val="0018538C"/>
    <w:pPr>
      <w:spacing w:after="120"/>
    </w:pPr>
  </w:style>
  <w:style w:customStyle="1" w:styleId="CorpsdetexteCar" w:type="character">
    <w:name w:val="Corps de texte Car"/>
    <w:basedOn w:val="Policepardfaut"/>
    <w:link w:val="Corpsdetexte"/>
    <w:uiPriority w:val="99"/>
    <w:semiHidden/>
    <w:rsid w:val="0018538C"/>
  </w:style>
  <w:style w:styleId="Lienhypertexte" w:type="character">
    <w:name w:val="Hyperlink"/>
    <w:basedOn w:val="Policepardfaut"/>
    <w:uiPriority w:val="99"/>
    <w:unhideWhenUsed/>
    <w:rsid w:val="00C32028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1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6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50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9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://www.Teleaccords.travail-emploi.gouv.fr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_rels/foot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AB6B0-9D37-429B-A932-5245B6B82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1058</Words>
  <Characters>5819</Characters>
  <Application>Microsoft Office Word</Application>
  <DocSecurity>0</DocSecurity>
  <Lines>48</Lines>
  <Paragraphs>13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2022-12-23T12:58:00Z</dcterms:created>
  <cp:lastPrinted>2022-11-25T14:56:00Z</cp:lastPrinted>
  <dcterms:modified xsi:type="dcterms:W3CDTF">2022-12-23T12:58:00Z</dcterms:modified>
  <cp:revision>2</cp:revision>
</cp:coreProperties>
</file>