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0" w:after="1080"/>
        <w:jc w:val="left"/>
        <w:rPr>
          <w:szCs w:val="22"/>
        </w:rPr>
      </w:pPr>
      <w:r>
        <w:rPr>
          <w:szCs w:val="22"/>
        </w:rPr>
      </w:r>
    </w:p>
    <w:p>
      <w:pPr>
        <w:pStyle w:val="Heading"/>
        <w:pBdr>
          <w:top w:val="single" w:sz="4" w:space="3" w:color="000000"/>
          <w:left w:val="single" w:sz="4" w:space="4" w:color="000000"/>
          <w:bottom w:val="single" w:sz="4" w:space="3" w:color="000000"/>
          <w:right w:val="single" w:sz="4" w:space="4" w:color="000000"/>
        </w:pBdr>
        <w:shd w:fill="737373" w:val="clear"/>
        <w:ind w:left="1701" w:right="1701" w:hanging="0"/>
        <w:rPr/>
      </w:pPr>
      <w:r>
        <w:rPr>
          <w:color w:val="FFFFFF"/>
          <w:sz w:val="32"/>
        </w:rPr>
        <w:t>POLITIQUE SALARIALE 2022</w:t>
        <w:br/>
        <w:t>ACCORD SALARIAL</w:t>
      </w:r>
    </w:p>
    <w:p>
      <w:pPr>
        <w:pStyle w:val="Normal"/>
        <w:spacing w:before="1080" w:after="0"/>
        <w:jc w:val="both"/>
        <w:rPr/>
      </w:pPr>
      <w:r>
        <w:rPr>
          <w:rFonts w:cs="Tahoma" w:ascii="Tahoma" w:hAnsi="Tahoma"/>
        </w:rPr>
        <w:t>Entre la Société SAFRAN FILTRATION SYSTEMS, représentée par Monsieur Xxxxx XXXXXX, Président,</w:t>
      </w:r>
    </w:p>
    <w:p>
      <w:pPr>
        <w:pStyle w:val="Normal"/>
        <w:spacing w:before="600" w:after="0"/>
        <w:jc w:val="both"/>
        <w:rPr/>
      </w:pPr>
      <w:r>
        <w:rPr>
          <w:rFonts w:cs="Tahoma" w:ascii="Tahoma" w:hAnsi="Tahoma"/>
        </w:rPr>
        <w:t>d' une part,</w:t>
      </w:r>
    </w:p>
    <w:p>
      <w:pPr>
        <w:pStyle w:val="Normal"/>
        <w:spacing w:before="360" w:after="0"/>
        <w:jc w:val="both"/>
        <w:rPr>
          <w:rFonts w:ascii="Tahoma" w:hAnsi="Tahoma" w:cs="Tahoma"/>
        </w:rPr>
      </w:pPr>
      <w:r>
        <w:rPr>
          <w:rFonts w:cs="Tahoma" w:ascii="Tahoma" w:hAnsi="Tahoma"/>
        </w:rPr>
        <w:t>et</w:t>
      </w:r>
    </w:p>
    <w:p>
      <w:pPr>
        <w:pStyle w:val="Corpsdetexte3"/>
        <w:tabs>
          <w:tab w:val="left" w:pos="5085" w:leader="none"/>
        </w:tabs>
        <w:spacing w:before="720" w:after="0"/>
        <w:jc w:val="both"/>
        <w:rPr>
          <w:rFonts w:ascii="Tahoma" w:hAnsi="Tahoma" w:cs="Tahoma"/>
          <w:sz w:val="20"/>
          <w:szCs w:val="20"/>
        </w:rPr>
      </w:pPr>
      <w:r>
        <w:rPr>
          <w:rFonts w:cs="Tahoma" w:ascii="Tahoma" w:hAnsi="Tahoma"/>
          <w:sz w:val="20"/>
          <w:szCs w:val="20"/>
        </w:rPr>
        <w:t>les Organisations Syndicales :</w:t>
        <w:tab/>
      </w:r>
    </w:p>
    <w:p>
      <w:pPr>
        <w:pStyle w:val="Corpsdetexte3"/>
        <w:jc w:val="both"/>
        <w:rPr>
          <w:rFonts w:ascii="Tahoma" w:hAnsi="Tahoma" w:cs="Tahoma"/>
          <w:sz w:val="20"/>
          <w:szCs w:val="20"/>
        </w:rPr>
      </w:pPr>
      <w:r>
        <w:rPr>
          <w:rFonts w:cs="Tahoma" w:ascii="Tahoma" w:hAnsi="Tahoma"/>
          <w:sz w:val="20"/>
          <w:szCs w:val="20"/>
        </w:rPr>
      </w:r>
    </w:p>
    <w:p>
      <w:pPr>
        <w:pStyle w:val="Normal"/>
        <w:tabs>
          <w:tab w:val="left" w:pos="709" w:leader="none"/>
          <w:tab w:val="left" w:pos="3544" w:leader="none"/>
        </w:tabs>
        <w:jc w:val="both"/>
        <w:rPr>
          <w:rFonts w:ascii="Tahoma" w:hAnsi="Tahoma" w:cs="Tahoma"/>
        </w:rPr>
      </w:pPr>
      <w:r>
        <w:rPr>
          <w:rFonts w:cs="Tahoma" w:ascii="Tahoma" w:hAnsi="Tahoma"/>
        </w:rPr>
        <w:t xml:space="preserve">- </w:t>
        <w:tab/>
        <w:t>C.G.T. représentée par</w:t>
        <w:tab/>
        <w:t>Monsieur Xxxxxx XXXXXX</w:t>
      </w:r>
    </w:p>
    <w:p>
      <w:pPr>
        <w:pStyle w:val="Normal"/>
        <w:tabs>
          <w:tab w:val="left" w:pos="709" w:leader="none"/>
          <w:tab w:val="left" w:pos="2835" w:leader="none"/>
        </w:tabs>
        <w:jc w:val="both"/>
        <w:rPr>
          <w:rFonts w:ascii="Tahoma" w:hAnsi="Tahoma" w:cs="Tahoma"/>
        </w:rPr>
      </w:pPr>
      <w:r>
        <w:rPr>
          <w:rFonts w:cs="Tahoma" w:ascii="Tahoma" w:hAnsi="Tahoma"/>
        </w:rPr>
      </w:r>
    </w:p>
    <w:p>
      <w:pPr>
        <w:pStyle w:val="Normal"/>
        <w:tabs>
          <w:tab w:val="left" w:pos="709" w:leader="none"/>
          <w:tab w:val="left" w:pos="2835" w:leader="none"/>
        </w:tabs>
        <w:jc w:val="both"/>
        <w:rPr>
          <w:rFonts w:ascii="Tahoma" w:hAnsi="Tahoma" w:cs="Tahoma"/>
        </w:rPr>
      </w:pPr>
      <w:r>
        <w:rPr>
          <w:rFonts w:cs="Tahoma" w:ascii="Tahoma" w:hAnsi="Tahoma"/>
        </w:rPr>
      </w:r>
    </w:p>
    <w:p>
      <w:pPr>
        <w:pStyle w:val="Normal"/>
        <w:tabs>
          <w:tab w:val="left" w:pos="709" w:leader="none"/>
          <w:tab w:val="left" w:pos="2835" w:leader="none"/>
        </w:tabs>
        <w:jc w:val="both"/>
        <w:rPr>
          <w:rFonts w:ascii="Tahoma" w:hAnsi="Tahoma" w:cs="Tahoma"/>
        </w:rPr>
      </w:pPr>
      <w:r>
        <w:rPr>
          <w:rFonts w:cs="Tahoma" w:ascii="Tahoma" w:hAnsi="Tahoma"/>
        </w:rPr>
      </w:r>
    </w:p>
    <w:p>
      <w:pPr>
        <w:pStyle w:val="Normal"/>
        <w:tabs>
          <w:tab w:val="left" w:pos="709" w:leader="none"/>
          <w:tab w:val="left" w:pos="3544" w:leader="none"/>
        </w:tabs>
        <w:jc w:val="both"/>
        <w:rPr>
          <w:rFonts w:ascii="Tahoma" w:hAnsi="Tahoma" w:cs="Tahoma"/>
        </w:rPr>
      </w:pPr>
      <w:r>
        <w:rPr>
          <w:rFonts w:cs="Tahoma" w:ascii="Tahoma" w:hAnsi="Tahoma"/>
        </w:rPr>
        <w:t>-</w:t>
        <w:tab/>
        <w:t>F.O. représentée par</w:t>
        <w:tab/>
        <w:t>Monsieur  Xxxxxx XXXXXX</w:t>
      </w:r>
    </w:p>
    <w:p>
      <w:pPr>
        <w:pStyle w:val="Normal"/>
        <w:tabs>
          <w:tab w:val="left" w:pos="709" w:leader="none"/>
          <w:tab w:val="left" w:pos="3544" w:leader="none"/>
        </w:tabs>
        <w:jc w:val="both"/>
        <w:rPr>
          <w:rFonts w:ascii="Tahoma" w:hAnsi="Tahoma" w:cs="Tahoma"/>
        </w:rPr>
      </w:pPr>
      <w:r>
        <w:rPr>
          <w:rFonts w:cs="Tahoma" w:ascii="Tahoma" w:hAnsi="Tahoma"/>
        </w:rPr>
      </w:r>
    </w:p>
    <w:p>
      <w:pPr>
        <w:pStyle w:val="Normal"/>
        <w:tabs>
          <w:tab w:val="left" w:pos="709" w:leader="none"/>
          <w:tab w:val="left" w:pos="3544" w:leader="none"/>
        </w:tabs>
        <w:jc w:val="both"/>
        <w:rPr>
          <w:rFonts w:ascii="Tahoma" w:hAnsi="Tahoma" w:cs="Tahoma"/>
        </w:rPr>
      </w:pPr>
      <w:r>
        <w:rPr>
          <w:rFonts w:cs="Tahoma" w:ascii="Tahoma" w:hAnsi="Tahoma"/>
        </w:rPr>
      </w:r>
    </w:p>
    <w:p>
      <w:pPr>
        <w:pStyle w:val="Normal"/>
        <w:tabs>
          <w:tab w:val="left" w:pos="709" w:leader="none"/>
          <w:tab w:val="left" w:pos="3544" w:leader="none"/>
        </w:tabs>
        <w:jc w:val="both"/>
        <w:rPr>
          <w:rFonts w:ascii="Tahoma" w:hAnsi="Tahoma" w:cs="Tahoma"/>
        </w:rPr>
      </w:pPr>
      <w:r>
        <w:rPr>
          <w:rFonts w:cs="Tahoma" w:ascii="Tahoma" w:hAnsi="Tahoma"/>
        </w:rPr>
      </w:r>
    </w:p>
    <w:p>
      <w:pPr>
        <w:pStyle w:val="Normal"/>
        <w:tabs>
          <w:tab w:val="left" w:pos="709" w:leader="none"/>
          <w:tab w:val="left" w:pos="3544" w:leader="none"/>
        </w:tabs>
        <w:jc w:val="both"/>
        <w:rPr>
          <w:rFonts w:ascii="Tahoma" w:hAnsi="Tahoma" w:cs="Tahoma"/>
        </w:rPr>
      </w:pPr>
      <w:r>
        <w:rPr>
          <w:rFonts w:cs="Tahoma" w:ascii="Tahoma" w:hAnsi="Tahoma"/>
        </w:rPr>
        <w:t xml:space="preserve">- </w:t>
        <w:tab/>
        <w:t>CFE-CGC représentée par          Monsieur  XxxxxxXXXXX</w:t>
      </w:r>
    </w:p>
    <w:p>
      <w:pPr>
        <w:pStyle w:val="Normal"/>
        <w:tabs>
          <w:tab w:val="left" w:pos="3544" w:leader="none"/>
        </w:tabs>
        <w:jc w:val="both"/>
        <w:rPr>
          <w:rFonts w:ascii="Tahoma" w:hAnsi="Tahoma" w:cs="Tahoma"/>
        </w:rPr>
      </w:pPr>
      <w:r>
        <w:rPr>
          <w:rFonts w:cs="Tahoma" w:ascii="Tahoma" w:hAnsi="Tahoma"/>
        </w:rPr>
        <w:tab/>
      </w:r>
    </w:p>
    <w:p>
      <w:pPr>
        <w:pStyle w:val="Normal"/>
        <w:spacing w:before="600" w:after="0"/>
        <w:jc w:val="both"/>
        <w:rPr>
          <w:rFonts w:ascii="Tahoma" w:hAnsi="Tahoma" w:cs="Tahoma"/>
        </w:rPr>
      </w:pPr>
      <w:r>
        <w:rPr>
          <w:rFonts w:cs="Tahoma" w:ascii="Tahoma" w:hAnsi="Tahoma"/>
        </w:rPr>
        <w:t>d'autre part,</w:t>
      </w:r>
    </w:p>
    <w:p>
      <w:pPr>
        <w:pStyle w:val="Corpsdetexte3"/>
        <w:spacing w:before="1800" w:after="0"/>
        <w:jc w:val="both"/>
        <w:rPr/>
      </w:pPr>
      <w:r>
        <w:rPr>
          <w:rFonts w:cs="Tahoma" w:ascii="Tahoma" w:hAnsi="Tahoma"/>
          <w:sz w:val="20"/>
          <w:szCs w:val="20"/>
        </w:rPr>
        <w:t>il  a été convenu ce qui suit :</w:t>
      </w:r>
      <w:r>
        <w:br w:type="page"/>
      </w:r>
    </w:p>
    <w:p>
      <w:pPr>
        <w:pStyle w:val="Heading1"/>
        <w:numPr>
          <w:ilvl w:val="0"/>
          <w:numId w:val="1"/>
        </w:numPr>
        <w:spacing w:before="480" w:after="0"/>
        <w:rPr>
          <w:rFonts w:ascii="Tahoma" w:hAnsi="Tahoma" w:cs="Tahoma"/>
          <w:color w:val="800000"/>
          <w:sz w:val="20"/>
          <w:szCs w:val="20"/>
          <w:u w:val="single"/>
        </w:rPr>
      </w:pPr>
      <w:r>
        <w:rPr>
          <w:rFonts w:cs="Tahoma" w:ascii="Tahoma" w:hAnsi="Tahoma"/>
          <w:color w:val="800000"/>
          <w:sz w:val="20"/>
          <w:szCs w:val="20"/>
          <w:u w:val="single"/>
        </w:rPr>
        <w:t>Article 1 – Préambule</w:t>
      </w:r>
    </w:p>
    <w:p>
      <w:pPr>
        <w:pStyle w:val="Normal"/>
        <w:rPr>
          <w:rFonts w:ascii="Tahoma" w:hAnsi="Tahoma" w:cs="Tahoma"/>
          <w:color w:val="800000"/>
          <w:sz w:val="20"/>
          <w:szCs w:val="20"/>
          <w:u w:val="single"/>
        </w:rPr>
      </w:pPr>
      <w:r>
        <w:rPr>
          <w:rFonts w:cs="Tahoma" w:ascii="Tahoma" w:hAnsi="Tahoma"/>
          <w:color w:val="800000"/>
          <w:sz w:val="20"/>
          <w:szCs w:val="20"/>
          <w:u w:val="single"/>
        </w:rPr>
      </w:r>
    </w:p>
    <w:p>
      <w:pPr>
        <w:pStyle w:val="Normal"/>
        <w:jc w:val="both"/>
        <w:rPr>
          <w:rFonts w:ascii="Tahoma" w:hAnsi="Tahoma" w:cs="Tahoma"/>
          <w:color w:val="BFBFBF"/>
        </w:rPr>
      </w:pPr>
      <w:r>
        <w:rPr>
          <w:rFonts w:cs="Tahoma" w:ascii="Tahoma" w:hAnsi="Tahoma"/>
        </w:rPr>
        <w:t xml:space="preserve">Conformément aux dispositions légales et conventionnelles, la Direction a engagé les négociations relatives à la politique salariale 2022 le 10 janvier 2022. </w:t>
      </w:r>
    </w:p>
    <w:p>
      <w:pPr>
        <w:pStyle w:val="Normal"/>
        <w:rPr>
          <w:rFonts w:ascii="Tahoma" w:hAnsi="Tahoma" w:cs="Tahoma"/>
          <w:color w:val="BFBFBF"/>
        </w:rPr>
      </w:pPr>
      <w:r>
        <w:rPr>
          <w:rFonts w:cs="Tahoma" w:ascii="Tahoma" w:hAnsi="Tahoma"/>
          <w:color w:val="BFBFBF"/>
        </w:rPr>
      </w:r>
    </w:p>
    <w:p>
      <w:pPr>
        <w:pStyle w:val="Normal"/>
        <w:jc w:val="both"/>
        <w:rPr>
          <w:rFonts w:ascii="Tahoma" w:hAnsi="Tahoma" w:cs="Tahoma"/>
          <w:color w:val="000000"/>
        </w:rPr>
      </w:pPr>
      <w:r>
        <w:rPr>
          <w:rFonts w:cs="Tahoma" w:ascii="Tahoma" w:hAnsi="Tahoma"/>
          <w:color w:val="000000"/>
        </w:rPr>
        <w:t>Dans le souci d'assurer un développement social cohérent avec les enjeux industriels de SAFRAN FS, la politique salariale pour l'année 2022, tout en prenant en compte le contexte et l’environnement économique dans lequel la société évolue ainsi que ses perspectives, vise à déployer un dispositif de gestion des évolutions de rémunérations qui permet également de prendre en considération la contribution de chacun au bon déroulement des activités.</w:t>
      </w:r>
    </w:p>
    <w:p>
      <w:pPr>
        <w:pStyle w:val="Normal"/>
        <w:jc w:val="both"/>
        <w:rPr>
          <w:rFonts w:ascii="Tahoma" w:hAnsi="Tahoma" w:cs="Tahoma"/>
          <w:color w:val="000000"/>
        </w:rPr>
      </w:pPr>
      <w:r>
        <w:rPr>
          <w:rFonts w:cs="Tahoma" w:ascii="Tahoma" w:hAnsi="Tahoma"/>
          <w:color w:val="000000"/>
        </w:rPr>
      </w:r>
    </w:p>
    <w:p>
      <w:pPr>
        <w:pStyle w:val="Normal"/>
        <w:jc w:val="both"/>
        <w:rPr>
          <w:rFonts w:ascii="Tahoma" w:hAnsi="Tahoma" w:cs="Tahoma"/>
        </w:rPr>
      </w:pPr>
      <w:r>
        <w:rPr>
          <w:rFonts w:cs="Tahoma" w:ascii="Tahoma" w:hAnsi="Tahoma"/>
        </w:rPr>
        <w:t>A la suite de 4 réunions intersyndicales qui se sont tenues les 10 janvier, 17 janvier, le 24 janvier et le 31 janvier 2022 l’accord suivant a été conclu.</w:t>
      </w:r>
    </w:p>
    <w:p>
      <w:pPr>
        <w:pStyle w:val="Heading1"/>
        <w:numPr>
          <w:ilvl w:val="0"/>
          <w:numId w:val="1"/>
        </w:numPr>
        <w:spacing w:before="600" w:after="0"/>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spacing w:before="600" w:after="0"/>
        <w:rPr>
          <w:rFonts w:ascii="Tahoma" w:hAnsi="Tahoma" w:cs="Tahoma"/>
          <w:color w:val="800000"/>
          <w:sz w:val="20"/>
          <w:szCs w:val="20"/>
          <w:u w:val="single"/>
        </w:rPr>
      </w:pPr>
      <w:r>
        <w:rPr>
          <w:rFonts w:cs="Tahoma" w:ascii="Tahoma" w:hAnsi="Tahoma"/>
          <w:color w:val="800000"/>
          <w:sz w:val="20"/>
          <w:szCs w:val="20"/>
          <w:u w:val="single"/>
        </w:rPr>
        <w:t xml:space="preserve">Article 2 - Salaires des ouvriers, employés, techniciens et agents de maîtrise </w:t>
      </w:r>
    </w:p>
    <w:p>
      <w:pPr>
        <w:pStyle w:val="Corpsdetexte2"/>
        <w:spacing w:before="120" w:after="0"/>
        <w:rPr/>
      </w:pPr>
      <w:r>
        <w:rPr>
          <w:rFonts w:cs="Tahoma" w:ascii="Tahoma" w:hAnsi="Tahoma"/>
          <w:b w:val="false"/>
          <w:sz w:val="20"/>
          <w:szCs w:val="20"/>
        </w:rPr>
        <w:t>Pour ces catégories de personnel sont appliquées les mesures suivantes :</w:t>
      </w:r>
    </w:p>
    <w:p>
      <w:pPr>
        <w:pStyle w:val="Corpsdetexte2"/>
        <w:tabs>
          <w:tab w:val="left" w:pos="1494" w:leader="none"/>
        </w:tabs>
        <w:spacing w:before="240" w:after="0"/>
        <w:rPr>
          <w:rFonts w:ascii="Tahoma" w:hAnsi="Tahoma" w:cs="Tahoma"/>
          <w:color w:val="000080"/>
          <w:sz w:val="20"/>
          <w:szCs w:val="20"/>
        </w:rPr>
      </w:pPr>
      <w:r>
        <w:rPr>
          <w:color w:val="800000"/>
          <w:sz w:val="28"/>
          <w:szCs w:val="28"/>
        </w:rPr>
        <w:t>►</w:t>
      </w:r>
      <w:r>
        <w:rPr/>
        <w:t xml:space="preserve"> </w:t>
      </w:r>
      <w:r>
        <w:rPr>
          <w:rFonts w:cs="Tahoma" w:ascii="Tahoma" w:hAnsi="Tahoma"/>
          <w:color w:val="000080"/>
          <w:sz w:val="20"/>
          <w:szCs w:val="20"/>
        </w:rPr>
        <w:t>Mesures d’Augmentation Générale en niveau :</w:t>
      </w:r>
    </w:p>
    <w:p>
      <w:pPr>
        <w:pStyle w:val="Corpsdetexte2"/>
        <w:rPr>
          <w:rFonts w:ascii="Tahoma" w:hAnsi="Tahoma" w:cs="Tahoma"/>
          <w:b w:val="false"/>
          <w:b w:val="false"/>
          <w:color w:val="000080"/>
          <w:sz w:val="20"/>
          <w:szCs w:val="20"/>
        </w:rPr>
      </w:pPr>
      <w:r>
        <w:rPr>
          <w:rFonts w:cs="Tahoma" w:ascii="Tahoma" w:hAnsi="Tahoma"/>
          <w:b w:val="false"/>
          <w:color w:val="000080"/>
          <w:sz w:val="20"/>
          <w:szCs w:val="20"/>
        </w:rPr>
      </w:r>
    </w:p>
    <w:p>
      <w:pPr>
        <w:pStyle w:val="Corpsdetexte2"/>
        <w:numPr>
          <w:ilvl w:val="0"/>
          <w:numId w:val="6"/>
        </w:numPr>
        <w:rPr>
          <w:rFonts w:ascii="Tahoma" w:hAnsi="Tahoma" w:cs="Tahoma"/>
          <w:b w:val="false"/>
          <w:b w:val="false"/>
          <w:sz w:val="20"/>
          <w:szCs w:val="20"/>
        </w:rPr>
      </w:pPr>
      <w:r>
        <w:rPr>
          <w:rFonts w:cs="Tahoma" w:ascii="Tahoma" w:hAnsi="Tahoma"/>
          <w:b w:val="false"/>
          <w:sz w:val="20"/>
          <w:szCs w:val="20"/>
        </w:rPr>
        <w:t xml:space="preserve">au 1er Janvier 2022 : 1,4% </w:t>
      </w:r>
      <w:r>
        <w:rPr>
          <w:rFonts w:cs="Tahoma" w:ascii="Tahoma" w:hAnsi="Tahoma"/>
          <w:b w:val="false"/>
          <w:color w:val="000000"/>
          <w:sz w:val="20"/>
          <w:szCs w:val="20"/>
        </w:rPr>
        <w:t>des salaires de base</w:t>
      </w:r>
      <w:r>
        <w:rPr>
          <w:rFonts w:cs="Tahoma" w:ascii="Tahoma" w:hAnsi="Tahoma"/>
          <w:b w:val="false"/>
          <w:color w:val="FF0000"/>
          <w:sz w:val="20"/>
          <w:szCs w:val="20"/>
        </w:rPr>
        <w:t xml:space="preserve">  </w:t>
      </w:r>
    </w:p>
    <w:p>
      <w:pPr>
        <w:pStyle w:val="Corpsdetexte2"/>
        <w:ind w:left="1425" w:hanging="0"/>
        <w:rPr>
          <w:rFonts w:ascii="Tahoma" w:hAnsi="Tahoma" w:cs="Tahoma"/>
          <w:b w:val="false"/>
          <w:b w:val="false"/>
          <w:sz w:val="20"/>
          <w:szCs w:val="20"/>
        </w:rPr>
      </w:pPr>
      <w:r>
        <w:rPr>
          <w:rFonts w:cs="Tahoma" w:ascii="Tahoma" w:hAnsi="Tahoma"/>
          <w:b w:val="false"/>
          <w:sz w:val="20"/>
          <w:szCs w:val="20"/>
        </w:rPr>
      </w:r>
    </w:p>
    <w:p>
      <w:pPr>
        <w:pStyle w:val="Normal"/>
        <w:jc w:val="both"/>
        <w:rPr>
          <w:rFonts w:ascii="Tahoma" w:hAnsi="Tahoma" w:cs="Tahoma"/>
        </w:rPr>
      </w:pPr>
      <w:r>
        <w:rPr>
          <w:rFonts w:cs="Tahoma" w:ascii="Tahoma" w:hAnsi="Tahoma"/>
        </w:rPr>
        <w:t>Les parties conviennent en outre d’appliquer aux mesures d’augmentations générales un plancher d’augmentation de 30€ bruts mensuels, soit au minimum 390€ bruts annuels.</w:t>
      </w:r>
    </w:p>
    <w:p>
      <w:pPr>
        <w:pStyle w:val="Normal"/>
        <w:jc w:val="both"/>
        <w:rPr>
          <w:rFonts w:ascii="Tahoma" w:hAnsi="Tahoma" w:cs="Tahoma"/>
        </w:rPr>
      </w:pPr>
      <w:r>
        <w:rPr>
          <w:rFonts w:cs="Tahoma" w:ascii="Tahoma" w:hAnsi="Tahoma"/>
        </w:rPr>
      </w:r>
    </w:p>
    <w:p>
      <w:pPr>
        <w:pStyle w:val="Normal"/>
        <w:jc w:val="both"/>
        <w:rPr>
          <w:rFonts w:ascii="Calibri" w:hAnsi="Calibri" w:cs="Calibri"/>
          <w:sz w:val="22"/>
        </w:rPr>
      </w:pPr>
      <w:r>
        <w:rPr>
          <w:rFonts w:cs="Tahoma" w:ascii="Tahoma" w:hAnsi="Tahoma"/>
        </w:rPr>
        <w:t>Ces mesures s’appliqueront sur la paie d’avril 2022 avec effet rétroactif au 1</w:t>
      </w:r>
      <w:r>
        <w:rPr>
          <w:rFonts w:cs="Tahoma" w:ascii="Tahoma" w:hAnsi="Tahoma"/>
          <w:vertAlign w:val="superscript"/>
        </w:rPr>
        <w:t>er</w:t>
      </w:r>
      <w:r>
        <w:rPr>
          <w:rFonts w:cs="Tahoma" w:ascii="Tahoma" w:hAnsi="Tahoma"/>
        </w:rPr>
        <w:t xml:space="preserve"> janvier 2022.</w:t>
      </w:r>
    </w:p>
    <w:p>
      <w:pPr>
        <w:pStyle w:val="Corpsdetexte2"/>
        <w:tabs>
          <w:tab w:val="left" w:pos="1494" w:leader="none"/>
        </w:tabs>
        <w:spacing w:before="240" w:after="0"/>
        <w:rPr>
          <w:rFonts w:ascii="Tahoma" w:hAnsi="Tahoma" w:cs="Tahoma"/>
          <w:color w:val="000080"/>
          <w:sz w:val="20"/>
          <w:szCs w:val="20"/>
        </w:rPr>
      </w:pPr>
      <w:r>
        <w:rPr>
          <w:color w:val="800000"/>
          <w:sz w:val="28"/>
          <w:szCs w:val="28"/>
        </w:rPr>
        <w:t>►</w:t>
      </w:r>
      <w:r>
        <w:rPr/>
        <w:t xml:space="preserve"> </w:t>
      </w:r>
      <w:r>
        <w:rPr>
          <w:rFonts w:cs="Tahoma" w:ascii="Tahoma" w:hAnsi="Tahoma"/>
          <w:color w:val="000080"/>
          <w:sz w:val="20"/>
          <w:szCs w:val="20"/>
        </w:rPr>
        <w:t xml:space="preserve">Budget affecté aux mesures individuelles : </w:t>
      </w:r>
    </w:p>
    <w:p>
      <w:pPr>
        <w:pStyle w:val="Corpsdetexte2"/>
        <w:rPr>
          <w:rFonts w:ascii="Tahoma" w:hAnsi="Tahoma" w:cs="Tahoma"/>
          <w:b w:val="false"/>
          <w:b w:val="false"/>
          <w:color w:val="000080"/>
          <w:sz w:val="20"/>
          <w:szCs w:val="20"/>
        </w:rPr>
      </w:pPr>
      <w:r>
        <w:rPr>
          <w:rFonts w:cs="Tahoma" w:ascii="Tahoma" w:hAnsi="Tahoma"/>
          <w:b w:val="false"/>
          <w:color w:val="000080"/>
          <w:sz w:val="20"/>
          <w:szCs w:val="20"/>
        </w:rPr>
      </w:r>
    </w:p>
    <w:p>
      <w:pPr>
        <w:pStyle w:val="Corpsdetexte2"/>
        <w:numPr>
          <w:ilvl w:val="0"/>
          <w:numId w:val="6"/>
        </w:numPr>
        <w:rPr>
          <w:rFonts w:ascii="Tahoma" w:hAnsi="Tahoma" w:cs="Tahoma"/>
          <w:b w:val="false"/>
          <w:b w:val="false"/>
          <w:sz w:val="20"/>
          <w:szCs w:val="20"/>
        </w:rPr>
      </w:pPr>
      <w:r>
        <w:rPr>
          <w:rFonts w:cs="Tahoma" w:ascii="Tahoma" w:hAnsi="Tahoma"/>
          <w:b w:val="false"/>
          <w:sz w:val="20"/>
          <w:szCs w:val="20"/>
        </w:rPr>
        <w:t xml:space="preserve">au 1er Janvier 2022 : 1,3 % </w:t>
      </w:r>
      <w:r>
        <w:rPr>
          <w:rFonts w:cs="Tahoma" w:ascii="Tahoma" w:hAnsi="Tahoma"/>
          <w:b w:val="false"/>
          <w:color w:val="000000"/>
          <w:sz w:val="20"/>
          <w:szCs w:val="20"/>
        </w:rPr>
        <w:t>des rémunérations de cette catégorie</w:t>
      </w:r>
    </w:p>
    <w:p>
      <w:pPr>
        <w:pStyle w:val="Corpsdetexte2"/>
        <w:rPr>
          <w:rFonts w:ascii="Tahoma" w:hAnsi="Tahoma" w:cs="Tahoma"/>
          <w:b w:val="false"/>
          <w:b w:val="false"/>
          <w:sz w:val="20"/>
          <w:szCs w:val="20"/>
        </w:rPr>
      </w:pPr>
      <w:r>
        <w:rPr>
          <w:rFonts w:cs="Tahoma" w:ascii="Tahoma" w:hAnsi="Tahoma"/>
          <w:b w:val="false"/>
          <w:sz w:val="20"/>
          <w:szCs w:val="20"/>
        </w:rPr>
      </w:r>
    </w:p>
    <w:p>
      <w:pPr>
        <w:pStyle w:val="Corpsdetexte2"/>
        <w:rPr/>
      </w:pPr>
      <w:r>
        <w:rPr>
          <w:rFonts w:cs="Tahoma" w:ascii="Tahoma" w:hAnsi="Tahoma"/>
          <w:b w:val="false"/>
          <w:bCs w:val="false"/>
          <w:sz w:val="20"/>
          <w:szCs w:val="20"/>
        </w:rPr>
        <w:t>Cette mesure s’appliquera sur la paie de juin 2022 avec effet rétroactif au 1er janvier 2022.</w:t>
      </w:r>
    </w:p>
    <w:p>
      <w:pPr>
        <w:pStyle w:val="Corpsdetexte2"/>
        <w:spacing w:before="240" w:after="0"/>
        <w:rPr>
          <w:rFonts w:ascii="Tahoma" w:hAnsi="Tahoma" w:cs="Tahoma"/>
          <w:color w:val="000080"/>
          <w:sz w:val="20"/>
          <w:szCs w:val="20"/>
        </w:rPr>
      </w:pPr>
      <w:r>
        <w:rPr>
          <w:color w:val="800000"/>
          <w:sz w:val="28"/>
          <w:szCs w:val="28"/>
        </w:rPr>
        <w:t>►</w:t>
      </w:r>
      <w:r>
        <w:rPr/>
        <w:t xml:space="preserve"> </w:t>
      </w:r>
      <w:r>
        <w:rPr>
          <w:rFonts w:cs="Tahoma" w:ascii="Tahoma" w:hAnsi="Tahoma"/>
          <w:color w:val="000080"/>
          <w:sz w:val="20"/>
          <w:szCs w:val="20"/>
        </w:rPr>
        <w:t>Budget spécifique de 0,2%</w:t>
      </w:r>
    </w:p>
    <w:p>
      <w:pPr>
        <w:pStyle w:val="Corpsdetexte2"/>
        <w:rPr>
          <w:rFonts w:ascii="Tahoma" w:hAnsi="Tahoma" w:cs="Tahoma"/>
          <w:color w:val="000080"/>
          <w:sz w:val="20"/>
          <w:szCs w:val="20"/>
        </w:rPr>
      </w:pPr>
      <w:r>
        <w:rPr>
          <w:rFonts w:cs="Tahoma" w:ascii="Tahoma" w:hAnsi="Tahoma"/>
          <w:color w:val="000080"/>
          <w:sz w:val="20"/>
          <w:szCs w:val="20"/>
        </w:rPr>
      </w:r>
    </w:p>
    <w:p>
      <w:pPr>
        <w:pStyle w:val="TextBody"/>
        <w:numPr>
          <w:ilvl w:val="0"/>
          <w:numId w:val="5"/>
        </w:numPr>
        <w:rPr>
          <w:rFonts w:ascii="Tahoma" w:hAnsi="Tahoma" w:cs="Tahoma"/>
          <w:sz w:val="20"/>
          <w:szCs w:val="20"/>
        </w:rPr>
      </w:pPr>
      <w:r>
        <w:rPr>
          <w:rFonts w:cs="Tahoma" w:ascii="Tahoma" w:hAnsi="Tahoma"/>
          <w:sz w:val="20"/>
          <w:szCs w:val="20"/>
        </w:rPr>
        <w:t>au titre</w:t>
      </w:r>
      <w:r>
        <w:rPr>
          <w:rFonts w:cs="Tahoma" w:ascii="Tahoma" w:hAnsi="Tahoma"/>
          <w:b/>
          <w:sz w:val="20"/>
          <w:szCs w:val="20"/>
        </w:rPr>
        <w:t xml:space="preserve"> </w:t>
      </w:r>
      <w:r>
        <w:rPr>
          <w:rFonts w:cs="Tahoma" w:ascii="Tahoma" w:hAnsi="Tahoma"/>
          <w:sz w:val="20"/>
          <w:szCs w:val="20"/>
        </w:rPr>
        <w:t>des mesures spécifiques : Budget représentant 0,2 % des rémunérations de cette catégorie. Il sera notamment dédié au traitement de l’égalité Femmes/Hommes ainsi qu’à l’accompagnement des évolutions de carrière.</w:t>
      </w:r>
    </w:p>
    <w:p>
      <w:pPr>
        <w:pStyle w:val="Corpsdetexte2"/>
        <w:rPr>
          <w:rFonts w:ascii="Tahoma" w:hAnsi="Tahoma" w:cs="Tahoma"/>
          <w:b w:val="false"/>
          <w:b w:val="false"/>
          <w:sz w:val="20"/>
          <w:szCs w:val="20"/>
        </w:rPr>
      </w:pPr>
      <w:r>
        <w:rPr>
          <w:rFonts w:cs="Tahoma" w:ascii="Tahoma" w:hAnsi="Tahoma"/>
          <w:b w:val="false"/>
          <w:sz w:val="20"/>
          <w:szCs w:val="20"/>
        </w:rPr>
      </w:r>
    </w:p>
    <w:p>
      <w:pPr>
        <w:pStyle w:val="Corpsdetexte2"/>
        <w:tabs>
          <w:tab w:val="left" w:pos="1494" w:leader="none"/>
        </w:tabs>
        <w:spacing w:before="240" w:after="0"/>
        <w:rPr>
          <w:rFonts w:ascii="Tahoma" w:hAnsi="Tahoma" w:cs="Tahoma"/>
          <w:color w:val="1F497D"/>
          <w:sz w:val="20"/>
          <w:szCs w:val="20"/>
        </w:rPr>
      </w:pPr>
      <w:r>
        <w:rPr>
          <w:rFonts w:cs="Arial" w:ascii="Arial" w:hAnsi="Arial"/>
          <w:color w:val="1F497D"/>
          <w:sz w:val="20"/>
          <w:szCs w:val="20"/>
        </w:rPr>
        <w:t>►</w:t>
      </w:r>
      <w:r>
        <w:rPr>
          <w:rFonts w:eastAsia="Tahoma" w:cs="Tahoma" w:ascii="Tahoma" w:hAnsi="Tahoma"/>
          <w:color w:val="1F497D"/>
          <w:sz w:val="20"/>
          <w:szCs w:val="20"/>
        </w:rPr>
        <w:t xml:space="preserve"> </w:t>
      </w:r>
      <w:r>
        <w:rPr>
          <w:rFonts w:cs="Tahoma" w:ascii="Tahoma" w:hAnsi="Tahoma"/>
          <w:color w:val="1F497D"/>
          <w:sz w:val="20"/>
          <w:szCs w:val="20"/>
        </w:rPr>
        <w:t>A l’ensemble de ces mesures, il convient d’ajouter l’effet de l’évolution de la prime d’ancienneté représentant 0,1% des rémunérations de cette catégorie.</w:t>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Normal"/>
        <w:rPr>
          <w:rFonts w:ascii="Tahoma" w:hAnsi="Tahoma" w:cs="Tahoma"/>
          <w:color w:val="800000"/>
          <w:sz w:val="20"/>
          <w:szCs w:val="20"/>
          <w:u w:val="single"/>
        </w:rPr>
      </w:pPr>
      <w:r>
        <w:rPr>
          <w:rFonts w:cs="Tahoma" w:ascii="Tahoma" w:hAnsi="Tahoma"/>
          <w:color w:val="800000"/>
          <w:sz w:val="20"/>
          <w:szCs w:val="20"/>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t>Article 3 – Salaire des ingénieurs et cadres</w:t>
      </w:r>
    </w:p>
    <w:p>
      <w:pPr>
        <w:pStyle w:val="TextBody"/>
        <w:rPr>
          <w:rFonts w:ascii="Tahoma" w:hAnsi="Tahoma" w:cs="Tahoma"/>
          <w:color w:val="800000"/>
          <w:sz w:val="20"/>
          <w:szCs w:val="20"/>
          <w:u w:val="single"/>
        </w:rPr>
      </w:pPr>
      <w:r>
        <w:rPr>
          <w:rFonts w:cs="Tahoma" w:ascii="Tahoma" w:hAnsi="Tahoma"/>
          <w:color w:val="800000"/>
          <w:sz w:val="20"/>
          <w:szCs w:val="20"/>
          <w:u w:val="single"/>
        </w:rPr>
      </w:r>
    </w:p>
    <w:p>
      <w:pPr>
        <w:pStyle w:val="TextBody"/>
        <w:rPr>
          <w:rFonts w:ascii="Tahoma" w:hAnsi="Tahoma" w:cs="Tahoma"/>
          <w:sz w:val="20"/>
          <w:szCs w:val="20"/>
        </w:rPr>
      </w:pPr>
      <w:r>
        <w:rPr>
          <w:rFonts w:cs="Tahoma" w:ascii="Tahoma" w:hAnsi="Tahoma"/>
          <w:sz w:val="20"/>
          <w:szCs w:val="20"/>
        </w:rPr>
        <w:t>Pour cette catégorie de personnels, le budget se répartit de la manière suivante :</w:t>
      </w:r>
    </w:p>
    <w:p>
      <w:pPr>
        <w:pStyle w:val="TextBody"/>
        <w:rPr>
          <w:rFonts w:ascii="Tahoma" w:hAnsi="Tahoma" w:cs="Tahoma"/>
          <w:sz w:val="20"/>
          <w:szCs w:val="20"/>
        </w:rPr>
      </w:pPr>
      <w:r>
        <w:rPr>
          <w:rFonts w:cs="Tahoma" w:ascii="Tahoma" w:hAnsi="Tahoma"/>
          <w:sz w:val="20"/>
          <w:szCs w:val="20"/>
        </w:rPr>
      </w:r>
    </w:p>
    <w:p>
      <w:pPr>
        <w:pStyle w:val="TextBody"/>
        <w:numPr>
          <w:ilvl w:val="0"/>
          <w:numId w:val="2"/>
        </w:numPr>
        <w:rPr/>
      </w:pPr>
      <w:r>
        <w:rPr>
          <w:rFonts w:cs="Tahoma" w:ascii="Tahoma" w:hAnsi="Tahoma"/>
          <w:sz w:val="20"/>
          <w:szCs w:val="20"/>
        </w:rPr>
        <w:t>Au 1</w:t>
      </w:r>
      <w:r>
        <w:rPr>
          <w:rFonts w:cs="Tahoma" w:ascii="Tahoma" w:hAnsi="Tahoma"/>
          <w:sz w:val="20"/>
          <w:szCs w:val="20"/>
          <w:vertAlign w:val="superscript"/>
        </w:rPr>
        <w:t>er</w:t>
      </w:r>
      <w:r>
        <w:rPr>
          <w:rFonts w:cs="Tahoma" w:ascii="Tahoma" w:hAnsi="Tahoma"/>
          <w:sz w:val="20"/>
          <w:szCs w:val="20"/>
        </w:rPr>
        <w:t xml:space="preserve"> Janvier 2022 :</w:t>
      </w:r>
    </w:p>
    <w:p>
      <w:pPr>
        <w:pStyle w:val="Corpsdetexte2"/>
        <w:ind w:left="708" w:hanging="0"/>
        <w:rPr>
          <w:rFonts w:ascii="Tahoma" w:hAnsi="Tahoma" w:cs="Tahoma"/>
          <w:b w:val="false"/>
          <w:b w:val="false"/>
          <w:sz w:val="20"/>
          <w:szCs w:val="20"/>
        </w:rPr>
      </w:pPr>
      <w:r>
        <w:rPr>
          <w:rFonts w:cs="Tahoma" w:ascii="Tahoma" w:hAnsi="Tahoma"/>
          <w:b w:val="false"/>
          <w:sz w:val="20"/>
          <w:szCs w:val="20"/>
        </w:rPr>
      </w:r>
    </w:p>
    <w:p>
      <w:pPr>
        <w:pStyle w:val="Corpsdetexte2"/>
        <w:numPr>
          <w:ilvl w:val="0"/>
          <w:numId w:val="5"/>
        </w:numPr>
        <w:rPr>
          <w:rFonts w:ascii="Tahoma" w:hAnsi="Tahoma" w:cs="Tahoma"/>
          <w:b w:val="false"/>
          <w:b w:val="false"/>
          <w:sz w:val="20"/>
          <w:szCs w:val="20"/>
        </w:rPr>
      </w:pPr>
      <w:r>
        <w:rPr>
          <w:rFonts w:cs="Tahoma" w:ascii="Tahoma" w:hAnsi="Tahoma"/>
          <w:b w:val="false"/>
          <w:sz w:val="20"/>
          <w:szCs w:val="20"/>
        </w:rPr>
        <w:t>Au titre des Augmentations Individuelles :</w:t>
      </w:r>
      <w:r>
        <w:rPr>
          <w:rFonts w:cs="Tahoma" w:ascii="Tahoma" w:hAnsi="Tahoma"/>
          <w:b w:val="false"/>
          <w:color w:val="FF0000"/>
          <w:sz w:val="20"/>
          <w:szCs w:val="20"/>
        </w:rPr>
        <w:t xml:space="preserve"> </w:t>
      </w:r>
      <w:r>
        <w:rPr>
          <w:rFonts w:cs="Tahoma" w:ascii="Tahoma" w:hAnsi="Tahoma"/>
          <w:b w:val="false"/>
          <w:sz w:val="20"/>
          <w:szCs w:val="20"/>
        </w:rPr>
        <w:t>Budget représentant 2,8% des rémunérations de cette catégorie.</w:t>
      </w:r>
    </w:p>
    <w:p>
      <w:pPr>
        <w:pStyle w:val="Corpsdetexte2"/>
        <w:numPr>
          <w:ilvl w:val="0"/>
          <w:numId w:val="5"/>
        </w:numPr>
        <w:rPr>
          <w:b w:val="false"/>
          <w:b w:val="false"/>
        </w:rPr>
      </w:pPr>
      <w:r>
        <w:rPr>
          <w:rFonts w:cs="Tahoma" w:ascii="Tahoma" w:hAnsi="Tahoma"/>
          <w:b w:val="false"/>
          <w:sz w:val="20"/>
          <w:szCs w:val="20"/>
        </w:rPr>
        <w:t>En cas d’attribution d’une augmentation individuelle, celle-ci ne pourra être inférieure à 1,5%. Si aucune AI n’est attribuée le manager devra en expliquer les raisons au collaborateur.</w:t>
      </w:r>
    </w:p>
    <w:p>
      <w:pPr>
        <w:pStyle w:val="Corpsdetexte2"/>
        <w:rPr>
          <w:rFonts w:ascii="Tahoma" w:hAnsi="Tahoma" w:cs="Tahoma"/>
          <w:b w:val="false"/>
          <w:b w:val="false"/>
          <w:sz w:val="20"/>
          <w:szCs w:val="20"/>
        </w:rPr>
      </w:pPr>
      <w:r>
        <w:rPr>
          <w:rFonts w:cs="Tahoma" w:ascii="Tahoma" w:hAnsi="Tahoma"/>
          <w:b w:val="false"/>
          <w:sz w:val="20"/>
          <w:szCs w:val="20"/>
        </w:rPr>
      </w:r>
    </w:p>
    <w:p>
      <w:pPr>
        <w:pStyle w:val="Corpsdetexte2"/>
        <w:rPr>
          <w:rFonts w:ascii="Tahoma" w:hAnsi="Tahoma" w:cs="Tahoma"/>
          <w:b w:val="false"/>
          <w:b w:val="false"/>
          <w:sz w:val="20"/>
          <w:szCs w:val="20"/>
        </w:rPr>
      </w:pPr>
      <w:r>
        <w:rPr>
          <w:rFonts w:cs="Tahoma" w:ascii="Tahoma" w:hAnsi="Tahoma"/>
          <w:b w:val="false"/>
          <w:sz w:val="20"/>
          <w:szCs w:val="20"/>
        </w:rPr>
      </w:r>
    </w:p>
    <w:p>
      <w:pPr>
        <w:pStyle w:val="Corpsdetexte2"/>
        <w:ind w:left="357" w:firstLine="351"/>
        <w:rPr>
          <w:b w:val="false"/>
          <w:b w:val="false"/>
        </w:rPr>
      </w:pPr>
      <w:r>
        <w:rPr>
          <w:rFonts w:cs="Tahoma" w:ascii="Tahoma" w:hAnsi="Tahoma"/>
          <w:b w:val="false"/>
          <w:bCs w:val="false"/>
          <w:sz w:val="20"/>
          <w:szCs w:val="20"/>
        </w:rPr>
        <w:t>Cette mesure s’appliquera sur la paie de juin 2022 avec effet rétroactif au 1er janvier 2022.</w:t>
      </w:r>
    </w:p>
    <w:p>
      <w:pPr>
        <w:pStyle w:val="Corpsdetexte2"/>
        <w:rPr>
          <w:rFonts w:ascii="Tahoma" w:hAnsi="Tahoma" w:cs="Tahoma"/>
          <w:b w:val="false"/>
          <w:b w:val="false"/>
          <w:sz w:val="20"/>
          <w:szCs w:val="20"/>
        </w:rPr>
      </w:pPr>
      <w:r>
        <w:rPr>
          <w:rFonts w:cs="Tahoma" w:ascii="Tahoma" w:hAnsi="Tahoma"/>
          <w:b w:val="false"/>
          <w:sz w:val="20"/>
          <w:szCs w:val="20"/>
        </w:rPr>
      </w:r>
    </w:p>
    <w:p>
      <w:pPr>
        <w:pStyle w:val="Corpsdetexte2"/>
        <w:rPr>
          <w:rFonts w:ascii="Tahoma" w:hAnsi="Tahoma" w:cs="Tahoma"/>
          <w:b w:val="false"/>
          <w:b w:val="false"/>
          <w:sz w:val="20"/>
          <w:szCs w:val="20"/>
        </w:rPr>
      </w:pPr>
      <w:r>
        <w:rPr>
          <w:rFonts w:cs="Tahoma" w:ascii="Tahoma" w:hAnsi="Tahoma"/>
          <w:b w:val="false"/>
          <w:sz w:val="20"/>
          <w:szCs w:val="20"/>
        </w:rPr>
      </w:r>
    </w:p>
    <w:p>
      <w:pPr>
        <w:pStyle w:val="TextBody"/>
        <w:numPr>
          <w:ilvl w:val="0"/>
          <w:numId w:val="5"/>
        </w:numPr>
        <w:rPr>
          <w:rFonts w:ascii="Tahoma" w:hAnsi="Tahoma" w:cs="Tahoma"/>
          <w:sz w:val="20"/>
          <w:szCs w:val="20"/>
        </w:rPr>
      </w:pPr>
      <w:r>
        <w:rPr>
          <w:rFonts w:cs="Tahoma" w:ascii="Tahoma" w:hAnsi="Tahoma"/>
          <w:sz w:val="20"/>
          <w:szCs w:val="20"/>
        </w:rPr>
        <w:t>Au titre</w:t>
      </w:r>
      <w:r>
        <w:rPr>
          <w:rFonts w:cs="Tahoma" w:ascii="Tahoma" w:hAnsi="Tahoma"/>
          <w:b/>
          <w:sz w:val="20"/>
          <w:szCs w:val="20"/>
        </w:rPr>
        <w:t xml:space="preserve"> </w:t>
      </w:r>
      <w:r>
        <w:rPr>
          <w:rFonts w:cs="Tahoma" w:ascii="Tahoma" w:hAnsi="Tahoma"/>
          <w:sz w:val="20"/>
          <w:szCs w:val="20"/>
        </w:rPr>
        <w:t>des mesures spécifiques : Budget représentant 0,2 % des rémunérations de cette catégorie. Il sera notamment dédié au traitement de l’égalité Femmes/Hommes ainsi qu’à l’accompagnement des évolutions de carrière.</w:t>
      </w:r>
    </w:p>
    <w:p>
      <w:pPr>
        <w:pStyle w:val="Normal"/>
        <w:rPr>
          <w:rFonts w:ascii="Tahoma" w:hAnsi="Tahoma" w:cs="Tahoma"/>
          <w:sz w:val="20"/>
          <w:szCs w:val="20"/>
        </w:rPr>
      </w:pPr>
      <w:r>
        <w:rPr>
          <w:rFonts w:cs="Tahoma" w:ascii="Tahoma" w:hAnsi="Tahoma"/>
          <w:sz w:val="20"/>
          <w:szCs w:val="20"/>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Normal"/>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r>
    </w:p>
    <w:p>
      <w:pPr>
        <w:pStyle w:val="Heading1"/>
        <w:numPr>
          <w:ilvl w:val="0"/>
          <w:numId w:val="1"/>
        </w:numPr>
        <w:rPr>
          <w:rFonts w:ascii="Tahoma" w:hAnsi="Tahoma" w:cs="Tahoma"/>
          <w:color w:val="800000"/>
          <w:sz w:val="20"/>
          <w:szCs w:val="20"/>
          <w:u w:val="single"/>
        </w:rPr>
      </w:pPr>
      <w:r>
        <w:rPr>
          <w:rFonts w:cs="Tahoma" w:ascii="Tahoma" w:hAnsi="Tahoma"/>
          <w:color w:val="800000"/>
          <w:sz w:val="20"/>
          <w:szCs w:val="20"/>
          <w:u w:val="single"/>
        </w:rPr>
        <w:t>Article 4 - Clause complémentaire :</w:t>
      </w:r>
    </w:p>
    <w:p>
      <w:pPr>
        <w:pStyle w:val="Normal"/>
        <w:rPr>
          <w:rFonts w:ascii="Tahoma" w:hAnsi="Tahoma" w:cs="Tahoma"/>
          <w:color w:val="800000"/>
          <w:sz w:val="20"/>
          <w:szCs w:val="20"/>
          <w:u w:val="single"/>
        </w:rPr>
      </w:pPr>
      <w:r>
        <w:rPr>
          <w:rFonts w:cs="Tahoma" w:ascii="Tahoma" w:hAnsi="Tahoma"/>
          <w:color w:val="800000"/>
          <w:sz w:val="20"/>
          <w:szCs w:val="20"/>
          <w:u w:val="single"/>
        </w:rPr>
      </w:r>
    </w:p>
    <w:p>
      <w:pPr>
        <w:pStyle w:val="Heading"/>
        <w:numPr>
          <w:ilvl w:val="0"/>
          <w:numId w:val="4"/>
        </w:numPr>
        <w:spacing w:before="0" w:after="240"/>
        <w:jc w:val="both"/>
        <w:rPr>
          <w:rFonts w:ascii="Tahoma" w:hAnsi="Tahoma" w:cs="Tahoma"/>
          <w:b w:val="false"/>
          <w:b w:val="false"/>
          <w:bCs w:val="false"/>
          <w:sz w:val="20"/>
          <w:szCs w:val="20"/>
        </w:rPr>
      </w:pPr>
      <w:r>
        <w:rPr>
          <w:rFonts w:cs="Tahoma" w:ascii="Tahoma" w:hAnsi="Tahoma"/>
          <w:b w:val="false"/>
          <w:bCs w:val="false"/>
          <w:sz w:val="20"/>
          <w:szCs w:val="20"/>
        </w:rPr>
        <w:t>Augmentation de la prime de transport de 0,3 euros pour la porter à 2 euros par jour de présence sur site. Cette prime est défiscalisée dans la limite de 200€ et soumise à cotisation au-delà.</w:t>
      </w:r>
    </w:p>
    <w:p>
      <w:pPr>
        <w:pStyle w:val="Normal"/>
        <w:spacing w:before="480" w:after="0"/>
        <w:jc w:val="both"/>
        <w:rPr>
          <w:rFonts w:ascii="Tahoma" w:hAnsi="Tahoma" w:cs="Tahoma"/>
          <w:b/>
          <w:b/>
          <w:color w:val="800000"/>
          <w:u w:val="single"/>
        </w:rPr>
      </w:pPr>
      <w:r>
        <w:rPr>
          <w:rFonts w:cs="Tahoma" w:ascii="Tahoma" w:hAnsi="Tahoma"/>
          <w:b/>
          <w:color w:val="800000"/>
          <w:u w:val="single"/>
        </w:rPr>
        <w:t>Article 5 – Clause de rendez-vous.</w:t>
      </w:r>
    </w:p>
    <w:p>
      <w:pPr>
        <w:pStyle w:val="Normal"/>
        <w:jc w:val="both"/>
        <w:rPr>
          <w:rFonts w:ascii="Tahoma" w:hAnsi="Tahoma" w:cs="Tahoma"/>
          <w:b/>
          <w:b/>
          <w:color w:val="800000"/>
          <w:u w:val="single"/>
        </w:rPr>
      </w:pPr>
      <w:r>
        <w:rPr>
          <w:rFonts w:cs="Tahoma" w:ascii="Tahoma" w:hAnsi="Tahoma"/>
          <w:b/>
          <w:color w:val="800000"/>
          <w:u w:val="single"/>
        </w:rPr>
      </w:r>
    </w:p>
    <w:p>
      <w:pPr>
        <w:pStyle w:val="Normal"/>
        <w:jc w:val="both"/>
        <w:rPr>
          <w:rFonts w:ascii="Tahoma" w:hAnsi="Tahoma" w:cs="Tahoma"/>
        </w:rPr>
      </w:pPr>
      <w:r>
        <w:rPr>
          <w:rFonts w:cs="Tahoma" w:ascii="Tahoma" w:hAnsi="Tahoma"/>
        </w:rPr>
        <w:t>Dans l’hypothèse où les dispositions encadrant l’évolution des rémunérations pour 2022 seraient amenées à évoluer, dans le cadre du suivi de l’accord de groupe de sortie de crise du 21 octobre 2021 (chapitre 9), les parties signataires du présent accord se rencontreront dans un délai raisonnable afin d’examiner l’opportunité d’adapter les dispositions du présent accord. </w:t>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r>
    </w:p>
    <w:p>
      <w:pPr>
        <w:pStyle w:val="Normal"/>
        <w:spacing w:before="480" w:after="0"/>
        <w:jc w:val="both"/>
        <w:rPr>
          <w:rFonts w:ascii="Tahoma" w:hAnsi="Tahoma" w:cs="Tahoma"/>
          <w:b/>
          <w:b/>
          <w:color w:val="800000"/>
          <w:u w:val="single"/>
        </w:rPr>
      </w:pPr>
      <w:r>
        <w:rPr>
          <w:rFonts w:cs="Tahoma" w:ascii="Tahoma" w:hAnsi="Tahoma"/>
          <w:b/>
          <w:color w:val="800000"/>
          <w:u w:val="single"/>
        </w:rPr>
        <w:t>Article 6 – Modalités de dépôt de l'accord</w:t>
      </w:r>
    </w:p>
    <w:p>
      <w:pPr>
        <w:pStyle w:val="TextBody"/>
        <w:rPr>
          <w:rFonts w:ascii="Tahoma" w:hAnsi="Tahoma" w:cs="Tahoma"/>
          <w:b/>
          <w:b/>
          <w:color w:val="800000"/>
          <w:u w:val="single"/>
        </w:rPr>
      </w:pPr>
      <w:r>
        <w:rPr>
          <w:rFonts w:cs="Tahoma" w:ascii="Tahoma" w:hAnsi="Tahoma"/>
          <w:b/>
          <w:color w:val="800000"/>
          <w:u w:val="single"/>
        </w:rPr>
      </w:r>
    </w:p>
    <w:p>
      <w:pPr>
        <w:pStyle w:val="TextBody"/>
        <w:rPr>
          <w:rFonts w:ascii="Tahoma" w:hAnsi="Tahoma" w:cs="Tahoma"/>
          <w:sz w:val="20"/>
          <w:szCs w:val="20"/>
        </w:rPr>
      </w:pPr>
      <w:r>
        <w:rPr>
          <w:rFonts w:cs="Tahoma" w:ascii="Tahoma" w:hAnsi="Tahoma"/>
          <w:sz w:val="20"/>
          <w:szCs w:val="20"/>
        </w:rPr>
        <w:t>Le présent accord est établi en 5 exemplaires originaux pour remise à chaque organisation syndicale et pour les dépôts suivants :</w:t>
      </w:r>
    </w:p>
    <w:p>
      <w:pPr>
        <w:pStyle w:val="Normal"/>
        <w:numPr>
          <w:ilvl w:val="0"/>
          <w:numId w:val="3"/>
        </w:numPr>
        <w:spacing w:before="60" w:after="0"/>
        <w:ind w:left="357" w:hanging="357"/>
        <w:jc w:val="both"/>
        <w:rPr/>
      </w:pPr>
      <w:r>
        <w:rPr>
          <w:rFonts w:cs="Tahoma" w:ascii="Tahoma" w:hAnsi="Tahoma"/>
        </w:rPr>
        <w:t>1 exemplaire informatique à la DREETS,</w:t>
      </w:r>
    </w:p>
    <w:p>
      <w:pPr>
        <w:pStyle w:val="Normal"/>
        <w:numPr>
          <w:ilvl w:val="0"/>
          <w:numId w:val="3"/>
        </w:numPr>
        <w:spacing w:before="60" w:after="0"/>
        <w:ind w:left="357" w:hanging="357"/>
        <w:jc w:val="both"/>
        <w:rPr>
          <w:rFonts w:ascii="Tahoma" w:hAnsi="Tahoma" w:cs="Tahoma"/>
        </w:rPr>
      </w:pPr>
      <w:r>
        <w:rPr>
          <w:rFonts w:cs="Tahoma" w:ascii="Tahoma" w:hAnsi="Tahoma"/>
        </w:rPr>
        <w:t>1 exemplaire signé destiné au Secrétariat-greffe du Conseil de Prud'hommes du lieu de conclusion.</w:t>
      </w:r>
    </w:p>
    <w:p>
      <w:pPr>
        <w:pStyle w:val="Normal"/>
        <w:jc w:val="both"/>
        <w:rPr>
          <w:rFonts w:ascii="Tahoma" w:hAnsi="Tahoma" w:cs="Tahoma"/>
        </w:rPr>
      </w:pPr>
      <w:r>
        <w:rPr>
          <w:rFonts w:cs="Tahoma" w:ascii="Tahoma" w:hAnsi="Tahoma"/>
        </w:rPr>
        <w:t>Ces deux dépôts seront effectués par l'employeur.</w:t>
      </w:r>
    </w:p>
    <w:p>
      <w:pPr>
        <w:pStyle w:val="Normal"/>
        <w:jc w:val="both"/>
        <w:rPr>
          <w:rFonts w:ascii="Tahoma" w:hAnsi="Tahoma" w:cs="Tahoma"/>
          <w:sz w:val="24"/>
        </w:rPr>
      </w:pPr>
      <w:r>
        <w:rPr>
          <w:rFonts w:cs="Tahoma" w:ascii="Tahoma" w:hAnsi="Tahoma"/>
          <w:sz w:val="24"/>
        </w:rPr>
      </w:r>
    </w:p>
    <w:p>
      <w:pPr>
        <w:pStyle w:val="Heading5"/>
        <w:numPr>
          <w:ilvl w:val="4"/>
          <w:numId w:val="1"/>
        </w:numPr>
        <w:ind w:left="4956" w:hanging="0"/>
        <w:rPr>
          <w:rFonts w:ascii="Tahoma" w:hAnsi="Tahoma" w:cs="Tahoma"/>
          <w:sz w:val="20"/>
          <w:szCs w:val="20"/>
        </w:rPr>
      </w:pPr>
      <w:r>
        <w:rPr>
          <w:rFonts w:cs="Tahoma" w:ascii="Tahoma" w:hAnsi="Tahoma"/>
          <w:sz w:val="20"/>
          <w:szCs w:val="20"/>
        </w:rPr>
      </w:r>
    </w:p>
    <w:p>
      <w:pPr>
        <w:pStyle w:val="Heading5"/>
        <w:numPr>
          <w:ilvl w:val="4"/>
          <w:numId w:val="1"/>
        </w:numPr>
        <w:ind w:left="4956" w:hanging="0"/>
        <w:rPr>
          <w:rFonts w:ascii="Tahoma" w:hAnsi="Tahoma" w:cs="Tahoma"/>
          <w:sz w:val="20"/>
          <w:szCs w:val="20"/>
        </w:rPr>
      </w:pPr>
      <w:r>
        <w:rPr>
          <w:rFonts w:cs="Tahoma" w:ascii="Tahoma" w:hAnsi="Tahoma"/>
          <w:sz w:val="20"/>
          <w:szCs w:val="20"/>
        </w:rPr>
        <w:t xml:space="preserve">Fait à Nexon, le </w:t>
      </w:r>
    </w:p>
    <w:p>
      <w:pPr>
        <w:pStyle w:val="Normal"/>
        <w:rPr>
          <w:rFonts w:ascii="Tahoma" w:hAnsi="Tahoma" w:cs="Tahoma"/>
          <w:sz w:val="20"/>
          <w:szCs w:val="20"/>
        </w:rPr>
      </w:pPr>
      <w:r>
        <w:rPr>
          <w:rFonts w:cs="Tahoma" w:ascii="Tahoma" w:hAnsi="Tahoma"/>
          <w:sz w:val="20"/>
          <w:szCs w:val="20"/>
        </w:rPr>
      </w:r>
    </w:p>
    <w:p>
      <w:pPr>
        <w:pStyle w:val="Normal"/>
        <w:rPr/>
      </w:pPr>
      <w:r>
        <w:rPr/>
      </w:r>
    </w:p>
    <w:p>
      <w:pPr>
        <w:pStyle w:val="Normal"/>
        <w:rPr/>
      </w:pPr>
      <w:r>
        <w:rPr/>
      </w:r>
    </w:p>
    <w:p>
      <w:pPr>
        <w:pStyle w:val="Normal"/>
        <w:rPr/>
      </w:pPr>
      <w:r>
        <w:rPr/>
      </w:r>
    </w:p>
    <w:p>
      <w:pPr>
        <w:pStyle w:val="Heading6"/>
        <w:numPr>
          <w:ilvl w:val="5"/>
          <w:numId w:val="1"/>
        </w:numPr>
        <w:tabs>
          <w:tab w:val="left" w:pos="4536" w:leader="none"/>
        </w:tabs>
        <w:rPr>
          <w:rFonts w:ascii="Tahoma" w:hAnsi="Tahoma" w:cs="Tahoma"/>
          <w:b/>
          <w:b/>
          <w:bCs/>
          <w:color w:val="333333"/>
          <w:sz w:val="20"/>
        </w:rPr>
      </w:pPr>
      <w:r>
        <w:rPr>
          <w:rFonts w:cs="Tahoma" w:ascii="Tahoma" w:hAnsi="Tahoma"/>
          <w:b/>
          <w:bCs/>
          <w:color w:val="333333"/>
          <w:sz w:val="20"/>
        </w:rPr>
        <w:t>Pour la Société :</w:t>
        <w:tab/>
        <w:t>M. Xxxxxx XXXXXX, Président</w:t>
      </w:r>
    </w:p>
    <w:p>
      <w:pPr>
        <w:pStyle w:val="Normal"/>
        <w:rPr>
          <w:rFonts w:ascii="Tahoma" w:hAnsi="Tahoma" w:cs="Tahoma"/>
          <w:b/>
          <w:b/>
          <w:bCs/>
          <w:color w:val="333333"/>
          <w:sz w:val="16"/>
        </w:rPr>
      </w:pPr>
      <w:r>
        <w:rPr>
          <w:rFonts w:cs="Tahoma" w:ascii="Tahoma" w:hAnsi="Tahoma"/>
          <w:b/>
          <w:bCs/>
          <w:color w:val="333333"/>
          <w:sz w:val="16"/>
        </w:rPr>
      </w:r>
    </w:p>
    <w:p>
      <w:pPr>
        <w:pStyle w:val="Normal"/>
        <w:rPr>
          <w:rFonts w:ascii="Tahoma" w:hAnsi="Tahoma" w:cs="Tahoma"/>
          <w:b/>
          <w:b/>
          <w:bCs/>
          <w:color w:val="333333"/>
          <w:sz w:val="16"/>
        </w:rPr>
      </w:pPr>
      <w:r>
        <w:rPr>
          <w:rFonts w:cs="Tahoma" w:ascii="Tahoma" w:hAnsi="Tahoma"/>
          <w:b/>
          <w:bCs/>
          <w:color w:val="333333"/>
          <w:sz w:val="16"/>
        </w:rPr>
      </w:r>
    </w:p>
    <w:p>
      <w:pPr>
        <w:pStyle w:val="Normal"/>
        <w:rPr>
          <w:rFonts w:ascii="Tahoma" w:hAnsi="Tahoma" w:cs="Tahoma"/>
          <w:b/>
          <w:b/>
          <w:bCs/>
          <w:color w:val="333333"/>
          <w:sz w:val="16"/>
        </w:rPr>
      </w:pPr>
      <w:r>
        <w:rPr>
          <w:rFonts w:cs="Tahoma" w:ascii="Tahoma" w:hAnsi="Tahoma"/>
          <w:b/>
          <w:bCs/>
          <w:color w:val="333333"/>
          <w:sz w:val="16"/>
        </w:rPr>
      </w:r>
    </w:p>
    <w:p>
      <w:pPr>
        <w:pStyle w:val="Normal"/>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4536" w:leader="none"/>
        </w:tabs>
        <w:jc w:val="both"/>
        <w:rPr>
          <w:rFonts w:ascii="Tahoma" w:hAnsi="Tahoma" w:cs="Tahoma"/>
          <w:b/>
          <w:b/>
          <w:bCs/>
          <w:color w:val="333333"/>
        </w:rPr>
      </w:pPr>
      <w:r>
        <w:rPr>
          <w:rFonts w:cs="Tahoma" w:ascii="Tahoma" w:hAnsi="Tahoma"/>
          <w:b/>
          <w:bCs/>
          <w:color w:val="333333"/>
        </w:rPr>
        <w:t>C.G.T. :</w:t>
        <w:tab/>
        <w:t>M. Xxxxxx XXXXXXX</w:t>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4536" w:leader="none"/>
        </w:tabs>
        <w:rPr>
          <w:rFonts w:ascii="Tahoma" w:hAnsi="Tahoma" w:cs="Tahoma"/>
          <w:b/>
          <w:b/>
          <w:bCs/>
          <w:color w:val="333333"/>
        </w:rPr>
      </w:pPr>
      <w:r>
        <w:rPr>
          <w:rFonts w:cs="Tahoma" w:ascii="Tahoma" w:hAnsi="Tahoma"/>
          <w:b/>
          <w:bCs/>
          <w:color w:val="333333"/>
        </w:rPr>
        <w:t>FO :</w:t>
        <w:tab/>
        <w:t>M. Xxxxxxx XXXXXXX</w:t>
      </w:r>
    </w:p>
    <w:p>
      <w:pPr>
        <w:pStyle w:val="Normal"/>
        <w:tabs>
          <w:tab w:val="left" w:pos="4536" w:leader="none"/>
        </w:tabs>
        <w:rPr>
          <w:rFonts w:ascii="Tahoma" w:hAnsi="Tahoma" w:cs="Tahoma"/>
          <w:b/>
          <w:b/>
          <w:bCs/>
          <w:color w:val="333333"/>
        </w:rPr>
      </w:pPr>
      <w:r>
        <w:rPr>
          <w:rFonts w:cs="Tahoma" w:ascii="Tahoma" w:hAnsi="Tahoma"/>
          <w:b/>
          <w:bCs/>
          <w:color w:val="333333"/>
        </w:rPr>
      </w:r>
    </w:p>
    <w:p>
      <w:pPr>
        <w:pStyle w:val="Normal"/>
        <w:tabs>
          <w:tab w:val="left" w:pos="4536" w:leader="none"/>
        </w:tabs>
        <w:rPr>
          <w:rFonts w:ascii="Tahoma" w:hAnsi="Tahoma" w:cs="Tahoma"/>
          <w:b/>
          <w:b/>
          <w:bCs/>
          <w:color w:val="333333"/>
        </w:rPr>
      </w:pPr>
      <w:r>
        <w:rPr>
          <w:rFonts w:cs="Tahoma" w:ascii="Tahoma" w:hAnsi="Tahoma"/>
          <w:b/>
          <w:bCs/>
          <w:color w:val="333333"/>
        </w:rPr>
      </w:r>
    </w:p>
    <w:p>
      <w:pPr>
        <w:pStyle w:val="Normal"/>
        <w:tabs>
          <w:tab w:val="left" w:pos="4536" w:leader="none"/>
        </w:tabs>
        <w:rPr>
          <w:rFonts w:ascii="Tahoma" w:hAnsi="Tahoma" w:cs="Tahoma"/>
          <w:b/>
          <w:b/>
          <w:bCs/>
          <w:color w:val="333333"/>
        </w:rPr>
      </w:pPr>
      <w:r>
        <w:rPr>
          <w:rFonts w:cs="Tahoma" w:ascii="Tahoma" w:hAnsi="Tahoma"/>
          <w:b/>
          <w:bCs/>
          <w:color w:val="333333"/>
        </w:rPr>
      </w:r>
    </w:p>
    <w:p>
      <w:pPr>
        <w:pStyle w:val="Normal"/>
        <w:tabs>
          <w:tab w:val="left" w:pos="4536" w:leader="none"/>
        </w:tabs>
        <w:rPr>
          <w:rFonts w:ascii="Tahoma" w:hAnsi="Tahoma" w:cs="Tahoma"/>
          <w:b/>
          <w:b/>
          <w:bCs/>
          <w:color w:val="333333"/>
        </w:rPr>
      </w:pPr>
      <w:r>
        <w:rPr>
          <w:rFonts w:cs="Tahoma" w:ascii="Tahoma" w:hAnsi="Tahoma"/>
          <w:b/>
          <w:bCs/>
          <w:color w:val="333333"/>
        </w:rPr>
      </w:r>
    </w:p>
    <w:p>
      <w:pPr>
        <w:pStyle w:val="Normal"/>
        <w:tabs>
          <w:tab w:val="left" w:pos="4536" w:leader="none"/>
        </w:tabs>
        <w:rPr>
          <w:rFonts w:ascii="Tahoma" w:hAnsi="Tahoma" w:cs="Tahoma"/>
          <w:b/>
          <w:b/>
          <w:bCs/>
          <w:color w:val="333333"/>
        </w:rPr>
      </w:pPr>
      <w:r>
        <w:rPr>
          <w:rFonts w:cs="Tahoma" w:ascii="Tahoma" w:hAnsi="Tahoma"/>
          <w:b/>
          <w:bCs/>
          <w:color w:val="333333"/>
        </w:rPr>
      </w:r>
    </w:p>
    <w:p>
      <w:pPr>
        <w:pStyle w:val="Normal"/>
        <w:tabs>
          <w:tab w:val="left" w:pos="1701" w:leader="none"/>
        </w:tabs>
        <w:jc w:val="both"/>
        <w:rPr>
          <w:rFonts w:ascii="Tahoma" w:hAnsi="Tahoma" w:cs="Tahoma"/>
          <w:b/>
          <w:b/>
          <w:bCs/>
          <w:color w:val="333333"/>
          <w:sz w:val="16"/>
        </w:rPr>
      </w:pPr>
      <w:r>
        <w:rPr>
          <w:rFonts w:cs="Tahoma" w:ascii="Tahoma" w:hAnsi="Tahoma"/>
          <w:b/>
          <w:bCs/>
          <w:color w:val="333333"/>
          <w:sz w:val="16"/>
        </w:rPr>
      </w:r>
    </w:p>
    <w:p>
      <w:pPr>
        <w:pStyle w:val="Normal"/>
        <w:tabs>
          <w:tab w:val="left" w:pos="4536" w:leader="none"/>
        </w:tabs>
        <w:rPr>
          <w:rFonts w:ascii="Tahoma" w:hAnsi="Tahoma" w:cs="Tahoma"/>
          <w:b/>
          <w:b/>
          <w:bCs/>
          <w:color w:val="333333"/>
        </w:rPr>
      </w:pPr>
      <w:r>
        <w:rPr>
          <w:rFonts w:cs="Tahoma" w:ascii="Tahoma" w:hAnsi="Tahoma"/>
          <w:b/>
          <w:bCs/>
          <w:color w:val="333333"/>
        </w:rPr>
        <w:t>CFE-CGC :</w:t>
        <w:tab/>
        <w:t>M. Xxxxxx XXXXXX</w:t>
      </w:r>
    </w:p>
    <w:p>
      <w:pPr>
        <w:pStyle w:val="Normal"/>
        <w:tabs>
          <w:tab w:val="left" w:pos="4536" w:leader="none"/>
        </w:tabs>
        <w:rPr>
          <w:rFonts w:ascii="Tahoma" w:hAnsi="Tahoma" w:cs="Tahoma"/>
          <w:b/>
          <w:b/>
          <w:bCs/>
          <w:color w:val="333333"/>
        </w:rPr>
      </w:pPr>
      <w:bookmarkStart w:id="0" w:name="_PictureBullets"/>
      <w:bookmarkStart w:id="1" w:name="_PictureBullets"/>
      <w:bookmarkEnd w:id="1"/>
      <w:r>
        <w:rPr/>
      </w:r>
    </w:p>
    <w:sectPr>
      <w:headerReference w:type="default" r:id="rId2"/>
      <w:footerReference w:type="default" r:id="rId3"/>
      <w:type w:val="nextPage"/>
      <w:pgSz w:w="11906" w:h="16838"/>
      <w:pgMar w:left="1418" w:right="1418" w:header="720" w:top="1418" w:footer="851" w:bottom="90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Tahoma" w:hAnsi="Tahoma" w:cs="Tahoma"/>
        <w:b/>
        <w:b/>
        <w:bCs/>
        <w:color w:val="808080"/>
      </w:rPr>
    </w:pPr>
    <w:r>
      <w:rPr>
        <w:rFonts w:eastAsia="Tahoma" w:cs="Tahoma" w:ascii="Tahoma" w:hAnsi="Tahoma"/>
        <w:b/>
        <w:bCs/>
        <w:color w:val="808080"/>
      </w:rPr>
      <w:t xml:space="preserve">                                                                                                  </w:t>
    </w:r>
    <w:r>
      <w:rPr>
        <w:rFonts w:cs="Tahoma" w:ascii="Tahoma" w:hAnsi="Tahoma"/>
        <w:b/>
        <w:bCs/>
        <w:color w:val="808080"/>
      </w:rPr>
      <w:t>Accord  Salarial 2022</w:t>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163195" cy="145415"/>
              <wp:effectExtent l="0" t="0" r="0" b="0"/>
              <wp:wrapSquare wrapText="largest"/>
              <wp:docPr id="3" name="Frame1"/>
              <a:graphic xmlns:a="http://schemas.openxmlformats.org/drawingml/2006/main">
                <a:graphicData uri="http://schemas.microsoft.com/office/word/2010/wordprocessingShape">
                  <wps:wsp>
                    <wps:cNvSpPr txBox="1"/>
                    <wps:spPr>
                      <a:xfrm>
                        <a:off x="0" y="0"/>
                        <a:ext cx="163195" cy="14541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4</w:t>
                          </w:r>
                          <w:r>
                            <w:fldChar w:fldCharType="end"/>
                          </w:r>
                          <w:r>
                            <w:rPr>
                              <w:rStyle w:val="PageNumber"/>
                            </w:rPr>
                            <w:t>/4</w:t>
                          </w:r>
                        </w:p>
                      </w:txbxContent>
                    </wps:txbx>
                    <wps:bodyPr anchor="t">
                      <a:noAutofit/>
                    </wps:bodyPr>
                  </wps:wsp>
                </a:graphicData>
              </a:graphic>
            </wp:anchor>
          </w:drawing>
        </mc:Choice>
        <mc:Fallback>
          <w:pict>
            <v:rect fillcolor="#FFFFFF" style="position:absolute;rotation:0;width:12.85pt;height:11.45pt;margin-top:0.05pt;mso-position-vertical-relative:text;margin-left:440.6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4</w:t>
                    </w:r>
                    <w:r>
                      <w:fldChar w:fldCharType="end"/>
                    </w:r>
                    <w:r>
                      <w:rPr>
                        <w:rStyle w:val="PageNumber"/>
                      </w:rPr>
                      <w:t>/4</w:t>
                    </w:r>
                  </w:p>
                </w:txbxContent>
              </v:textbox>
              <w10:wrap type="square" side="largest"/>
            </v:rect>
          </w:pict>
        </mc:Fallback>
      </mc:AlternateContent>
    </w:r>
  </w:p>
  <w:p>
    <w:pPr>
      <w:pStyle w:val="Footer"/>
      <w:ind w:right="360" w:hanging="0"/>
      <w:rPr>
        <w:rFonts w:ascii="Tahoma" w:hAnsi="Tahoma" w:cs="Tahoma"/>
        <w:b/>
        <w:b/>
        <w:bCs/>
        <w:color w:val="808080"/>
      </w:rPr>
    </w:pPr>
    <w:r>
      <w:rPr>
        <w:rFonts w:cs="Tahoma" w:ascii="Tahoma" w:hAnsi="Tahoma"/>
        <w:b/>
        <w:bCs/>
        <w:color w:val="80808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9">
          <wp:simplePos x="0" y="0"/>
          <wp:positionH relativeFrom="page">
            <wp:posOffset>4863465</wp:posOffset>
          </wp:positionH>
          <wp:positionV relativeFrom="page">
            <wp:posOffset>0</wp:posOffset>
          </wp:positionV>
          <wp:extent cx="2698115" cy="108013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rcRect l="-13" t="-33" r="-13" b="-33"/>
                  <a:stretch>
                    <a:fillRect/>
                  </a:stretch>
                </pic:blipFill>
                <pic:spPr bwMode="auto">
                  <a:xfrm>
                    <a:off x="0" y="0"/>
                    <a:ext cx="2698115" cy="1080135"/>
                  </a:xfrm>
                  <a:prstGeom prst="rect">
                    <a:avLst/>
                  </a:prstGeom>
                </pic:spPr>
              </pic:pic>
            </a:graphicData>
          </a:graphic>
        </wp:anchor>
      </w:drawing>
      <w:drawing>
        <wp:anchor behindDoc="1" distT="0" distB="0" distL="114935" distR="114935" simplePos="0" locked="0" layoutInCell="1" allowOverlap="1" relativeHeight="13">
          <wp:simplePos x="0" y="0"/>
          <wp:positionH relativeFrom="page">
            <wp:posOffset>0</wp:posOffset>
          </wp:positionH>
          <wp:positionV relativeFrom="page">
            <wp:posOffset>0</wp:posOffset>
          </wp:positionV>
          <wp:extent cx="3602990" cy="1259840"/>
          <wp:effectExtent l="0" t="0" r="0" b="0"/>
          <wp:wrapNone/>
          <wp:docPr id="2" name="Imag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
                  <pic:cNvPicPr>
                    <a:picLocks noChangeAspect="1" noChangeArrowheads="1"/>
                  </pic:cNvPicPr>
                </pic:nvPicPr>
                <pic:blipFill>
                  <a:blip r:embed="rId2"/>
                  <a:srcRect l="-3" t="-9" r="-3" b="-9"/>
                  <a:stretch>
                    <a:fillRect/>
                  </a:stretch>
                </pic:blipFill>
                <pic:spPr bwMode="auto">
                  <a:xfrm>
                    <a:off x="0" y="0"/>
                    <a:ext cx="3602990" cy="12598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bullet"/>
      <w:lvlText w:val="-"/>
      <w:lvlJc w:val="left"/>
      <w:pPr>
        <w:tabs>
          <w:tab w:val="num" w:pos="360"/>
        </w:tabs>
        <w:ind w:left="360" w:hanging="360"/>
      </w:pPr>
      <w:rPr>
        <w:rFonts w:ascii="Times New Roman" w:hAnsi="Times New Roman" w:cs="Times New Roman" w:hint="default"/>
        <w:sz w:val="20"/>
        <w:b w:val="false"/>
        <w:szCs w:val="20"/>
        <w:rFonts w:cs="Times New Roman"/>
      </w:rPr>
    </w:lvl>
  </w:abstractNum>
  <w:abstractNum w:abstractNumId="3">
    <w:lvl w:ilvl="0">
      <w:numFmt w:val="bullet"/>
      <w:lvlText w:val="-"/>
      <w:lvlJc w:val="left"/>
      <w:pPr>
        <w:tabs>
          <w:tab w:val="num" w:pos="360"/>
        </w:tabs>
        <w:ind w:left="360" w:hanging="360"/>
      </w:pPr>
      <w:rPr>
        <w:rFonts w:ascii="Liberation Serif" w:hAnsi="Liberation Serif" w:cs="Liberation Serif" w:hint="default"/>
        <w:rFonts w:cs="Tahoma"/>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PicBulletId w:val="0"/>
      <w:lvlJc w:val="left"/>
      <w:pPr>
        <w:tabs>
          <w:tab w:val="num" w:pos="1425"/>
        </w:tabs>
        <w:ind w:left="1425" w:hanging="360"/>
      </w:pPr>
      <w:rPr>
        <w:rFonts w:ascii="Symbol" w:hAnsi="Symbol" w:cs="Symbol" w:hint="default"/>
        <w:rFonts w:cs="Symbol"/>
      </w:rPr>
    </w:lvl>
  </w:abstractNum>
  <w:abstractNum w:abstractNumId="6">
    <w:lvl w:ilvl="0">
      <w:start w:val="1"/>
      <w:numFmt w:val="bullet"/>
      <w:lvlText w:val=""/>
      <w:lvlPicBulletId w:val="0"/>
      <w:lvlJc w:val="left"/>
      <w:pPr>
        <w:tabs>
          <w:tab w:val="num" w:pos="1425"/>
        </w:tabs>
        <w:ind w:left="1425"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jc w:val="both"/>
      <w:outlineLvl w:val="0"/>
    </w:pPr>
    <w:rPr>
      <w:b/>
      <w:bCs/>
      <w:sz w:val="24"/>
      <w:szCs w:val="24"/>
    </w:rPr>
  </w:style>
  <w:style w:type="paragraph" w:styleId="Heading2">
    <w:name w:val="Heading 2"/>
    <w:basedOn w:val="Normal"/>
    <w:next w:val="Normal"/>
    <w:qFormat/>
    <w:pPr>
      <w:keepNext w:val="true"/>
      <w:numPr>
        <w:ilvl w:val="1"/>
        <w:numId w:val="1"/>
      </w:numPr>
      <w:outlineLvl w:val="1"/>
    </w:pPr>
    <w:rPr>
      <w:b/>
      <w:bCs/>
      <w:sz w:val="24"/>
      <w:szCs w:val="24"/>
    </w:rPr>
  </w:style>
  <w:style w:type="paragraph" w:styleId="Heading3">
    <w:name w:val="Heading 3"/>
    <w:basedOn w:val="Normal"/>
    <w:next w:val="Normal"/>
    <w:qFormat/>
    <w:pPr>
      <w:keepNext w:val="true"/>
      <w:numPr>
        <w:ilvl w:val="2"/>
        <w:numId w:val="1"/>
      </w:numPr>
      <w:outlineLvl w:val="2"/>
    </w:pPr>
    <w:rPr>
      <w:sz w:val="28"/>
      <w:szCs w:val="28"/>
    </w:rPr>
  </w:style>
  <w:style w:type="paragraph" w:styleId="Heading4">
    <w:name w:val="Heading 4"/>
    <w:basedOn w:val="Normal"/>
    <w:next w:val="Normal"/>
    <w:qFormat/>
    <w:pPr>
      <w:keepNext w:val="true"/>
      <w:numPr>
        <w:ilvl w:val="3"/>
        <w:numId w:val="1"/>
      </w:numPr>
      <w:outlineLvl w:val="3"/>
    </w:pPr>
    <w:rPr>
      <w:sz w:val="24"/>
      <w:szCs w:val="24"/>
    </w:rPr>
  </w:style>
  <w:style w:type="paragraph" w:styleId="Heading5">
    <w:name w:val="Heading 5"/>
    <w:basedOn w:val="Normal"/>
    <w:next w:val="Normal"/>
    <w:qFormat/>
    <w:pPr>
      <w:keepNext w:val="true"/>
      <w:numPr>
        <w:ilvl w:val="4"/>
        <w:numId w:val="1"/>
      </w:numPr>
      <w:ind w:left="5670" w:hanging="0"/>
      <w:jc w:val="both"/>
      <w:outlineLvl w:val="4"/>
    </w:pPr>
    <w:rPr>
      <w:sz w:val="24"/>
      <w:szCs w:val="24"/>
    </w:rPr>
  </w:style>
  <w:style w:type="paragraph" w:styleId="Heading6">
    <w:name w:val="Heading 6"/>
    <w:basedOn w:val="Normal"/>
    <w:next w:val="Normal"/>
    <w:qFormat/>
    <w:pPr>
      <w:keepNext w:val="true"/>
      <w:numPr>
        <w:ilvl w:val="5"/>
        <w:numId w:val="1"/>
      </w:numPr>
      <w:tabs>
        <w:tab w:val="left" w:pos="2835" w:leader="none"/>
      </w:tabs>
      <w:jc w:val="both"/>
      <w:outlineLvl w:val="5"/>
    </w:pPr>
    <w:rPr>
      <w:sz w:val="24"/>
      <w:szCs w:val="24"/>
    </w:rPr>
  </w:style>
  <w:style w:type="character" w:styleId="WW8Num1z0">
    <w:name w:val="WW8Num1z0"/>
    <w:qFormat/>
    <w:rPr>
      <w:rFonts w:ascii="Times New Roman" w:hAnsi="Times New Roman" w:eastAsia="Times New Roman" w:cs="Times New Roman"/>
      <w:b w:val="false"/>
      <w:sz w:val="20"/>
      <w:szCs w:val="20"/>
    </w:rPr>
  </w:style>
  <w:style w:type="character" w:styleId="WW8Num1z1">
    <w:name w:val="WW8Num1z1"/>
    <w:qFormat/>
    <w:rPr>
      <w:rFonts w:ascii="Courier New" w:hAnsi="Courier New" w:cs="Courier New"/>
    </w:rPr>
  </w:style>
  <w:style w:type="character" w:styleId="WW8Num1z2">
    <w:name w:val="WW8Num1z2"/>
    <w:qFormat/>
    <w:rPr>
      <w:rFonts w:ascii="Symbol" w:hAnsi="Symbol" w:cs="Symbol"/>
    </w:rPr>
  </w:style>
  <w:style w:type="character" w:styleId="WW8Num1z5">
    <w:name w:val="WW8Num1z5"/>
    <w:qFormat/>
    <w:rPr>
      <w:rFonts w:ascii="Wingdings" w:hAnsi="Wingdings" w:cs="Wingdings"/>
    </w:rPr>
  </w:style>
  <w:style w:type="character" w:styleId="WW8Num2z0">
    <w:name w:val="WW8Num2z0"/>
    <w:qFormat/>
    <w:rPr>
      <w:rFonts w:ascii="Tahoma" w:hAnsi="Tahoma" w:cs="Tahoma"/>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Policepardfaut">
    <w:name w:val="Police par défaut"/>
    <w:qFormat/>
    <w:rPr/>
  </w:style>
  <w:style w:type="character" w:styleId="PageNumber">
    <w:name w:val="Page Number"/>
    <w:basedOn w:val="Policepardfaut"/>
    <w:rPr/>
  </w:style>
  <w:style w:type="character" w:styleId="Marquedecommentaire">
    <w:name w:val="Marque de commentaire"/>
    <w:qFormat/>
    <w:rPr>
      <w:sz w:val="16"/>
      <w:szCs w:val="16"/>
    </w:rPr>
  </w:style>
  <w:style w:type="character" w:styleId="Applestylespan">
    <w:name w:val="apple-style-span"/>
    <w:qFormat/>
    <w:rPr/>
  </w:style>
  <w:style w:type="paragraph" w:styleId="Heading">
    <w:name w:val="Heading"/>
    <w:basedOn w:val="Normal"/>
    <w:next w:val="TextBody"/>
    <w:qFormat/>
    <w:pPr>
      <w:jc w:val="center"/>
    </w:pPr>
    <w:rPr>
      <w:b/>
      <w:bCs/>
      <w:sz w:val="24"/>
      <w:szCs w:val="24"/>
    </w:rPr>
  </w:style>
  <w:style w:type="paragraph" w:styleId="TextBody">
    <w:name w:val="Body Text"/>
    <w:basedOn w:val="Normal"/>
    <w:pPr>
      <w:jc w:val="both"/>
    </w:pPr>
    <w:rPr>
      <w:sz w:val="24"/>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b/>
      <w:bCs/>
      <w:sz w:val="24"/>
      <w:szCs w:val="24"/>
    </w:rPr>
  </w:style>
  <w:style w:type="paragraph" w:styleId="Corpsdetexte3">
    <w:name w:val="Corps de texte 3"/>
    <w:basedOn w:val="Normal"/>
    <w:qFormat/>
    <w:pPr/>
    <w:rPr>
      <w:sz w:val="24"/>
      <w:szCs w:val="24"/>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TextBodyIndent">
    <w:name w:val="Body Text Indent"/>
    <w:basedOn w:val="Normal"/>
    <w:pPr>
      <w:spacing w:before="240" w:after="0"/>
      <w:ind w:left="1134" w:hanging="0"/>
    </w:pPr>
    <w:rPr>
      <w:sz w:val="24"/>
      <w:szCs w:val="24"/>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Textedebulles">
    <w:name w:val="Texte de bulles"/>
    <w:basedOn w:val="Normal"/>
    <w:qFormat/>
    <w:pPr/>
    <w:rPr>
      <w:rFonts w:ascii="Tahoma" w:hAnsi="Tahoma" w:cs="Tahoma"/>
      <w:sz w:val="16"/>
      <w:szCs w:val="16"/>
    </w:rPr>
  </w:style>
  <w:style w:type="paragraph" w:styleId="Textedesaisie">
    <w:name w:val="Texte de saisie"/>
    <w:basedOn w:val="Normal"/>
    <w:qFormat/>
    <w:pPr>
      <w:spacing w:lineRule="atLeast" w:line="264"/>
    </w:pPr>
    <w:rPr>
      <w:rFonts w:ascii="Arial" w:hAnsi="Arial" w:cs="Arial"/>
      <w:color w:val="3E3D40"/>
      <w:sz w:val="22"/>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2022-02-17T16:27:00Z</dcterms:created>
  <dc:creator/>
  <dc:description/>
  <dc:language>en-GB</dc:language>
  <cp:lastModifiedBy/>
  <cp:lastPrinted>2018-03-15T11:26:00Z</cp:lastPrinted>
  <dcterms:modified xsi:type="dcterms:W3CDTF">2022-02-17T16:27:00Z</dcterms:modified>
  <cp:revision>2</cp:revision>
  <dc:subject/>
  <dc:title>PRELIMINAIRE A L'ACCORD SUR LA REDUCTION DU TEMPS DE TRAVAIL</dc:title>
</cp:coreProperties>
</file>