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lineRule="atLeast" w:line="240"/>
        <w:jc w:val="center"/>
        <w:rPr>
          <w:rFonts w:ascii="Calibri" w:hAnsi="Calibri" w:cs="Calibri"/>
          <w:b/>
          <w:b/>
          <w:sz w:val="32"/>
          <w:szCs w:val="32"/>
        </w:rPr>
      </w:pPr>
      <w:r>
        <w:rPr>
          <w:rFonts w:cs="Calibri" w:ascii="Calibri" w:hAnsi="Calibri"/>
          <w:b/>
          <w:sz w:val="32"/>
          <w:szCs w:val="32"/>
        </w:rPr>
        <w:t xml:space="preserve">Accord d’entreprise </w:t>
      </w:r>
    </w:p>
    <w:p>
      <w:pPr>
        <w:pStyle w:val="Normal"/>
        <w:pBdr>
          <w:top w:val="single" w:sz="4" w:space="1" w:color="000000"/>
          <w:left w:val="single" w:sz="4" w:space="4" w:color="000000"/>
          <w:bottom w:val="single" w:sz="4" w:space="1" w:color="000000"/>
          <w:right w:val="single" w:sz="4" w:space="4" w:color="000000"/>
        </w:pBdr>
        <w:spacing w:lineRule="atLeast" w:line="240"/>
        <w:jc w:val="center"/>
        <w:rPr>
          <w:rFonts w:ascii="Calibri" w:hAnsi="Calibri" w:cs="Calibri"/>
          <w:b/>
          <w:b/>
          <w:sz w:val="32"/>
          <w:szCs w:val="32"/>
        </w:rPr>
      </w:pPr>
      <w:r>
        <w:rPr>
          <w:rFonts w:cs="Calibri" w:ascii="Calibri" w:hAnsi="Calibri"/>
          <w:b/>
          <w:sz w:val="32"/>
          <w:szCs w:val="32"/>
        </w:rPr>
        <w:t>Politique salariale 2023 TEXELIS</w:t>
      </w:r>
    </w:p>
    <w:p>
      <w:pPr>
        <w:pStyle w:val="Normal"/>
        <w:autoSpaceDE w:val="false"/>
        <w:spacing w:lineRule="atLeast" w:line="200"/>
        <w:jc w:val="both"/>
        <w:rPr>
          <w:rFonts w:ascii="Calibri" w:hAnsi="Calibri" w:cs="Calibri"/>
          <w:b/>
          <w:b/>
          <w:sz w:val="20"/>
          <w:szCs w:val="22"/>
        </w:rPr>
      </w:pPr>
      <w:r>
        <w:rPr>
          <w:rFonts w:cs="Calibri" w:ascii="Calibri" w:hAnsi="Calibri"/>
          <w:b/>
          <w:sz w:val="20"/>
          <w:szCs w:val="22"/>
        </w:rPr>
      </w:r>
    </w:p>
    <w:p>
      <w:pPr>
        <w:pStyle w:val="Normal"/>
        <w:autoSpaceDE w:val="false"/>
        <w:spacing w:lineRule="atLeast" w:line="200"/>
        <w:jc w:val="both"/>
        <w:rPr>
          <w:rFonts w:ascii="Calibri" w:hAnsi="Calibri" w:cs="Calibri"/>
          <w:b/>
          <w:b/>
          <w:sz w:val="20"/>
          <w:szCs w:val="22"/>
        </w:rPr>
      </w:pPr>
      <w:r>
        <w:rPr>
          <w:rFonts w:cs="Calibri" w:ascii="Calibri" w:hAnsi="Calibri"/>
          <w:b/>
          <w:sz w:val="20"/>
          <w:szCs w:val="22"/>
        </w:rPr>
      </w:r>
    </w:p>
    <w:p>
      <w:pPr>
        <w:pStyle w:val="Normal"/>
        <w:spacing w:lineRule="atLeast" w:line="200"/>
        <w:jc w:val="both"/>
        <w:rPr/>
      </w:pPr>
      <w:r>
        <w:rPr>
          <w:rFonts w:cs="Calibri" w:ascii="Calibri" w:hAnsi="Calibri"/>
          <w:b/>
          <w:sz w:val="22"/>
        </w:rPr>
        <w:t>ENTRE LES SOUSSIGNES</w:t>
      </w:r>
      <w:r>
        <w:rPr>
          <w:rFonts w:cs="Calibri" w:ascii="Calibri" w:hAnsi="Calibri"/>
          <w:sz w:val="22"/>
        </w:rPr>
        <w:t> :</w:t>
      </w:r>
    </w:p>
    <w:p>
      <w:pPr>
        <w:pStyle w:val="Normal"/>
        <w:spacing w:lineRule="atLeast" w:line="200"/>
        <w:jc w:val="both"/>
        <w:rPr>
          <w:rFonts w:ascii="Calibri" w:hAnsi="Calibri" w:cs="Calibri"/>
          <w:sz w:val="22"/>
        </w:rPr>
      </w:pPr>
      <w:r>
        <w:rPr>
          <w:rFonts w:cs="Calibri" w:ascii="Calibri" w:hAnsi="Calibri"/>
          <w:sz w:val="22"/>
        </w:rPr>
      </w:r>
    </w:p>
    <w:p>
      <w:pPr>
        <w:pStyle w:val="Normal"/>
        <w:spacing w:lineRule="atLeast" w:line="200"/>
        <w:jc w:val="both"/>
        <w:rPr>
          <w:rFonts w:ascii="Calibri" w:hAnsi="Calibri" w:cs="Calibri"/>
          <w:sz w:val="22"/>
        </w:rPr>
      </w:pPr>
      <w:r>
        <w:rPr>
          <w:rFonts w:cs="Calibri" w:ascii="Calibri" w:hAnsi="Calibri"/>
          <w:sz w:val="22"/>
        </w:rPr>
        <w:t>La Société TEXELIS SAS, dont le siège social est situé à Limoges, immatriculée au RCS de Limoges sous le numéro 501 698 419, représentée par :</w:t>
      </w:r>
    </w:p>
    <w:p>
      <w:pPr>
        <w:pStyle w:val="Normal"/>
        <w:spacing w:lineRule="atLeast" w:line="200"/>
        <w:jc w:val="both"/>
        <w:rPr>
          <w:rFonts w:ascii="Calibri" w:hAnsi="Calibri" w:cs="Calibri"/>
          <w:sz w:val="22"/>
        </w:rPr>
      </w:pPr>
      <w:r>
        <w:rPr>
          <w:rFonts w:eastAsia="Calibri" w:cs="Calibri" w:ascii="Calibri" w:hAnsi="Calibri"/>
          <w:sz w:val="22"/>
        </w:rPr>
        <w:t xml:space="preserve">                                                  </w:t>
      </w:r>
      <w:r>
        <w:rPr>
          <w:rFonts w:cs="Calibri" w:ascii="Calibri" w:hAnsi="Calibri"/>
          <w:sz w:val="22"/>
        </w:rPr>
        <w:t>, en sa qualité de Président ;</w:t>
      </w:r>
    </w:p>
    <w:p>
      <w:pPr>
        <w:pStyle w:val="Normal"/>
        <w:spacing w:lineRule="atLeast" w:line="200"/>
        <w:jc w:val="both"/>
        <w:rPr/>
      </w:pPr>
      <w:r>
        <w:rPr>
          <w:rFonts w:cs="Calibri" w:ascii="Calibri" w:hAnsi="Calibri"/>
          <w:sz w:val="22"/>
        </w:rPr>
        <w:t>et                                        , en sa qualité de Directrice des Ressources Humaines.</w:t>
      </w:r>
    </w:p>
    <w:p>
      <w:pPr>
        <w:pStyle w:val="Normal"/>
        <w:spacing w:lineRule="atLeast" w:line="200"/>
        <w:jc w:val="both"/>
        <w:rPr>
          <w:rFonts w:ascii="Calibri" w:hAnsi="Calibri" w:cs="Calibri"/>
          <w:sz w:val="22"/>
        </w:rPr>
      </w:pPr>
      <w:r>
        <w:rPr>
          <w:rFonts w:cs="Calibri" w:ascii="Calibri" w:hAnsi="Calibri"/>
          <w:sz w:val="22"/>
        </w:rPr>
      </w:r>
    </w:p>
    <w:p>
      <w:pPr>
        <w:pStyle w:val="Normal"/>
        <w:spacing w:lineRule="atLeast" w:line="200"/>
        <w:ind w:left="6372" w:firstLine="708"/>
        <w:jc w:val="both"/>
        <w:rPr>
          <w:rFonts w:ascii="Calibri" w:hAnsi="Calibri" w:cs="Calibri"/>
          <w:sz w:val="22"/>
        </w:rPr>
      </w:pPr>
      <w:r>
        <w:rPr>
          <w:rFonts w:cs="Calibri" w:ascii="Calibri" w:hAnsi="Calibri"/>
          <w:sz w:val="22"/>
        </w:rPr>
        <w:t>D’une part</w:t>
      </w:r>
    </w:p>
    <w:p>
      <w:pPr>
        <w:pStyle w:val="Normal"/>
        <w:spacing w:lineRule="atLeast" w:line="200"/>
        <w:jc w:val="both"/>
        <w:rPr>
          <w:rFonts w:ascii="Calibri" w:hAnsi="Calibri" w:cs="Calibri"/>
          <w:sz w:val="22"/>
        </w:rPr>
      </w:pPr>
      <w:r>
        <w:rPr>
          <w:rFonts w:cs="Calibri" w:ascii="Calibri" w:hAnsi="Calibri"/>
          <w:sz w:val="22"/>
        </w:rPr>
        <w:t>Et :</w:t>
      </w:r>
    </w:p>
    <w:p>
      <w:pPr>
        <w:pStyle w:val="Normal"/>
        <w:spacing w:lineRule="atLeast" w:line="200"/>
        <w:jc w:val="both"/>
        <w:rPr>
          <w:rFonts w:ascii="Calibri" w:hAnsi="Calibri" w:cs="Calibri"/>
          <w:sz w:val="22"/>
        </w:rPr>
      </w:pPr>
      <w:r>
        <w:rPr>
          <w:rFonts w:cs="Calibri" w:ascii="Calibri" w:hAnsi="Calibri"/>
          <w:sz w:val="22"/>
        </w:rPr>
        <w:t>Les organisations syndicales représentatives de salariés :</w:t>
      </w:r>
    </w:p>
    <w:p>
      <w:pPr>
        <w:pStyle w:val="Normal"/>
        <w:spacing w:lineRule="atLeast" w:line="200"/>
        <w:jc w:val="both"/>
        <w:rPr>
          <w:rFonts w:ascii="Calibri" w:hAnsi="Calibri" w:cs="Calibri"/>
          <w:sz w:val="22"/>
        </w:rPr>
      </w:pPr>
      <w:r>
        <w:rPr>
          <w:rFonts w:cs="Calibri" w:ascii="Calibri" w:hAnsi="Calibri"/>
          <w:sz w:val="22"/>
        </w:rPr>
        <w:t>—</w:t>
      </w:r>
      <w:r>
        <w:rPr>
          <w:rFonts w:eastAsia="Calibri" w:cs="Calibri" w:ascii="Calibri" w:hAnsi="Calibri"/>
          <w:sz w:val="22"/>
        </w:rPr>
        <w:t xml:space="preserve"> </w:t>
      </w:r>
      <w:r>
        <w:rPr>
          <w:rFonts w:cs="Calibri" w:ascii="Calibri" w:hAnsi="Calibri"/>
          <w:sz w:val="22"/>
        </w:rPr>
        <w:t>le syndicat CFDT représenté par                         en sa qualité de Délégué Syndical ;</w:t>
      </w:r>
    </w:p>
    <w:p>
      <w:pPr>
        <w:pStyle w:val="Normal"/>
        <w:spacing w:lineRule="atLeast" w:line="200"/>
        <w:jc w:val="both"/>
        <w:rPr>
          <w:rFonts w:ascii="Calibri" w:hAnsi="Calibri" w:cs="Calibri"/>
          <w:sz w:val="22"/>
        </w:rPr>
      </w:pPr>
      <w:r>
        <w:rPr>
          <w:rFonts w:cs="Calibri" w:ascii="Calibri" w:hAnsi="Calibri"/>
          <w:sz w:val="22"/>
        </w:rPr>
        <w:t>—</w:t>
      </w:r>
      <w:r>
        <w:rPr>
          <w:rFonts w:eastAsia="Calibri" w:cs="Calibri" w:ascii="Calibri" w:hAnsi="Calibri"/>
          <w:sz w:val="22"/>
        </w:rPr>
        <w:t xml:space="preserve"> </w:t>
      </w:r>
      <w:r>
        <w:rPr>
          <w:rFonts w:cs="Calibri" w:ascii="Calibri" w:hAnsi="Calibri"/>
          <w:sz w:val="22"/>
        </w:rPr>
        <w:t>le syndicat CGT représenté par                          en sa qualité de Délégué Syndical ;</w:t>
      </w:r>
    </w:p>
    <w:p>
      <w:pPr>
        <w:pStyle w:val="Normal"/>
        <w:spacing w:lineRule="atLeast" w:line="200"/>
        <w:jc w:val="both"/>
        <w:rPr/>
      </w:pPr>
      <w:r>
        <w:rPr>
          <w:rFonts w:cs="Calibri" w:ascii="Calibri" w:hAnsi="Calibri"/>
          <w:sz w:val="22"/>
        </w:rPr>
        <w:t>—</w:t>
      </w:r>
      <w:r>
        <w:rPr>
          <w:rFonts w:eastAsia="Calibri" w:cs="Calibri" w:ascii="Calibri" w:hAnsi="Calibri"/>
          <w:sz w:val="22"/>
        </w:rPr>
        <w:t xml:space="preserve"> </w:t>
      </w:r>
      <w:r>
        <w:rPr>
          <w:rFonts w:cs="Calibri" w:ascii="Calibri" w:hAnsi="Calibri"/>
          <w:sz w:val="22"/>
        </w:rPr>
        <w:t>le syndicat CFE-CGC représenté                        en sa qualité de Délégué Syndical.</w:t>
      </w:r>
    </w:p>
    <w:p>
      <w:pPr>
        <w:pStyle w:val="Normal"/>
        <w:spacing w:lineRule="atLeast" w:line="200"/>
        <w:jc w:val="both"/>
        <w:rPr>
          <w:rFonts w:ascii="Calibri" w:hAnsi="Calibri" w:cs="Calibri"/>
          <w:sz w:val="22"/>
        </w:rPr>
      </w:pPr>
      <w:r>
        <w:rPr>
          <w:rFonts w:cs="Calibri" w:ascii="Calibri" w:hAnsi="Calibri"/>
          <w:sz w:val="22"/>
        </w:rPr>
      </w:r>
    </w:p>
    <w:p>
      <w:pPr>
        <w:pStyle w:val="Normal"/>
        <w:spacing w:lineRule="atLeast" w:line="200"/>
        <w:ind w:left="6372" w:firstLine="708"/>
        <w:jc w:val="both"/>
        <w:rPr>
          <w:rFonts w:ascii="Calibri" w:hAnsi="Calibri" w:cs="Calibri"/>
          <w:sz w:val="22"/>
        </w:rPr>
      </w:pPr>
      <w:r>
        <w:rPr>
          <w:rFonts w:cs="Calibri" w:ascii="Calibri" w:hAnsi="Calibri"/>
          <w:sz w:val="22"/>
        </w:rPr>
        <w:t>D’autre part</w:t>
      </w:r>
    </w:p>
    <w:p>
      <w:pPr>
        <w:pStyle w:val="Normal"/>
        <w:spacing w:lineRule="atLeast" w:line="200"/>
        <w:rPr>
          <w:rFonts w:ascii="Calibri" w:hAnsi="Calibri" w:cs="Calibri"/>
          <w:b/>
          <w:b/>
          <w:sz w:val="16"/>
        </w:rPr>
      </w:pPr>
      <w:r>
        <w:rPr>
          <w:rFonts w:cs="Calibri" w:ascii="Calibri" w:hAnsi="Calibri"/>
          <w:b/>
          <w:sz w:val="16"/>
        </w:rPr>
      </w:r>
    </w:p>
    <w:p>
      <w:pPr>
        <w:pStyle w:val="Normal"/>
        <w:spacing w:lineRule="atLeast" w:line="200"/>
        <w:rPr/>
      </w:pPr>
      <w:r>
        <w:rPr>
          <w:rFonts w:cs="Calibri" w:ascii="Calibri" w:hAnsi="Calibri"/>
          <w:b/>
          <w:sz w:val="22"/>
        </w:rPr>
        <w:t>IL A ETE CONVENU CE QUI SUIT :</w:t>
      </w:r>
    </w:p>
    <w:p>
      <w:pPr>
        <w:pStyle w:val="Normal"/>
        <w:spacing w:lineRule="atLeast" w:line="200"/>
        <w:rPr>
          <w:rFonts w:ascii="Calibri" w:hAnsi="Calibri" w:cs="Calibri"/>
          <w:b/>
          <w:b/>
          <w:sz w:val="16"/>
        </w:rPr>
      </w:pPr>
      <w:r>
        <w:rPr>
          <w:rFonts w:cs="Calibri" w:ascii="Calibri" w:hAnsi="Calibri"/>
          <w:b/>
          <w:sz w:val="16"/>
        </w:rPr>
      </w:r>
    </w:p>
    <w:p>
      <w:pPr>
        <w:pStyle w:val="Normal"/>
        <w:spacing w:lineRule="atLeast" w:line="200"/>
        <w:rPr>
          <w:rFonts w:ascii="Calibri" w:hAnsi="Calibri" w:cs="Calibri"/>
          <w:b/>
          <w:b/>
          <w:sz w:val="22"/>
          <w:szCs w:val="22"/>
        </w:rPr>
      </w:pPr>
      <w:r>
        <w:rPr>
          <w:rFonts w:cs="Calibri" w:ascii="Calibri" w:hAnsi="Calibri"/>
          <w:b/>
          <w:sz w:val="22"/>
          <w:szCs w:val="22"/>
        </w:rPr>
        <w:t>Préambule</w:t>
      </w:r>
    </w:p>
    <w:p>
      <w:pPr>
        <w:pStyle w:val="Normal"/>
        <w:spacing w:lineRule="atLeast" w:line="200"/>
        <w:jc w:val="both"/>
        <w:rPr>
          <w:rFonts w:ascii="Calibri" w:hAnsi="Calibri" w:cs="Calibri"/>
          <w:sz w:val="22"/>
        </w:rPr>
      </w:pPr>
      <w:r>
        <w:rPr>
          <w:rFonts w:cs="Calibri" w:ascii="Calibri" w:hAnsi="Calibri"/>
          <w:sz w:val="22"/>
        </w:rPr>
        <w:tab/>
        <w:tab/>
        <w:tab/>
        <w:tab/>
        <w:tab/>
        <w:tab/>
        <w:tab/>
        <w:tab/>
        <w:tab/>
      </w:r>
    </w:p>
    <w:p>
      <w:pPr>
        <w:pStyle w:val="Normal"/>
        <w:spacing w:lineRule="atLeast" w:line="200"/>
        <w:jc w:val="both"/>
        <w:rPr>
          <w:rFonts w:ascii="Calibri" w:hAnsi="Calibri" w:cs="Calibri"/>
          <w:sz w:val="22"/>
        </w:rPr>
      </w:pPr>
      <w:r>
        <w:rPr>
          <w:rFonts w:cs="Calibri" w:ascii="Calibri" w:hAnsi="Calibri"/>
          <w:sz w:val="22"/>
        </w:rPr>
        <w:t>Dans le cadre de la négociation annuelle obligatoire prévue aux articles L 2242-1 et suivants du code du travail, les partenaires sociaux se sont rencontrés au cours de cinq réunions les 3, 20 28 février, 6 et 8 mars 2023 pour négocier l’accord de politique salariale 2023.</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t>Article 1 : Durée de l’accord</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b/>
          <w:b/>
          <w:sz w:val="22"/>
        </w:rPr>
      </w:pPr>
      <w:r>
        <w:rPr>
          <w:rFonts w:cs="Calibri" w:ascii="Calibri" w:hAnsi="Calibri"/>
          <w:sz w:val="22"/>
        </w:rPr>
        <w:t xml:space="preserve">Le présent accord est conclu pour une durée déterminée de 13 mois à compter du </w:t>
      </w:r>
      <w:r>
        <w:rPr>
          <w:rFonts w:cs="Calibri" w:ascii="Calibri" w:hAnsi="Calibri"/>
          <w:b/>
          <w:sz w:val="22"/>
        </w:rPr>
        <w:t>1</w:t>
      </w:r>
      <w:r>
        <w:rPr>
          <w:rFonts w:cs="Calibri" w:ascii="Calibri" w:hAnsi="Calibri"/>
          <w:b/>
          <w:sz w:val="22"/>
          <w:vertAlign w:val="superscript"/>
        </w:rPr>
        <w:t>er</w:t>
      </w:r>
      <w:r>
        <w:rPr>
          <w:rFonts w:cs="Calibri" w:ascii="Calibri" w:hAnsi="Calibri"/>
          <w:b/>
          <w:sz w:val="22"/>
        </w:rPr>
        <w:t xml:space="preserve"> mars 2023</w:t>
      </w:r>
      <w:r>
        <w:rPr>
          <w:rFonts w:cs="Calibri" w:ascii="Calibri" w:hAnsi="Calibri"/>
          <w:sz w:val="22"/>
        </w:rPr>
        <w:t>, sauf pour la mise en place du Forfait pourvoir d’achat, qui a un caractère à durée indéterminée.</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t>Article 2 : Personnel concerné</w:t>
      </w:r>
    </w:p>
    <w:p>
      <w:pPr>
        <w:pStyle w:val="Normal"/>
        <w:widowControl w:val="false"/>
        <w:autoSpaceDE w:val="false"/>
        <w:spacing w:lineRule="atLeast" w:line="200"/>
        <w:jc w:val="both"/>
        <w:rPr>
          <w:rFonts w:ascii="Calibri" w:hAnsi="Calibri" w:cs="Calibri"/>
          <w:b/>
          <w:b/>
          <w:sz w:val="18"/>
        </w:rPr>
      </w:pPr>
      <w:r>
        <w:rPr>
          <w:rFonts w:cs="Calibri" w:ascii="Calibri" w:hAnsi="Calibri"/>
          <w:b/>
          <w:sz w:val="18"/>
        </w:rPr>
      </w:r>
    </w:p>
    <w:p>
      <w:pPr>
        <w:pStyle w:val="Normal"/>
        <w:widowControl w:val="false"/>
        <w:autoSpaceDE w:val="false"/>
        <w:spacing w:lineRule="atLeast" w:line="200"/>
        <w:jc w:val="both"/>
        <w:rPr>
          <w:rFonts w:ascii="Calibri" w:hAnsi="Calibri" w:cs="Calibri"/>
          <w:sz w:val="22"/>
        </w:rPr>
      </w:pPr>
      <w:r>
        <w:rPr>
          <w:rFonts w:cs="Calibri" w:ascii="Calibri" w:hAnsi="Calibri"/>
          <w:sz w:val="22"/>
        </w:rPr>
        <w:t>Le présent accord s’applique à tous les salariés de Texelis SAS.</w:t>
      </w:r>
    </w:p>
    <w:p>
      <w:pPr>
        <w:pStyle w:val="Normal"/>
        <w:widowControl w:val="false"/>
        <w:autoSpaceDE w:val="false"/>
        <w:spacing w:lineRule="atLeast" w:line="200"/>
        <w:jc w:val="both"/>
        <w:rPr>
          <w:rFonts w:ascii="Calibri" w:hAnsi="Calibri" w:cs="Calibri"/>
          <w:sz w:val="22"/>
        </w:rPr>
      </w:pPr>
      <w:r>
        <w:rPr>
          <w:rFonts w:cs="Calibri" w:ascii="Calibri" w:hAnsi="Calibri"/>
          <w:sz w:val="22"/>
        </w:rPr>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t>Article 3 : Mesures collectives et individuelles applicables aux salaires</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numPr>
          <w:ilvl w:val="0"/>
          <w:numId w:val="1"/>
        </w:numPr>
        <w:autoSpaceDE w:val="false"/>
        <w:spacing w:lineRule="atLeast" w:line="200"/>
        <w:jc w:val="both"/>
        <w:rPr>
          <w:rFonts w:ascii="Calibri" w:hAnsi="Calibri" w:cs="Calibri"/>
          <w:sz w:val="22"/>
        </w:rPr>
      </w:pPr>
      <w:r>
        <w:rPr>
          <w:rFonts w:cs="Calibri" w:ascii="Calibri" w:hAnsi="Calibri"/>
          <w:sz w:val="22"/>
          <w:u w:val="single"/>
        </w:rPr>
        <w:t>Augmentation générale des salaires</w:t>
      </w:r>
    </w:p>
    <w:p>
      <w:pPr>
        <w:pStyle w:val="NormalWeb"/>
        <w:spacing w:lineRule="atLeast" w:line="200" w:before="0" w:after="0"/>
        <w:ind w:left="720" w:hanging="0"/>
        <w:jc w:val="both"/>
        <w:rPr>
          <w:rFonts w:ascii="Calibri" w:hAnsi="Calibri" w:eastAsia="Calibri" w:cs="Calibri"/>
          <w:sz w:val="18"/>
          <w:szCs w:val="22"/>
          <w:lang w:eastAsia="en-US"/>
        </w:rPr>
      </w:pPr>
      <w:r>
        <w:rPr>
          <w:rFonts w:eastAsia="Calibri" w:cs="Calibri" w:ascii="Calibri" w:hAnsi="Calibri"/>
          <w:sz w:val="18"/>
          <w:szCs w:val="22"/>
          <w:lang w:eastAsia="en-US"/>
        </w:rPr>
      </w:r>
    </w:p>
    <w:p>
      <w:pPr>
        <w:pStyle w:val="NormalWeb"/>
        <w:spacing w:lineRule="atLeast" w:line="200" w:before="0" w:after="0"/>
        <w:jc w:val="both"/>
        <w:rPr>
          <w:rFonts w:ascii="Calibri" w:hAnsi="Calibri" w:cs="Calibri"/>
          <w:sz w:val="22"/>
        </w:rPr>
      </w:pPr>
      <w:r>
        <w:rPr>
          <w:rFonts w:cs="Calibri" w:ascii="Calibri" w:hAnsi="Calibri"/>
          <w:sz w:val="22"/>
        </w:rPr>
        <w:t>L’augmentation générale est fixée à :</w:t>
      </w:r>
    </w:p>
    <w:p>
      <w:pPr>
        <w:pStyle w:val="NormalWeb"/>
        <w:numPr>
          <w:ilvl w:val="0"/>
          <w:numId w:val="2"/>
        </w:numPr>
        <w:spacing w:lineRule="atLeast" w:line="200" w:before="0" w:after="0"/>
        <w:jc w:val="both"/>
        <w:rPr>
          <w:rFonts w:ascii="Calibri" w:hAnsi="Calibri" w:cs="Calibri"/>
          <w:sz w:val="22"/>
        </w:rPr>
      </w:pPr>
      <w:r>
        <w:rPr>
          <w:rFonts w:cs="Calibri" w:ascii="Calibri" w:hAnsi="Calibri"/>
          <w:sz w:val="22"/>
        </w:rPr>
        <w:t>+2.5% sur le salaire de base pour tous les salariés hors salariés IIIB et IIIC</w:t>
      </w:r>
    </w:p>
    <w:p>
      <w:pPr>
        <w:pStyle w:val="NormalWeb"/>
        <w:numPr>
          <w:ilvl w:val="0"/>
          <w:numId w:val="2"/>
        </w:numPr>
        <w:spacing w:lineRule="atLeast" w:line="200" w:before="0" w:after="0"/>
        <w:jc w:val="both"/>
        <w:rPr>
          <w:rFonts w:ascii="Calibri" w:hAnsi="Calibri" w:cs="Calibri"/>
          <w:sz w:val="22"/>
        </w:rPr>
      </w:pPr>
      <w:r>
        <w:rPr>
          <w:rFonts w:cs="Calibri" w:ascii="Calibri" w:hAnsi="Calibri"/>
          <w:sz w:val="22"/>
        </w:rPr>
        <w:t>+2% sur le salaire de base pour les salariés IIIB et IIIC</w:t>
      </w:r>
    </w:p>
    <w:p>
      <w:pPr>
        <w:pStyle w:val="NormalWeb"/>
        <w:spacing w:lineRule="atLeast" w:line="200" w:before="0" w:after="0"/>
        <w:jc w:val="both"/>
        <w:rPr>
          <w:rFonts w:ascii="Calibri" w:hAnsi="Calibri" w:cs="Calibri"/>
          <w:sz w:val="22"/>
        </w:rPr>
      </w:pPr>
      <w:r>
        <w:rPr>
          <w:rFonts w:cs="Calibri" w:ascii="Calibri" w:hAnsi="Calibri"/>
          <w:sz w:val="22"/>
        </w:rPr>
      </w:r>
    </w:p>
    <w:p>
      <w:pPr>
        <w:pStyle w:val="NormalWeb"/>
        <w:spacing w:lineRule="atLeast" w:line="200" w:before="0" w:after="0"/>
        <w:jc w:val="both"/>
        <w:rPr/>
      </w:pPr>
      <w:r>
        <w:rPr>
          <w:rFonts w:cs="Calibri" w:ascii="Calibri" w:hAnsi="Calibri"/>
          <w:sz w:val="22"/>
        </w:rPr>
        <w:t>Cette mesure collective est applicable aux salariés présents au 1</w:t>
      </w:r>
      <w:r>
        <w:rPr>
          <w:rFonts w:cs="Calibri" w:ascii="Calibri" w:hAnsi="Calibri"/>
          <w:sz w:val="22"/>
          <w:vertAlign w:val="superscript"/>
        </w:rPr>
        <w:t>er</w:t>
      </w:r>
      <w:r>
        <w:rPr>
          <w:rFonts w:cs="Calibri" w:ascii="Calibri" w:hAnsi="Calibri"/>
          <w:sz w:val="22"/>
        </w:rPr>
        <w:t xml:space="preserve"> mars 2023, sans condition d’ancienneté.</w:t>
      </w:r>
    </w:p>
    <w:p>
      <w:pPr>
        <w:pStyle w:val="NormalWeb"/>
        <w:spacing w:lineRule="atLeast" w:line="200" w:before="0" w:after="0"/>
        <w:jc w:val="both"/>
        <w:rPr>
          <w:rFonts w:ascii="Calibri" w:hAnsi="Calibri" w:cs="Calibri"/>
          <w:sz w:val="22"/>
        </w:rPr>
      </w:pPr>
      <w:r>
        <w:rPr>
          <w:rFonts w:cs="Calibri" w:ascii="Calibri" w:hAnsi="Calibri"/>
          <w:sz w:val="22"/>
        </w:rPr>
      </w:r>
    </w:p>
    <w:p>
      <w:pPr>
        <w:pStyle w:val="Normal"/>
        <w:widowControl w:val="false"/>
        <w:numPr>
          <w:ilvl w:val="0"/>
          <w:numId w:val="1"/>
        </w:numPr>
        <w:autoSpaceDE w:val="false"/>
        <w:spacing w:lineRule="atLeast" w:line="200"/>
        <w:jc w:val="both"/>
        <w:rPr>
          <w:rFonts w:ascii="Calibri" w:hAnsi="Calibri" w:cs="Calibri"/>
          <w:sz w:val="22"/>
        </w:rPr>
      </w:pPr>
      <w:r>
        <w:rPr>
          <w:rFonts w:cs="Calibri" w:ascii="Calibri" w:hAnsi="Calibri"/>
          <w:sz w:val="22"/>
          <w:u w:val="single"/>
        </w:rPr>
        <w:t>Forfait Pouvoir d’achat</w:t>
      </w:r>
    </w:p>
    <w:p>
      <w:pPr>
        <w:pStyle w:val="NormalWeb"/>
        <w:spacing w:before="0" w:after="0"/>
        <w:jc w:val="both"/>
        <w:rPr>
          <w:rFonts w:ascii="Calibri" w:hAnsi="Calibri" w:cs="Calibri"/>
          <w:sz w:val="22"/>
        </w:rPr>
      </w:pPr>
      <w:r>
        <w:rPr>
          <w:rFonts w:cs="Calibri" w:ascii="Calibri" w:hAnsi="Calibri"/>
          <w:sz w:val="22"/>
        </w:rPr>
      </w:r>
    </w:p>
    <w:p>
      <w:pPr>
        <w:pStyle w:val="NormalWeb"/>
        <w:spacing w:before="0" w:after="0"/>
        <w:jc w:val="both"/>
        <w:rPr/>
      </w:pPr>
      <w:r>
        <w:rPr>
          <w:rFonts w:cs="Calibri" w:ascii="Calibri" w:hAnsi="Calibri"/>
          <w:sz w:val="22"/>
        </w:rPr>
        <w:t>Il est mis en place un Forfait Pouvoir d’Achat (FPA) fixé à 100 € brut mensuel, pour tous les salariés (hors IIIB et IIIC), sans condition d’ancienneté.</w:t>
      </w:r>
    </w:p>
    <w:p>
      <w:pPr>
        <w:pStyle w:val="NormalWeb"/>
        <w:spacing w:before="0" w:after="0"/>
        <w:jc w:val="both"/>
        <w:rPr/>
      </w:pPr>
      <w:r>
        <w:rPr>
          <w:rFonts w:cs="Calibri" w:ascii="Calibri" w:hAnsi="Calibri"/>
          <w:sz w:val="22"/>
        </w:rPr>
        <w:t>Il est versé chaque mois, pour une durée indéterminée.</w:t>
      </w:r>
    </w:p>
    <w:p>
      <w:pPr>
        <w:pStyle w:val="NormalWeb"/>
        <w:spacing w:before="0" w:after="0"/>
        <w:jc w:val="both"/>
        <w:rPr>
          <w:rFonts w:ascii="Calibri" w:hAnsi="Calibri" w:cs="Calibri"/>
          <w:sz w:val="22"/>
        </w:rPr>
      </w:pPr>
      <w:r>
        <w:rPr>
          <w:rFonts w:cs="Calibri" w:ascii="Calibri" w:hAnsi="Calibri"/>
          <w:sz w:val="22"/>
        </w:rPr>
      </w:r>
    </w:p>
    <w:p>
      <w:pPr>
        <w:pStyle w:val="NormalWeb"/>
        <w:spacing w:before="0" w:after="0"/>
        <w:jc w:val="both"/>
        <w:rPr/>
      </w:pPr>
      <w:r>
        <w:rPr>
          <w:rFonts w:cs="Calibri" w:ascii="Calibri" w:hAnsi="Calibri"/>
          <w:sz w:val="22"/>
        </w:rPr>
        <w:t>Il apparaîtra sur une ligne en plus sur le bulletin de paye, et ne sera pas inclus dans le salaire de base 35h.</w:t>
      </w:r>
    </w:p>
    <w:p>
      <w:pPr>
        <w:pStyle w:val="NormalWeb"/>
        <w:spacing w:before="0" w:after="0"/>
        <w:jc w:val="both"/>
        <w:rPr/>
      </w:pPr>
      <w:r>
        <w:rPr>
          <w:rFonts w:cs="Calibri" w:ascii="Calibri" w:hAnsi="Calibri"/>
          <w:sz w:val="22"/>
        </w:rPr>
        <w:t>Il s’agit d’un élément du salaire mensuel, et traité comme tel en matière de paie.</w:t>
      </w:r>
    </w:p>
    <w:p>
      <w:pPr>
        <w:pStyle w:val="NormalWeb"/>
        <w:spacing w:before="0" w:after="0"/>
        <w:jc w:val="both"/>
        <w:rPr>
          <w:rFonts w:ascii="Calibri" w:hAnsi="Calibri" w:cs="Calibri"/>
          <w:sz w:val="22"/>
        </w:rPr>
      </w:pPr>
      <w:r>
        <w:rPr>
          <w:rFonts w:cs="Calibri" w:ascii="Calibri" w:hAnsi="Calibri"/>
          <w:sz w:val="22"/>
        </w:rPr>
      </w:r>
    </w:p>
    <w:p>
      <w:pPr>
        <w:pStyle w:val="NormalWeb"/>
        <w:spacing w:before="0" w:after="0"/>
        <w:jc w:val="both"/>
        <w:rPr>
          <w:rFonts w:ascii="Calibri" w:hAnsi="Calibri" w:cs="Calibri"/>
          <w:sz w:val="22"/>
        </w:rPr>
      </w:pPr>
      <w:r>
        <w:rPr>
          <w:rFonts w:cs="Calibri" w:ascii="Calibri" w:hAnsi="Calibri"/>
          <w:sz w:val="22"/>
        </w:rPr>
        <w:t>A titre exceptionnel, ce Forfait Pouvoir d’Achat prendra effet à titre rétroactif au 1er janvier 2023. Le FPA de janvier sera versé en mars 2023 avec le FPA de mars, et le FPA de février sera versé en juin 2023 avec le FPA de juin.</w:t>
      </w:r>
    </w:p>
    <w:p>
      <w:pPr>
        <w:pStyle w:val="NormalWeb"/>
        <w:spacing w:lineRule="atLeast" w:line="200" w:before="0" w:after="0"/>
        <w:jc w:val="both"/>
        <w:rPr>
          <w:rFonts w:ascii="Calibri" w:hAnsi="Calibri" w:cs="Calibri"/>
          <w:sz w:val="22"/>
        </w:rPr>
      </w:pPr>
      <w:r>
        <w:rPr>
          <w:rFonts w:cs="Calibri" w:ascii="Calibri" w:hAnsi="Calibri"/>
          <w:sz w:val="22"/>
        </w:rPr>
      </w:r>
    </w:p>
    <w:p>
      <w:pPr>
        <w:pStyle w:val="Normal"/>
        <w:widowControl w:val="false"/>
        <w:numPr>
          <w:ilvl w:val="0"/>
          <w:numId w:val="1"/>
        </w:numPr>
        <w:autoSpaceDE w:val="false"/>
        <w:spacing w:lineRule="atLeast" w:line="200"/>
        <w:jc w:val="both"/>
        <w:rPr>
          <w:rFonts w:ascii="Calibri" w:hAnsi="Calibri" w:cs="Calibri"/>
          <w:sz w:val="22"/>
        </w:rPr>
      </w:pPr>
      <w:r>
        <w:rPr>
          <w:rFonts w:cs="Calibri" w:ascii="Calibri" w:hAnsi="Calibri"/>
          <w:sz w:val="22"/>
          <w:u w:val="single"/>
        </w:rPr>
        <w:t>Barème de l’indemnité Transport</w:t>
      </w:r>
    </w:p>
    <w:p>
      <w:pPr>
        <w:pStyle w:val="NormalWeb"/>
        <w:spacing w:lineRule="atLeast" w:line="200" w:before="0" w:after="0"/>
        <w:jc w:val="both"/>
        <w:rPr>
          <w:rFonts w:ascii="Calibri" w:hAnsi="Calibri" w:cs="Calibri"/>
          <w:sz w:val="22"/>
        </w:rPr>
      </w:pPr>
      <w:r>
        <w:rPr>
          <w:rFonts w:cs="Calibri" w:ascii="Calibri" w:hAnsi="Calibri"/>
          <w:sz w:val="22"/>
        </w:rPr>
      </w:r>
    </w:p>
    <w:p>
      <w:pPr>
        <w:pStyle w:val="NormalWeb"/>
        <w:spacing w:lineRule="atLeast" w:line="200" w:before="0" w:after="0"/>
        <w:jc w:val="both"/>
        <w:rPr>
          <w:rFonts w:ascii="Calibri" w:hAnsi="Calibri" w:cs="Calibri"/>
          <w:sz w:val="22"/>
        </w:rPr>
      </w:pPr>
      <w:r>
        <w:rPr>
          <w:rFonts w:cs="Calibri" w:ascii="Calibri" w:hAnsi="Calibri"/>
          <w:sz w:val="22"/>
        </w:rPr>
        <w:t>Maintien du barème majoré de +30% de l’indemnité de transport appliqué en 2022.</w:t>
      </w:r>
    </w:p>
    <w:p>
      <w:pPr>
        <w:pStyle w:val="NormalWeb"/>
        <w:spacing w:lineRule="atLeast" w:line="200" w:before="0" w:after="0"/>
        <w:ind w:left="45" w:hanging="0"/>
        <w:jc w:val="both"/>
        <w:rPr>
          <w:rFonts w:ascii="Calibri" w:hAnsi="Calibri" w:cs="Calibri"/>
          <w:sz w:val="22"/>
        </w:rPr>
      </w:pPr>
      <w:r>
        <w:rPr>
          <w:rFonts w:cs="Calibri" w:ascii="Calibri" w:hAnsi="Calibri"/>
          <w:sz w:val="22"/>
        </w:rPr>
      </w:r>
    </w:p>
    <w:p>
      <w:pPr>
        <w:pStyle w:val="Normal"/>
        <w:widowControl w:val="false"/>
        <w:numPr>
          <w:ilvl w:val="0"/>
          <w:numId w:val="1"/>
        </w:numPr>
        <w:autoSpaceDE w:val="false"/>
        <w:spacing w:lineRule="atLeast" w:line="200"/>
        <w:jc w:val="both"/>
        <w:rPr>
          <w:rFonts w:ascii="Calibri" w:hAnsi="Calibri" w:cs="Calibri"/>
          <w:sz w:val="22"/>
          <w:u w:val="single"/>
        </w:rPr>
      </w:pPr>
      <w:r>
        <w:rPr>
          <w:rFonts w:cs="Calibri" w:ascii="Calibri" w:hAnsi="Calibri"/>
          <w:sz w:val="22"/>
          <w:u w:val="single"/>
        </w:rPr>
        <w:t xml:space="preserve">Augmentation des primes mensuelles </w:t>
      </w:r>
    </w:p>
    <w:p>
      <w:pPr>
        <w:pStyle w:val="NormalWeb"/>
        <w:spacing w:before="0" w:after="0"/>
        <w:jc w:val="both"/>
        <w:rPr>
          <w:rFonts w:ascii="Calibri" w:hAnsi="Calibri" w:cs="Calibri"/>
          <w:sz w:val="22"/>
          <w:u w:val="single"/>
        </w:rPr>
      </w:pPr>
      <w:r>
        <w:rPr>
          <w:rFonts w:cs="Calibri" w:ascii="Calibri" w:hAnsi="Calibri"/>
          <w:sz w:val="22"/>
          <w:u w:val="single"/>
        </w:rPr>
      </w:r>
    </w:p>
    <w:p>
      <w:pPr>
        <w:pStyle w:val="NormalWeb"/>
        <w:spacing w:before="0" w:after="0"/>
        <w:jc w:val="both"/>
        <w:rPr/>
      </w:pPr>
      <w:r>
        <w:rPr>
          <w:rFonts w:cs="Calibri" w:ascii="Calibri" w:hAnsi="Calibri"/>
          <w:sz w:val="22"/>
        </w:rPr>
        <w:t>Les primes mensuelles brutes suivantes sont revalorisées de + 5% :  primes d’équipes, prime rénovation, prime Traitement Thermique, prime garde d’enfants, prime SAV, indemnité non cantine, prime d’astreinte, indemnité de déplacement et indemnité de télétravail.</w:t>
      </w:r>
    </w:p>
    <w:p>
      <w:pPr>
        <w:pStyle w:val="NormalWeb"/>
        <w:spacing w:lineRule="atLeast" w:line="200" w:before="0" w:after="0"/>
        <w:ind w:left="45" w:hanging="0"/>
        <w:jc w:val="both"/>
        <w:rPr>
          <w:rFonts w:ascii="Calibri" w:hAnsi="Calibri" w:cs="Calibri"/>
          <w:sz w:val="22"/>
        </w:rPr>
      </w:pPr>
      <w:r>
        <w:rPr>
          <w:rFonts w:cs="Calibri" w:ascii="Calibri" w:hAnsi="Calibri"/>
          <w:sz w:val="22"/>
        </w:rPr>
      </w:r>
    </w:p>
    <w:p>
      <w:pPr>
        <w:pStyle w:val="Normal"/>
        <w:widowControl w:val="false"/>
        <w:numPr>
          <w:ilvl w:val="0"/>
          <w:numId w:val="1"/>
        </w:numPr>
        <w:autoSpaceDE w:val="false"/>
        <w:spacing w:lineRule="atLeast" w:line="200"/>
        <w:jc w:val="both"/>
        <w:rPr>
          <w:rFonts w:ascii="Calibri" w:hAnsi="Calibri" w:cs="Calibri"/>
          <w:sz w:val="22"/>
          <w:u w:val="single"/>
        </w:rPr>
      </w:pPr>
      <w:r>
        <w:rPr>
          <w:rFonts w:cs="Calibri" w:ascii="Calibri" w:hAnsi="Calibri"/>
          <w:sz w:val="22"/>
          <w:u w:val="single"/>
        </w:rPr>
        <w:t xml:space="preserve">Prévoyance – Tranche A </w:t>
      </w:r>
    </w:p>
    <w:p>
      <w:pPr>
        <w:pStyle w:val="NormalWeb"/>
        <w:spacing w:lineRule="atLeast" w:line="200" w:before="0" w:after="0"/>
        <w:ind w:left="45" w:hanging="0"/>
        <w:jc w:val="both"/>
        <w:rPr>
          <w:rFonts w:ascii="Calibri" w:hAnsi="Calibri" w:cs="Calibri"/>
          <w:sz w:val="22"/>
          <w:u w:val="single"/>
        </w:rPr>
      </w:pPr>
      <w:r>
        <w:rPr>
          <w:rFonts w:cs="Calibri" w:ascii="Calibri" w:hAnsi="Calibri"/>
          <w:sz w:val="22"/>
          <w:u w:val="single"/>
        </w:rPr>
      </w:r>
    </w:p>
    <w:p>
      <w:pPr>
        <w:pStyle w:val="NormalWeb"/>
        <w:spacing w:lineRule="atLeast" w:line="200" w:before="0" w:after="0"/>
        <w:ind w:left="45" w:hanging="0"/>
        <w:jc w:val="both"/>
        <w:rPr/>
      </w:pPr>
      <w:r>
        <w:rPr>
          <w:rFonts w:cs="Calibri" w:ascii="Calibri" w:hAnsi="Calibri"/>
          <w:sz w:val="22"/>
        </w:rPr>
        <w:t>La cotisation de prévoyance de la Tranche A, est prise en charge à 100% par l’employeur, pour toutes les catégories de salariés (Cadre et Non cadre).</w:t>
      </w:r>
    </w:p>
    <w:p>
      <w:pPr>
        <w:pStyle w:val="NormalWeb"/>
        <w:spacing w:lineRule="atLeast" w:line="200" w:before="0" w:after="0"/>
        <w:ind w:left="45" w:hanging="0"/>
        <w:jc w:val="both"/>
        <w:rPr>
          <w:rFonts w:ascii="Calibri" w:hAnsi="Calibri" w:cs="Calibri"/>
          <w:sz w:val="22"/>
        </w:rPr>
      </w:pPr>
      <w:r>
        <w:rPr>
          <w:rFonts w:cs="Calibri" w:ascii="Calibri" w:hAnsi="Calibri"/>
          <w:sz w:val="22"/>
        </w:rPr>
      </w:r>
    </w:p>
    <w:p>
      <w:pPr>
        <w:pStyle w:val="NormalWeb"/>
        <w:numPr>
          <w:ilvl w:val="0"/>
          <w:numId w:val="1"/>
        </w:numPr>
        <w:spacing w:lineRule="atLeast" w:line="200" w:before="0" w:after="0"/>
        <w:jc w:val="both"/>
        <w:rPr>
          <w:rFonts w:ascii="Calibri" w:hAnsi="Calibri" w:cs="Calibri"/>
          <w:sz w:val="22"/>
          <w:u w:val="single"/>
        </w:rPr>
      </w:pPr>
      <w:r>
        <w:rPr>
          <w:rFonts w:cs="Calibri" w:ascii="Calibri" w:hAnsi="Calibri"/>
          <w:sz w:val="22"/>
          <w:u w:val="single"/>
        </w:rPr>
        <w:t>Augmentation individuelle des salaires</w:t>
      </w:r>
    </w:p>
    <w:p>
      <w:pPr>
        <w:pStyle w:val="Normal"/>
        <w:widowControl w:val="false"/>
        <w:tabs>
          <w:tab w:val="left" w:pos="284" w:leader="none"/>
        </w:tabs>
        <w:spacing w:lineRule="atLeast" w:line="200"/>
        <w:jc w:val="both"/>
        <w:rPr>
          <w:rFonts w:ascii="Calibri" w:hAnsi="Calibri" w:cs="Calibri"/>
          <w:sz w:val="22"/>
          <w:u w:val="single"/>
        </w:rPr>
      </w:pPr>
      <w:r>
        <w:rPr>
          <w:rFonts w:cs="Calibri" w:ascii="Calibri" w:hAnsi="Calibri"/>
          <w:sz w:val="22"/>
          <w:u w:val="single"/>
        </w:rPr>
      </w:r>
    </w:p>
    <w:p>
      <w:pPr>
        <w:pStyle w:val="Normal"/>
        <w:widowControl w:val="false"/>
        <w:tabs>
          <w:tab w:val="left" w:pos="284" w:leader="none"/>
        </w:tabs>
        <w:spacing w:lineRule="atLeast" w:line="200"/>
        <w:jc w:val="both"/>
        <w:rPr/>
      </w:pPr>
      <w:r>
        <w:rPr>
          <w:rFonts w:cs="Calibri" w:ascii="Calibri" w:hAnsi="Calibri"/>
          <w:sz w:val="22"/>
        </w:rPr>
        <w:t>L’enveloppe globale consacrée aux augmentations individuelle est fixée dans les conditions suivantes :</w:t>
      </w:r>
    </w:p>
    <w:p>
      <w:pPr>
        <w:pStyle w:val="Normal"/>
        <w:widowControl w:val="false"/>
        <w:autoSpaceDE w:val="false"/>
        <w:spacing w:lineRule="atLeast" w:line="200"/>
        <w:jc w:val="both"/>
        <w:rPr>
          <w:rFonts w:ascii="Calibri" w:hAnsi="Calibri" w:cs="Calibri"/>
          <w:sz w:val="22"/>
        </w:rPr>
      </w:pPr>
      <w:r>
        <w:rPr>
          <w:rFonts w:cs="Calibri" w:ascii="Calibri" w:hAnsi="Calibri"/>
          <w:sz w:val="22"/>
        </w:rPr>
      </w:r>
    </w:p>
    <w:tbl>
      <w:tblPr>
        <w:tblW w:w="6497" w:type="dxa"/>
        <w:jc w:val="left"/>
        <w:tblInd w:w="24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76"/>
        <w:gridCol w:w="2268"/>
        <w:gridCol w:w="1853"/>
      </w:tblGrid>
      <w:tr>
        <w:trPr/>
        <w:tc>
          <w:tcPr>
            <w:tcW w:w="23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spacing w:lineRule="atLeast" w:line="200"/>
              <w:ind w:left="-567" w:hanging="0"/>
              <w:jc w:val="both"/>
              <w:rPr>
                <w:rFonts w:ascii="Calibri" w:hAnsi="Calibri" w:cs="Calibri"/>
                <w:sz w:val="22"/>
              </w:rPr>
            </w:pPr>
            <w:r>
              <w:rPr>
                <w:rFonts w:cs="Calibri" w:ascii="Calibri" w:hAnsi="Calibri"/>
                <w:sz w:val="22"/>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autoSpaceDE w:val="false"/>
              <w:spacing w:lineRule="atLeast" w:line="200"/>
              <w:jc w:val="both"/>
              <w:rPr>
                <w:rFonts w:ascii="Calibri" w:hAnsi="Calibri" w:cs="Calibri"/>
                <w:sz w:val="22"/>
              </w:rPr>
            </w:pPr>
            <w:r>
              <w:rPr>
                <w:rFonts w:cs="Calibri" w:ascii="Calibri" w:hAnsi="Calibri"/>
                <w:sz w:val="22"/>
              </w:rPr>
              <w:t>NON CADRES</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widowControl w:val="false"/>
              <w:autoSpaceDE w:val="false"/>
              <w:spacing w:lineRule="atLeast" w:line="200"/>
              <w:jc w:val="both"/>
              <w:rPr>
                <w:rFonts w:ascii="Calibri" w:hAnsi="Calibri" w:cs="Calibri"/>
                <w:sz w:val="22"/>
              </w:rPr>
            </w:pPr>
            <w:r>
              <w:rPr>
                <w:rFonts w:cs="Calibri" w:ascii="Calibri" w:hAnsi="Calibri"/>
                <w:sz w:val="22"/>
              </w:rPr>
              <w:t>CADRES</w:t>
            </w:r>
          </w:p>
        </w:tc>
      </w:tr>
      <w:tr>
        <w:trPr/>
        <w:tc>
          <w:tcPr>
            <w:tcW w:w="23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pacing w:lineRule="atLeast" w:line="200"/>
              <w:jc w:val="both"/>
              <w:rPr/>
            </w:pPr>
            <w:r>
              <w:rPr>
                <w:rFonts w:cs="Calibri" w:ascii="Calibri" w:hAnsi="Calibri"/>
                <w:sz w:val="22"/>
              </w:rPr>
              <w:t>Enveloppe totale AI</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autoSpaceDE w:val="false"/>
              <w:spacing w:lineRule="atLeast" w:line="200"/>
              <w:jc w:val="both"/>
              <w:rPr>
                <w:rFonts w:ascii="Calibri" w:hAnsi="Calibri" w:cs="Calibri"/>
                <w:sz w:val="22"/>
              </w:rPr>
            </w:pPr>
            <w:r>
              <w:rPr>
                <w:rFonts w:cs="Calibri" w:ascii="Calibri" w:hAnsi="Calibri"/>
                <w:sz w:val="22"/>
              </w:rPr>
              <w:t>1.5% de la masse salariale non cadres</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widowControl w:val="false"/>
              <w:autoSpaceDE w:val="false"/>
              <w:spacing w:lineRule="atLeast" w:line="200"/>
              <w:jc w:val="both"/>
              <w:rPr>
                <w:rFonts w:ascii="Calibri" w:hAnsi="Calibri" w:cs="Calibri"/>
                <w:sz w:val="22"/>
              </w:rPr>
            </w:pPr>
            <w:r>
              <w:rPr>
                <w:rFonts w:cs="Calibri" w:ascii="Calibri" w:hAnsi="Calibri"/>
                <w:sz w:val="22"/>
              </w:rPr>
              <w:t>2.5% de la masse salariale cadres</w:t>
            </w:r>
          </w:p>
        </w:tc>
      </w:tr>
    </w:tbl>
    <w:p>
      <w:pPr>
        <w:pStyle w:val="Normal"/>
        <w:widowControl w:val="false"/>
        <w:autoSpaceDE w:val="false"/>
        <w:spacing w:lineRule="atLeast" w:line="200"/>
        <w:jc w:val="both"/>
        <w:rPr>
          <w:rFonts w:ascii="Calibri" w:hAnsi="Calibri" w:cs="Calibri"/>
          <w:sz w:val="22"/>
        </w:rPr>
      </w:pPr>
      <w:r>
        <w:rPr>
          <w:rFonts w:cs="Calibri" w:ascii="Calibri" w:hAnsi="Calibri"/>
          <w:sz w:val="22"/>
        </w:rPr>
      </w:r>
    </w:p>
    <w:p>
      <w:pPr>
        <w:pStyle w:val="Normal"/>
        <w:widowControl w:val="false"/>
        <w:autoSpaceDE w:val="false"/>
        <w:spacing w:lineRule="atLeast" w:line="200"/>
        <w:jc w:val="both"/>
        <w:rPr/>
      </w:pPr>
      <w:r>
        <w:rPr>
          <w:rFonts w:cs="Calibri" w:ascii="Calibri" w:hAnsi="Calibri"/>
          <w:sz w:val="22"/>
        </w:rPr>
        <w:t>Les augmentations individuelles pour les salariés, ne pourront pas être inférieures à 1.6% du salaire de base mensuel 35h, pour éviter l’effet de saupoudrage.</w:t>
      </w:r>
    </w:p>
    <w:p>
      <w:pPr>
        <w:pStyle w:val="Normal"/>
        <w:widowControl w:val="false"/>
        <w:autoSpaceDE w:val="false"/>
        <w:spacing w:lineRule="atLeast" w:line="200"/>
        <w:jc w:val="both"/>
        <w:rPr>
          <w:rFonts w:ascii="Calibri" w:hAnsi="Calibri" w:cs="Calibri"/>
          <w:sz w:val="22"/>
        </w:rPr>
      </w:pPr>
      <w:r>
        <w:rPr>
          <w:rFonts w:cs="Calibri" w:ascii="Calibri" w:hAnsi="Calibri"/>
          <w:sz w:val="22"/>
        </w:rPr>
      </w:r>
    </w:p>
    <w:p>
      <w:pPr>
        <w:pStyle w:val="Paragraphedeliste"/>
        <w:spacing w:lineRule="auto" w:line="256" w:before="0" w:after="0"/>
        <w:ind w:left="0" w:right="-851" w:hanging="0"/>
        <w:contextualSpacing/>
        <w:jc w:val="both"/>
        <w:rPr/>
      </w:pPr>
      <w:r>
        <w:rPr>
          <w:rFonts w:cs="Calibri" w:ascii="Calibri" w:hAnsi="Calibri"/>
          <w:sz w:val="22"/>
        </w:rPr>
        <w:t>Seront bénéficiaires :</w:t>
      </w:r>
    </w:p>
    <w:p>
      <w:pPr>
        <w:pStyle w:val="Normal"/>
        <w:numPr>
          <w:ilvl w:val="0"/>
          <w:numId w:val="2"/>
        </w:numPr>
        <w:ind w:left="405" w:right="27" w:hanging="360"/>
        <w:jc w:val="both"/>
        <w:rPr/>
      </w:pPr>
      <w:r>
        <w:rPr>
          <w:rFonts w:cs="Calibri" w:ascii="Calibri" w:hAnsi="Calibri"/>
          <w:sz w:val="22"/>
        </w:rPr>
        <w:t>Accompagnement sur l’année des promotions et des mobilités avec évolution significative des missions, décidées lors des people review avec chaque manager ou des promotions et mobilités mises en œuvre selon l’évolution des besoins de l’activité ou d’événements non prévus (remplacement suite à départ ...) ;</w:t>
      </w:r>
    </w:p>
    <w:p>
      <w:pPr>
        <w:pStyle w:val="Normal"/>
        <w:numPr>
          <w:ilvl w:val="0"/>
          <w:numId w:val="2"/>
        </w:numPr>
        <w:ind w:left="405" w:right="-853" w:hanging="360"/>
        <w:jc w:val="both"/>
        <w:rPr/>
      </w:pPr>
      <w:r>
        <w:rPr>
          <w:rFonts w:cs="Calibri" w:ascii="Calibri" w:hAnsi="Calibri"/>
          <w:sz w:val="22"/>
        </w:rPr>
        <w:t>Personnes qui n’ont pas eu d’AI depuis 3 ans (2020, 2021 et 2022) sauf situation spécifique.</w:t>
      </w:r>
    </w:p>
    <w:p>
      <w:pPr>
        <w:pStyle w:val="NormalWeb"/>
        <w:spacing w:before="0" w:after="0"/>
        <w:ind w:right="-853" w:hanging="0"/>
        <w:jc w:val="both"/>
        <w:rPr>
          <w:rFonts w:ascii="Arial" w:hAnsi="Arial" w:cs="Arial"/>
          <w:color w:val="000000"/>
          <w:sz w:val="20"/>
          <w:szCs w:val="22"/>
          <w:u w:val="single"/>
        </w:rPr>
      </w:pPr>
      <w:r>
        <w:rPr>
          <w:rFonts w:cs="Arial" w:ascii="Arial" w:hAnsi="Arial"/>
          <w:color w:val="000000"/>
          <w:sz w:val="20"/>
          <w:szCs w:val="22"/>
          <w:u w:val="single"/>
        </w:rPr>
      </w:r>
    </w:p>
    <w:p>
      <w:pPr>
        <w:pStyle w:val="NormalWeb"/>
        <w:spacing w:before="0" w:after="0"/>
        <w:ind w:right="-853" w:hanging="0"/>
        <w:jc w:val="both"/>
        <w:rPr>
          <w:rFonts w:ascii="Arial" w:hAnsi="Arial" w:cs="Arial"/>
          <w:b/>
          <w:b/>
          <w:color w:val="000000"/>
          <w:sz w:val="20"/>
        </w:rPr>
      </w:pPr>
      <w:r>
        <w:rPr>
          <w:rFonts w:cs="Calibri" w:ascii="Calibri" w:hAnsi="Calibri"/>
          <w:sz w:val="22"/>
        </w:rPr>
        <w:t>Date d’application :</w:t>
      </w:r>
      <w:r>
        <w:rPr>
          <w:rFonts w:cs="Arial" w:ascii="Arial" w:hAnsi="Arial"/>
          <w:color w:val="000000"/>
          <w:sz w:val="20"/>
          <w:szCs w:val="22"/>
        </w:rPr>
        <w:t xml:space="preserve">  </w:t>
      </w:r>
      <w:r>
        <w:rPr>
          <w:rFonts w:cs="Calibri" w:ascii="Calibri" w:hAnsi="Calibri"/>
          <w:b/>
          <w:sz w:val="22"/>
        </w:rPr>
        <w:t>sur toute l’année 2023</w:t>
      </w:r>
    </w:p>
    <w:p>
      <w:pPr>
        <w:pStyle w:val="Normal"/>
        <w:widowControl w:val="false"/>
        <w:autoSpaceDE w:val="false"/>
        <w:spacing w:lineRule="atLeast" w:line="200"/>
        <w:jc w:val="both"/>
        <w:rPr>
          <w:rFonts w:ascii="Calibri" w:hAnsi="Calibri" w:cs="Calibri"/>
          <w:b/>
          <w:b/>
          <w:color w:val="000000"/>
          <w:sz w:val="22"/>
        </w:rPr>
      </w:pPr>
      <w:r>
        <w:rPr>
          <w:rFonts w:cs="Calibri" w:ascii="Calibri" w:hAnsi="Calibri"/>
          <w:b/>
          <w:color w:val="000000"/>
          <w:sz w:val="22"/>
        </w:rPr>
      </w:r>
    </w:p>
    <w:p>
      <w:pPr>
        <w:pStyle w:val="NormalWeb"/>
        <w:numPr>
          <w:ilvl w:val="0"/>
          <w:numId w:val="1"/>
        </w:numPr>
        <w:spacing w:lineRule="atLeast" w:line="200" w:before="0" w:after="0"/>
        <w:jc w:val="both"/>
        <w:rPr>
          <w:rFonts w:ascii="Calibri" w:hAnsi="Calibri" w:cs="Calibri"/>
          <w:sz w:val="22"/>
          <w:u w:val="single"/>
        </w:rPr>
      </w:pPr>
      <w:r>
        <w:rPr>
          <w:rFonts w:cs="Calibri" w:ascii="Calibri" w:hAnsi="Calibri"/>
          <w:sz w:val="22"/>
          <w:u w:val="single"/>
        </w:rPr>
        <w:t>Mise en place Forfait Mobilité Durable</w:t>
      </w:r>
    </w:p>
    <w:p>
      <w:pPr>
        <w:pStyle w:val="NormalWeb"/>
        <w:spacing w:before="0" w:after="0"/>
        <w:ind w:left="-567" w:right="-569" w:hanging="0"/>
        <w:jc w:val="both"/>
        <w:rPr>
          <w:rFonts w:ascii="Arial" w:hAnsi="Arial" w:cs="Arial"/>
          <w:color w:val="000000"/>
          <w:sz w:val="6"/>
          <w:szCs w:val="40"/>
        </w:rPr>
      </w:pPr>
      <w:r>
        <w:rPr>
          <w:rFonts w:eastAsia="Arial" w:cs="Arial" w:ascii="Arial" w:hAnsi="Arial"/>
          <w:b/>
          <w:color w:val="00B0F0"/>
          <w:sz w:val="8"/>
          <w:szCs w:val="28"/>
          <w:lang w:eastAsia="en-US"/>
        </w:rPr>
        <w:t xml:space="preserve"> </w:t>
      </w:r>
    </w:p>
    <w:p>
      <w:pPr>
        <w:pStyle w:val="Normal"/>
        <w:widowControl w:val="false"/>
        <w:autoSpaceDE w:val="false"/>
        <w:spacing w:lineRule="atLeast" w:line="200"/>
        <w:jc w:val="both"/>
        <w:rPr>
          <w:rFonts w:ascii="Calibri" w:hAnsi="Calibri" w:cs="Calibri"/>
          <w:sz w:val="22"/>
        </w:rPr>
      </w:pPr>
      <w:r>
        <w:rPr>
          <w:rFonts w:cs="Calibri" w:ascii="Calibri" w:hAnsi="Calibri"/>
          <w:sz w:val="22"/>
        </w:rPr>
        <w:t>Une négociation sur la mobilité sera ouverte à compter d’avril 2023.</w:t>
        <w:tab/>
      </w:r>
    </w:p>
    <w:p>
      <w:pPr>
        <w:pStyle w:val="Normal"/>
        <w:widowControl w:val="false"/>
        <w:autoSpaceDE w:val="false"/>
        <w:spacing w:lineRule="atLeast" w:line="200"/>
        <w:jc w:val="both"/>
        <w:rPr>
          <w:rFonts w:ascii="Calibri" w:hAnsi="Calibri" w:cs="Calibri"/>
          <w:sz w:val="22"/>
        </w:rPr>
      </w:pPr>
      <w:r>
        <w:rPr>
          <w:rFonts w:cs="Calibri" w:ascii="Calibri" w:hAnsi="Calibri"/>
          <w:sz w:val="22"/>
        </w:rPr>
      </w:r>
    </w:p>
    <w:p>
      <w:pPr>
        <w:pStyle w:val="Normal"/>
        <w:widowControl w:val="false"/>
        <w:autoSpaceDE w:val="false"/>
        <w:spacing w:lineRule="atLeast" w:line="200"/>
        <w:jc w:val="both"/>
        <w:rPr/>
      </w:pPr>
      <w:r>
        <w:rPr>
          <w:rFonts w:cs="Calibri" w:ascii="Calibri" w:hAnsi="Calibri"/>
          <w:b/>
          <w:sz w:val="22"/>
        </w:rPr>
        <w:t>Article 4 : Clause de revoyure</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sz w:val="22"/>
        </w:rPr>
      </w:pPr>
      <w:r>
        <w:rPr>
          <w:rFonts w:cs="Calibri" w:ascii="Calibri" w:hAnsi="Calibri"/>
          <w:sz w:val="22"/>
        </w:rPr>
        <w:t>Les prévisions d’inflation 2023 sur les ménages prises en compte dans les présentes négociations étaient de 6%. Les parties conviennent de se revoir lors du mois de septembre 2023, pour statuer sur les conséquences d’une accélération encore plus forte de l’inflation des ménages.</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pPr>
      <w:r>
        <w:rPr>
          <w:rFonts w:cs="Calibri" w:ascii="Calibri" w:hAnsi="Calibri"/>
          <w:b/>
          <w:sz w:val="22"/>
        </w:rPr>
        <w:t>Article 5 : Révision et dénonciation de l’accord</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sz w:val="22"/>
        </w:rPr>
      </w:pPr>
      <w:r>
        <w:rPr>
          <w:rFonts w:cs="Calibri" w:ascii="Calibri" w:hAnsi="Calibri"/>
          <w:sz w:val="22"/>
        </w:rPr>
        <w:t>Le présent accord peut être dénoncé ou modifié, durant sa période d’application avec l’accord de l’ensemble des parties signataires.</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pPr>
      <w:r>
        <w:rPr>
          <w:rFonts w:cs="Calibri" w:ascii="Calibri" w:hAnsi="Calibri"/>
          <w:b/>
          <w:sz w:val="22"/>
        </w:rPr>
        <w:t>Article 6 : Litiges</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sz w:val="22"/>
        </w:rPr>
      </w:pPr>
      <w:r>
        <w:rPr>
          <w:rFonts w:cs="Calibri" w:ascii="Calibri" w:hAnsi="Calibri"/>
          <w:sz w:val="22"/>
        </w:rPr>
        <w:t>En cas de divergences sur les interprétations des dispositions du présent accord, les parties signataires conviennent de se rencontrer afin de régler les litiges à l’amiable et de n’avoir recours aux tribunaux, que dans la mesure où une telle conciliation s’avèrerait impossible.</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t>Article 6 : Publicité de l’accord</w:t>
      </w:r>
    </w:p>
    <w:p>
      <w:pPr>
        <w:pStyle w:val="Normal"/>
        <w:widowControl w:val="false"/>
        <w:autoSpaceDE w:val="false"/>
        <w:spacing w:lineRule="atLeast" w:line="200"/>
        <w:jc w:val="both"/>
        <w:rPr>
          <w:rFonts w:ascii="Calibri" w:hAnsi="Calibri" w:cs="Calibri"/>
          <w:b/>
          <w:b/>
          <w:sz w:val="22"/>
        </w:rPr>
      </w:pPr>
      <w:r>
        <w:rPr>
          <w:rFonts w:cs="Calibri" w:ascii="Calibri" w:hAnsi="Calibri"/>
          <w:b/>
          <w:sz w:val="22"/>
        </w:rPr>
      </w:r>
    </w:p>
    <w:p>
      <w:pPr>
        <w:pStyle w:val="Normal"/>
        <w:widowControl w:val="false"/>
        <w:autoSpaceDE w:val="false"/>
        <w:spacing w:lineRule="atLeast" w:line="200"/>
        <w:jc w:val="both"/>
        <w:rPr/>
      </w:pPr>
      <w:r>
        <w:rPr>
          <w:rFonts w:cs="Calibri" w:ascii="Calibri" w:hAnsi="Calibri"/>
          <w:sz w:val="22"/>
        </w:rPr>
        <w:t>Le présent accord sera déposé par la partie la plus diligente :</w:t>
      </w:r>
    </w:p>
    <w:p>
      <w:pPr>
        <w:pStyle w:val="Normal"/>
        <w:spacing w:lineRule="atLeast" w:line="200"/>
        <w:jc w:val="both"/>
        <w:rPr>
          <w:rFonts w:ascii="Calibri" w:hAnsi="Calibri" w:cs="Calibri"/>
          <w:sz w:val="22"/>
        </w:rPr>
      </w:pPr>
      <w:r>
        <w:rPr>
          <w:rFonts w:cs="Calibri" w:ascii="Calibri" w:hAnsi="Calibri"/>
          <w:sz w:val="22"/>
        </w:rPr>
        <w:t>-  1 exemplaire papier au Secrétariat-Greffe du Conseil de Prud’hommes de Limoges</w:t>
      </w:r>
      <w:r>
        <w:rPr>
          <w:rFonts w:cs="Calibri" w:ascii="Calibri" w:hAnsi="Calibri"/>
          <w:i/>
          <w:sz w:val="22"/>
        </w:rPr>
        <w:t>.</w:t>
      </w:r>
    </w:p>
    <w:p>
      <w:pPr>
        <w:pStyle w:val="Normal"/>
        <w:spacing w:lineRule="atLeast" w:line="200"/>
        <w:jc w:val="both"/>
        <w:rPr>
          <w:rFonts w:ascii="Calibri" w:hAnsi="Calibri" w:cs="Calibri"/>
          <w:color w:val="808080"/>
          <w:sz w:val="22"/>
        </w:rPr>
      </w:pPr>
      <w:r>
        <w:rPr>
          <w:rFonts w:cs="Calibri" w:ascii="Calibri" w:hAnsi="Calibri"/>
          <w:sz w:val="22"/>
        </w:rPr>
        <w:t>- 1 exemplaire version électronique sur la plateforme de téléprocédure de la DIRECCTE (Direction régionale des entreprises, de la concurrence, de la consommation, du travail et de l’emploi)  du Limousin  à</w:t>
      </w:r>
      <w:r>
        <w:rPr>
          <w:rFonts w:cs="Calibri" w:ascii="Calibri" w:hAnsi="Calibri"/>
          <w:i/>
          <w:sz w:val="22"/>
        </w:rPr>
        <w:t xml:space="preserve"> </w:t>
      </w:r>
      <w:hyperlink r:id="rId2">
        <w:r>
          <w:rPr>
            <w:rStyle w:val="InternetLink"/>
            <w:rFonts w:cs="Calibri" w:ascii="Calibri" w:hAnsi="Calibri"/>
            <w:i/>
            <w:color w:val="808080"/>
            <w:sz w:val="22"/>
          </w:rPr>
          <w:t>www.teleaccords.travail-emploi.gouv.fr</w:t>
        </w:r>
      </w:hyperlink>
      <w:r>
        <w:rPr>
          <w:rFonts w:cs="Calibri" w:ascii="Calibri" w:hAnsi="Calibri"/>
          <w:i/>
          <w:color w:val="808080"/>
          <w:sz w:val="22"/>
        </w:rPr>
        <w:t>)</w:t>
      </w:r>
      <w:r>
        <w:rPr>
          <w:rFonts w:cs="Calibri" w:ascii="Calibri" w:hAnsi="Calibri"/>
          <w:color w:val="808080"/>
          <w:sz w:val="22"/>
        </w:rPr>
        <w:t>;</w:t>
      </w:r>
    </w:p>
    <w:p>
      <w:pPr>
        <w:pStyle w:val="Normal"/>
        <w:widowControl w:val="false"/>
        <w:autoSpaceDE w:val="false"/>
        <w:spacing w:lineRule="atLeast" w:line="200"/>
        <w:jc w:val="both"/>
        <w:rPr>
          <w:rFonts w:ascii="Calibri" w:hAnsi="Calibri" w:cs="Calibri"/>
          <w:color w:val="808080"/>
          <w:sz w:val="22"/>
        </w:rPr>
      </w:pPr>
      <w:r>
        <w:rPr>
          <w:rFonts w:cs="Calibri" w:ascii="Calibri" w:hAnsi="Calibri"/>
          <w:color w:val="808080"/>
          <w:sz w:val="22"/>
        </w:rPr>
      </w:r>
    </w:p>
    <w:p>
      <w:pPr>
        <w:pStyle w:val="Normal"/>
        <w:spacing w:lineRule="atLeast" w:line="200"/>
        <w:jc w:val="both"/>
        <w:rPr/>
      </w:pPr>
      <w:r>
        <w:rPr>
          <w:rFonts w:cs="Calibri" w:ascii="Calibri" w:hAnsi="Calibri"/>
          <w:i/>
          <w:sz w:val="22"/>
        </w:rPr>
        <w:t xml:space="preserve">Fait à Limoges le 10 mars 2023, en 4 exemplaires originaux (1 pour les prud’hommes, 1 pour la direction, 1 pour chaque organisation syndicale représentative). </w:t>
      </w:r>
    </w:p>
    <w:p>
      <w:pPr>
        <w:pStyle w:val="Normal"/>
        <w:widowControl w:val="false"/>
        <w:autoSpaceDE w:val="false"/>
        <w:spacing w:lineRule="atLeast" w:line="200"/>
        <w:jc w:val="both"/>
        <w:rPr>
          <w:rFonts w:ascii="Calibri" w:hAnsi="Calibri" w:cs="Calibri"/>
          <w:i/>
          <w:i/>
          <w:sz w:val="22"/>
        </w:rPr>
      </w:pPr>
      <w:r>
        <w:rPr>
          <w:rFonts w:cs="Calibri" w:ascii="Calibri" w:hAnsi="Calibri"/>
          <w:i/>
          <w:sz w:val="22"/>
        </w:rPr>
      </w:r>
    </w:p>
    <w:p>
      <w:pPr>
        <w:pStyle w:val="Normal"/>
        <w:widowControl w:val="false"/>
        <w:autoSpaceDE w:val="false"/>
        <w:spacing w:lineRule="atLeast" w:line="200"/>
        <w:jc w:val="both"/>
        <w:rPr>
          <w:rFonts w:ascii="Calibri" w:hAnsi="Calibri" w:cs="Calibri"/>
          <w:sz w:val="22"/>
        </w:rPr>
      </w:pPr>
      <w:r>
        <w:rPr>
          <w:rFonts w:cs="Calibri" w:ascii="Calibri" w:hAnsi="Calibri"/>
          <w:sz w:val="22"/>
        </w:rPr>
      </w:r>
    </w:p>
    <w:p>
      <w:pPr>
        <w:pStyle w:val="Normal"/>
        <w:spacing w:lineRule="atLeast" w:line="200"/>
        <w:rPr>
          <w:rFonts w:ascii="Calibri" w:hAnsi="Calibri" w:eastAsia="Calibri" w:cs="Calibri"/>
          <w:sz w:val="22"/>
          <w:lang w:eastAsia="en-US"/>
        </w:rPr>
      </w:pPr>
      <w:r>
        <w:rPr>
          <w:rFonts w:eastAsia="Calibri" w:cs="Calibri" w:ascii="Calibri" w:hAnsi="Calibri"/>
          <w:b/>
          <w:sz w:val="22"/>
          <w:lang w:eastAsia="en-US"/>
        </w:rPr>
        <w:t xml:space="preserve">Monsieur                         , </w:t>
      </w:r>
      <w:r>
        <w:rPr>
          <w:rFonts w:eastAsia="Calibri" w:cs="Calibri" w:ascii="Calibri" w:hAnsi="Calibri"/>
          <w:sz w:val="22"/>
          <w:lang w:eastAsia="en-US"/>
        </w:rPr>
        <w:t>Président</w:t>
      </w:r>
    </w:p>
    <w:p>
      <w:pPr>
        <w:pStyle w:val="Normal"/>
        <w:spacing w:lineRule="atLeast" w:line="200"/>
        <w:rPr>
          <w:rFonts w:ascii="Calibri" w:hAnsi="Calibri" w:eastAsia="Calibri" w:cs="Calibri"/>
          <w:sz w:val="22"/>
          <w:lang w:eastAsia="en-US"/>
        </w:rPr>
      </w:pPr>
      <w:r>
        <w:rPr>
          <w:rFonts w:eastAsia="Calibri" w:cs="Calibri" w:ascii="Calibri" w:hAnsi="Calibri"/>
          <w:sz w:val="22"/>
          <w:lang w:eastAsia="en-US"/>
        </w:rPr>
      </w:r>
    </w:p>
    <w:p>
      <w:pPr>
        <w:pStyle w:val="Normal"/>
        <w:spacing w:lineRule="atLeast" w:line="200"/>
        <w:rPr>
          <w:rFonts w:ascii="Calibri" w:hAnsi="Calibri" w:eastAsia="Calibri" w:cs="Calibri"/>
          <w:sz w:val="22"/>
          <w:lang w:eastAsia="en-US"/>
        </w:rPr>
      </w:pPr>
      <w:r>
        <w:rPr>
          <w:rFonts w:eastAsia="Calibri" w:cs="Calibri" w:ascii="Calibri" w:hAnsi="Calibri"/>
          <w:sz w:val="22"/>
          <w:lang w:eastAsia="en-US"/>
        </w:rPr>
      </w:r>
    </w:p>
    <w:p>
      <w:pPr>
        <w:pStyle w:val="Normal"/>
        <w:spacing w:lineRule="atLeast" w:line="200"/>
        <w:rPr>
          <w:rFonts w:ascii="Calibri" w:hAnsi="Calibri" w:eastAsia="Calibri" w:cs="Calibri"/>
          <w:sz w:val="22"/>
          <w:lang w:eastAsia="en-US"/>
        </w:rPr>
      </w:pPr>
      <w:r>
        <w:rPr>
          <w:rFonts w:eastAsia="Calibri" w:cs="Calibri" w:ascii="Calibri" w:hAnsi="Calibri"/>
          <w:sz w:val="22"/>
          <w:lang w:eastAsia="en-US"/>
        </w:rPr>
      </w:r>
    </w:p>
    <w:p>
      <w:pPr>
        <w:pStyle w:val="Normal"/>
        <w:spacing w:lineRule="atLeast" w:line="200"/>
        <w:rPr>
          <w:rFonts w:ascii="Calibri" w:hAnsi="Calibri" w:eastAsia="Calibri" w:cs="Calibri"/>
          <w:sz w:val="22"/>
          <w:lang w:eastAsia="en-US"/>
        </w:rPr>
      </w:pPr>
      <w:r>
        <w:rPr>
          <w:rFonts w:eastAsia="Calibri" w:cs="Calibri" w:ascii="Calibri" w:hAnsi="Calibri"/>
          <w:sz w:val="22"/>
          <w:lang w:eastAsia="en-US"/>
        </w:rPr>
      </w:r>
    </w:p>
    <w:p>
      <w:pPr>
        <w:pStyle w:val="Normal"/>
        <w:spacing w:lineRule="atLeast" w:line="200"/>
        <w:rPr>
          <w:rFonts w:ascii="Calibri" w:hAnsi="Calibri" w:eastAsia="Calibri" w:cs="Calibri"/>
          <w:sz w:val="22"/>
          <w:lang w:eastAsia="en-US"/>
        </w:rPr>
      </w:pPr>
      <w:r>
        <w:rPr>
          <w:rFonts w:eastAsia="Calibri" w:cs="Calibri" w:ascii="Calibri" w:hAnsi="Calibri"/>
          <w:b/>
          <w:sz w:val="22"/>
          <w:lang w:eastAsia="en-US"/>
        </w:rPr>
        <w:t xml:space="preserve">Madame                            , </w:t>
      </w:r>
      <w:r>
        <w:rPr>
          <w:rFonts w:eastAsia="Calibri" w:cs="Calibri" w:ascii="Calibri" w:hAnsi="Calibri"/>
          <w:sz w:val="22"/>
          <w:lang w:eastAsia="en-US"/>
        </w:rPr>
        <w:t>Directrice des Ressources Humaines</w:t>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t xml:space="preserve">C.F.D.T., </w:t>
      </w:r>
      <w:r>
        <w:rPr>
          <w:rFonts w:eastAsia="Calibri" w:cs="Calibri" w:ascii="Calibri" w:hAnsi="Calibri"/>
          <w:sz w:val="22"/>
          <w:lang w:eastAsia="en-US"/>
        </w:rPr>
        <w:t>représentée par </w:t>
      </w:r>
      <w:r>
        <w:rPr>
          <w:rFonts w:eastAsia="Calibri" w:cs="Calibri" w:ascii="Calibri" w:hAnsi="Calibri"/>
          <w:b/>
          <w:sz w:val="22"/>
          <w:lang w:eastAsia="en-US"/>
        </w:rPr>
        <w:t xml:space="preserve"> </w:t>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eastAsia="Calibri" w:cs="Calibri"/>
          <w:b/>
          <w:b/>
          <w:sz w:val="22"/>
          <w:lang w:eastAsia="en-US"/>
        </w:rPr>
      </w:pPr>
      <w:r>
        <w:rPr>
          <w:rFonts w:eastAsia="Calibri" w:cs="Calibri" w:ascii="Calibri" w:hAnsi="Calibri"/>
          <w:b/>
          <w:sz w:val="22"/>
          <w:lang w:eastAsia="en-US"/>
        </w:rPr>
      </w:r>
    </w:p>
    <w:p>
      <w:pPr>
        <w:pStyle w:val="Normal"/>
        <w:spacing w:lineRule="atLeast" w:line="200"/>
        <w:rPr>
          <w:rFonts w:ascii="Calibri" w:hAnsi="Calibri" w:cs="Calibri"/>
          <w:b/>
          <w:b/>
          <w:sz w:val="22"/>
        </w:rPr>
      </w:pPr>
      <w:r>
        <w:rPr>
          <w:rFonts w:eastAsia="Calibri" w:cs="Calibri" w:ascii="Calibri" w:hAnsi="Calibri"/>
          <w:b/>
          <w:sz w:val="22"/>
          <w:lang w:eastAsia="en-US"/>
        </w:rPr>
        <w:t xml:space="preserve">C.G.T., </w:t>
      </w:r>
      <w:r>
        <w:rPr>
          <w:rFonts w:eastAsia="Calibri" w:cs="Calibri" w:ascii="Calibri" w:hAnsi="Calibri"/>
          <w:sz w:val="22"/>
          <w:lang w:eastAsia="en-US"/>
        </w:rPr>
        <w:t>représentée par </w:t>
      </w:r>
      <w:r>
        <w:rPr>
          <w:rFonts w:eastAsia="Calibri" w:cs="Calibri" w:ascii="Calibri" w:hAnsi="Calibri"/>
          <w:b/>
          <w:sz w:val="22"/>
          <w:lang w:eastAsia="en-US"/>
        </w:rPr>
        <w:t xml:space="preserve"> </w:t>
      </w:r>
    </w:p>
    <w:p>
      <w:pPr>
        <w:pStyle w:val="Normal"/>
        <w:spacing w:lineRule="atLeast" w:line="200"/>
        <w:rPr>
          <w:rFonts w:ascii="Calibri" w:hAnsi="Calibri" w:cs="Calibri"/>
          <w:b/>
          <w:b/>
          <w:sz w:val="22"/>
        </w:rPr>
      </w:pPr>
      <w:r>
        <w:rPr>
          <w:rFonts w:cs="Calibri" w:ascii="Calibri" w:hAnsi="Calibri"/>
          <w:b/>
          <w:sz w:val="22"/>
        </w:rPr>
      </w:r>
    </w:p>
    <w:p>
      <w:pPr>
        <w:pStyle w:val="Normal"/>
        <w:spacing w:lineRule="atLeast" w:line="200"/>
        <w:rPr>
          <w:rFonts w:ascii="Calibri" w:hAnsi="Calibri" w:cs="Calibri"/>
          <w:b/>
          <w:b/>
          <w:sz w:val="22"/>
        </w:rPr>
      </w:pPr>
      <w:r>
        <w:rPr>
          <w:rFonts w:cs="Calibri" w:ascii="Calibri" w:hAnsi="Calibri"/>
          <w:b/>
          <w:sz w:val="22"/>
        </w:rPr>
      </w:r>
    </w:p>
    <w:p>
      <w:pPr>
        <w:pStyle w:val="Normal"/>
        <w:spacing w:lineRule="atLeast" w:line="200"/>
        <w:rPr>
          <w:rFonts w:ascii="Calibri" w:hAnsi="Calibri" w:cs="Calibri"/>
          <w:b/>
          <w:b/>
          <w:sz w:val="22"/>
        </w:rPr>
      </w:pPr>
      <w:r>
        <w:rPr>
          <w:rFonts w:cs="Calibri" w:ascii="Calibri" w:hAnsi="Calibri"/>
          <w:b/>
          <w:sz w:val="22"/>
        </w:rPr>
      </w:r>
    </w:p>
    <w:p>
      <w:pPr>
        <w:pStyle w:val="Normal"/>
        <w:spacing w:lineRule="atLeast" w:line="200"/>
        <w:rPr>
          <w:rFonts w:ascii="Calibri" w:hAnsi="Calibri" w:cs="Calibri"/>
          <w:b/>
          <w:b/>
          <w:sz w:val="22"/>
        </w:rPr>
      </w:pPr>
      <w:r>
        <w:rPr>
          <w:rFonts w:cs="Calibri" w:ascii="Calibri" w:hAnsi="Calibri"/>
          <w:b/>
          <w:sz w:val="22"/>
        </w:rPr>
      </w:r>
    </w:p>
    <w:p>
      <w:pPr>
        <w:pStyle w:val="Normal"/>
        <w:spacing w:lineRule="atLeast" w:line="200"/>
        <w:rPr>
          <w:rFonts w:ascii="Calibri" w:hAnsi="Calibri" w:cs="Calibri"/>
          <w:i/>
          <w:i/>
          <w:color w:val="0000FF"/>
        </w:rPr>
      </w:pPr>
      <w:r>
        <w:rPr>
          <w:rFonts w:cs="Calibri" w:ascii="Calibri" w:hAnsi="Calibri"/>
          <w:b/>
          <w:sz w:val="22"/>
        </w:rPr>
        <w:t xml:space="preserve">C.F.E.-C.G.C., </w:t>
      </w:r>
      <w:r>
        <w:rPr>
          <w:rFonts w:cs="Calibri" w:ascii="Calibri" w:hAnsi="Calibri"/>
          <w:sz w:val="22"/>
        </w:rPr>
        <w:t>représentée par</w:t>
      </w:r>
      <w:bookmarkStart w:id="0" w:name="_PictureBullets"/>
      <w:bookmarkEnd w:id="0"/>
      <w:r>
        <w:rPr>
          <w:rFonts w:cs="Calibri" w:ascii="Calibri" w:hAnsi="Calibri"/>
          <w:b/>
          <w:sz w:val="22"/>
        </w:rPr>
        <w:t xml:space="preserve">  </w:t>
      </w:r>
    </w:p>
    <w:sectPr>
      <w:footerReference w:type="default" r:id="rId3"/>
      <w:type w:val="nextPage"/>
      <w:pgSz w:w="11906" w:h="16838"/>
      <w:pgMar w:left="1418" w:right="1247" w:header="0" w:top="1134" w:footer="709"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rPr>
    </w:pPr>
    <w:r>
      <w:rPr>
        <w:sz w:val="20"/>
      </w:rPr>
      <w:fldChar w:fldCharType="begin"/>
    </w:r>
    <w:r>
      <w:instrText> PAGE </w:instrText>
    </w:r>
    <w:r>
      <w:fldChar w:fldCharType="separate"/>
    </w:r>
    <w:r>
      <w:t>3</w:t>
    </w:r>
    <w:r>
      <w:fldChar w:fldCharType="end"/>
    </w:r>
  </w:p>
  <w:p>
    <w:pPr>
      <w:pStyle w:val="Footer"/>
      <w:rPr>
        <w:sz w:val="20"/>
      </w:rPr>
    </w:pPr>
    <w:r>
      <w:rPr>
        <w:sz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33.75pt;height:13.5pt" o:bullet="t">
        <v:imagedata r:id="rId1" o:title=""/>
      </v:shape>
    </w:pict>
  </w:numPicBullet>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start w:val="1"/>
      <w:numFmt w:val="bullet"/>
      <w:lvlText w:val="-"/>
      <w:lvlJc w:val="left"/>
      <w:pPr>
        <w:ind w:left="405" w:hanging="360"/>
      </w:pPr>
      <w:rPr>
        <w:rFonts w:ascii="Calibri" w:hAnsi="Calibri" w:cs="Calibri" w:hint="default"/>
        <w:sz w:val="22"/>
        <w:rFonts w:cs="Calibri"/>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style>
  <w:style w:type="character" w:styleId="WW8Num2z0">
    <w:name w:val="WW8Num2z0"/>
    <w:qFormat/>
    <w:rPr>
      <w:rFonts w:ascii="Arial" w:hAnsi="Arial" w:cs="Arial"/>
      <w:color w:val="00B0F0"/>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Calibri" w:hAnsi="Calibri" w:eastAsia="Calibri" w:cs="Calibr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Wingdings" w:cs="Times New Roma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Arial" w:hAnsi="Arial" w:cs="Arial"/>
      <w:color w:val="00B0F0"/>
      <w:sz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Arial" w:hAnsi="Arial" w:eastAsia="Tahoma"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alibri" w:hAnsi="Calibri" w:eastAsia="Times New Roman" w:cs="Calibri"/>
      <w:sz w:val="22"/>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cs="Aria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Times New Roman" w:hAnsi="Times New Roman" w:eastAsia="Times New Roman" w:cs="Times New Roman"/>
    </w:rPr>
  </w:style>
  <w:style w:type="character" w:styleId="WW8Num19z2">
    <w:name w:val="WW8Num19z2"/>
    <w:qFormat/>
    <w:rPr>
      <w:rFonts w:ascii="Wingdings" w:hAnsi="Wingdings" w:cs="Wingdings"/>
    </w:rPr>
  </w:style>
  <w:style w:type="character" w:styleId="WW8Num19z4">
    <w:name w:val="WW8Num19z4"/>
    <w:qFormat/>
    <w:rPr>
      <w:rFonts w:ascii="Courier New" w:hAnsi="Courier New" w:cs="Courier New"/>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Helvetica" w:hAnsi="Helvetica" w:eastAsia="Times New Roman" w:cs="Helvetica"/>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Wingdings" w:hAnsi="Wingdings" w:eastAsia="Times New Roman" w:cs="Arial"/>
      <w:color w:val="000000"/>
      <w:sz w:val="18"/>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InternetLink">
    <w:name w:val="Internet Link"/>
    <w:rPr>
      <w:color w:val="0000FF"/>
      <w:u w:val="single"/>
    </w:rPr>
  </w:style>
  <w:style w:type="character" w:styleId="PieddepageCar">
    <w:name w:val="Pied de page C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NormalWeb">
    <w:name w:val="Normal (Web)"/>
    <w:basedOn w:val="Normal"/>
    <w:qFormat/>
    <w:pPr>
      <w:spacing w:before="280" w:after="280"/>
    </w:pPr>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2023-03-08T15:14:00Z</dcterms:created>
  <dc:creator/>
  <dc:description/>
  <dc:language>en-GB</dc:language>
  <cp:lastModifiedBy/>
  <cp:lastPrinted>2019-03-29T16:39:00Z</cp:lastPrinted>
  <dcterms:modified xsi:type="dcterms:W3CDTF">2023-03-23T15:20:00Z</dcterms:modified>
  <cp:revision>10</cp:revision>
  <dc:subject/>
  <dc:title>Entretien de seconde partie de carrière</dc:title>
</cp:coreProperties>
</file>