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C76DA" w:rsidR="00FE59D6" w:rsidRDefault="00FE59D6" w:rsidRPr="00FE59D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200" w:line="276" w:lineRule="auto"/>
        <w:jc w:val="center"/>
        <w:rPr>
          <w:rFonts w:ascii="Calibri" w:cs="Times New Roman" w:eastAsia="Calibri" w:hAnsi="Calibri"/>
          <w:b/>
          <w:sz w:val="20"/>
          <w:szCs w:val="32"/>
          <w:lang w:eastAsia="en-US" w:val="fr-FR"/>
        </w:rPr>
      </w:pPr>
    </w:p>
    <w:p w:rsidP="000C76DA" w:rsidR="00356F10" w:rsidRDefault="00356F1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200" w:line="276" w:lineRule="auto"/>
        <w:jc w:val="center"/>
        <w:rPr>
          <w:rFonts w:ascii="Calibri" w:cs="Times New Roman" w:eastAsia="Calibri" w:hAnsi="Calibri"/>
          <w:b/>
          <w:sz w:val="32"/>
          <w:szCs w:val="32"/>
          <w:lang w:eastAsia="en-US" w:val="fr-FR"/>
        </w:rPr>
      </w:pPr>
      <w:r w:rsidRPr="00356F10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 xml:space="preserve">PROTOCOLE </w:t>
      </w:r>
      <w:r w:rsidR="000310F1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>D’</w:t>
      </w:r>
      <w:r w:rsidR="00D1317E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>ACCORD</w:t>
      </w:r>
      <w:r w:rsidRPr="00356F10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 xml:space="preserve"> SUR LES NEGOCIATIONS ANNUELLES OBLIGATOIRES </w:t>
      </w:r>
      <w:r w:rsidR="00A379DC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>202</w:t>
      </w:r>
      <w:r w:rsidR="00A146EC">
        <w:rPr>
          <w:rFonts w:ascii="Calibri" w:cs="Times New Roman" w:eastAsia="Calibri" w:hAnsi="Calibri"/>
          <w:b/>
          <w:sz w:val="32"/>
          <w:szCs w:val="32"/>
          <w:lang w:eastAsia="en-US" w:val="fr-FR"/>
        </w:rPr>
        <w:t>3</w:t>
      </w:r>
    </w:p>
    <w:p w:rsidP="00356F10" w:rsidR="000310F1" w:rsidRDefault="000310F1">
      <w:pPr>
        <w:spacing w:after="200" w:line="276" w:lineRule="auto"/>
        <w:jc w:val="both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Suite aux réunions de négociations qui se sont déroulées </w:t>
      </w:r>
      <w:r w:rsidRPr="00F311FC">
        <w:rPr>
          <w:rFonts w:ascii="Calibri" w:cs="Times New Roman" w:eastAsia="Calibri" w:hAnsi="Calibri"/>
          <w:sz w:val="22"/>
          <w:szCs w:val="22"/>
          <w:lang w:eastAsia="en-US" w:val="fr-FR"/>
        </w:rPr>
        <w:t>les</w:t>
      </w:r>
      <w:r w:rsidR="00A146EC" w:rsidRPr="00F311F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29 novembre, 5</w:t>
      </w:r>
      <w:r w:rsidR="00826871" w:rsidRPr="00F311F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</w:t>
      </w:r>
      <w:r w:rsidR="00A146EC" w:rsidRPr="00F311FC">
        <w:rPr>
          <w:rFonts w:ascii="Calibri" w:cs="Times New Roman" w:eastAsia="Calibri" w:hAnsi="Calibri"/>
          <w:sz w:val="22"/>
          <w:szCs w:val="22"/>
          <w:lang w:eastAsia="en-US" w:val="fr-FR"/>
        </w:rPr>
        <w:t>et 8 décembre</w:t>
      </w:r>
      <w:r w:rsidR="00826871" w:rsidRPr="00F311F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2022</w:t>
      </w:r>
      <w:r w:rsidR="00826871">
        <w:rPr>
          <w:rFonts w:ascii="Calibri" w:cs="Times New Roman" w:eastAsia="Calibri" w:hAnsi="Calibri"/>
          <w:sz w:val="22"/>
          <w:szCs w:val="22"/>
          <w:lang w:eastAsia="en-US" w:val="fr-FR"/>
        </w:rPr>
        <w:t>, il est convenu ce présent protocole d’accord actant les contreparties réciproques validées e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>ntre la Direction de la société Fives Cryo représe</w:t>
      </w:r>
      <w:r w:rsidR="004923AF">
        <w:rPr>
          <w:rFonts w:ascii="Calibri" w:cs="Times New Roman" w:eastAsia="Calibri" w:hAnsi="Calibri"/>
          <w:sz w:val="22"/>
          <w:szCs w:val="22"/>
          <w:lang w:eastAsia="en-US" w:val="fr-FR"/>
        </w:rPr>
        <w:t>ntée par le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président d’une part</w:t>
      </w:r>
      <w:r w:rsidR="0082687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e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t </w:t>
      </w:r>
      <w:r w:rsidR="00826871">
        <w:rPr>
          <w:rFonts w:ascii="Calibri" w:cs="Times New Roman" w:eastAsia="Calibri" w:hAnsi="Calibri"/>
          <w:sz w:val="22"/>
          <w:szCs w:val="22"/>
          <w:lang w:eastAsia="en-US" w:val="fr-FR"/>
        </w:rPr>
        <w:t>l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>es organisations syndicales représentatives dans l’entreprise d’autre part,</w:t>
      </w:r>
    </w:p>
    <w:p w:rsidP="00356F10" w:rsidR="00356F10" w:rsidRDefault="00356F10" w:rsidRPr="00356F10">
      <w:pPr>
        <w:spacing w:after="200" w:line="276" w:lineRule="auto"/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</w:pPr>
      <w:r w:rsidRPr="00356F10"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 xml:space="preserve">I </w:t>
      </w:r>
      <w:r w:rsidR="00D1317E"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>–</w:t>
      </w:r>
      <w:r w:rsidRPr="00356F10"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 xml:space="preserve"> </w:t>
      </w:r>
      <w:r w:rsidR="000310F1"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>DISPOSITIONS SALARIALES</w:t>
      </w:r>
    </w:p>
    <w:p w:rsidP="00182BF7" w:rsidR="00DA5717" w:rsidRDefault="00DA5717">
      <w:pPr>
        <w:spacing w:after="200" w:line="276" w:lineRule="auto"/>
        <w:contextualSpacing/>
        <w:jc w:val="both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160F21" w:rsidR="005C1281" w:rsidRDefault="00DA5717" w:rsidRPr="009E6BEF">
      <w:pPr>
        <w:spacing w:after="200" w:line="276" w:lineRule="auto"/>
        <w:contextualSpacing/>
        <w:rPr>
          <w:rFonts w:ascii="Calibri" w:cs="Times New Roman" w:eastAsia="Calibri" w:hAnsi="Calibri"/>
          <w:b/>
          <w:sz w:val="22"/>
          <w:szCs w:val="22"/>
          <w:lang w:eastAsia="en-US" w:val="fr-FR"/>
        </w:rPr>
      </w:pPr>
      <w:r w:rsidRPr="009E6BEF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 xml:space="preserve">A – </w:t>
      </w:r>
      <w:r w:rsidR="000310F1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Sur les augmentations</w:t>
      </w:r>
    </w:p>
    <w:p w:rsidP="00160F21" w:rsidR="00DA5717" w:rsidRDefault="00DA5717">
      <w:pPr>
        <w:spacing w:after="200" w:line="276" w:lineRule="auto"/>
        <w:contextualSpacing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160F21" w:rsidR="00137111" w:rsidRDefault="006B5091">
      <w:pPr>
        <w:spacing w:after="200" w:line="276" w:lineRule="auto"/>
        <w:contextualSpacing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>Compte tenu du contexte</w:t>
      </w:r>
      <w:r w:rsidR="00A60E7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économique qui pèse sur le pouvoir d’achat des salariés avec une inflation record </w:t>
      </w:r>
      <w:r w:rsidR="00F311FC">
        <w:rPr>
          <w:rFonts w:ascii="Calibri" w:cs="Times New Roman" w:eastAsia="Calibri" w:hAnsi="Calibri"/>
          <w:sz w:val="22"/>
          <w:szCs w:val="22"/>
          <w:lang w:eastAsia="en-US" w:val="fr-FR"/>
        </w:rPr>
        <w:t>cette année 2022</w:t>
      </w:r>
      <w:r w:rsidR="00A60E7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, et au regard 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>des efforts consentis par les salariés</w:t>
      </w:r>
      <w:r w:rsidR="00A60E7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et des performances de la société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>, la Direction et les partenaires se sont accordés sur le</w:t>
      </w:r>
      <w:r w:rsidR="00A369D3">
        <w:rPr>
          <w:rFonts w:ascii="Calibri" w:cs="Times New Roman" w:eastAsia="Calibri" w:hAnsi="Calibri"/>
          <w:sz w:val="22"/>
          <w:szCs w:val="22"/>
          <w:lang w:eastAsia="en-US" w:val="fr-FR"/>
        </w:rPr>
        <w:t>s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mesures</w:t>
      </w:r>
      <w:r w:rsidR="00A369D3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exceptionnelles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suivantes qui auront un effet à date du </w:t>
      </w:r>
      <w:r w:rsidR="000310F1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1</w:t>
      </w:r>
      <w:r w:rsidR="000310F1" w:rsidRPr="00A369D3">
        <w:rPr>
          <w:rFonts w:ascii="Calibri" w:cs="Times New Roman" w:eastAsia="Calibri" w:hAnsi="Calibri"/>
          <w:b/>
          <w:sz w:val="22"/>
          <w:szCs w:val="22"/>
          <w:vertAlign w:val="superscript"/>
          <w:lang w:eastAsia="en-US" w:val="fr-FR"/>
        </w:rPr>
        <w:t>er</w:t>
      </w:r>
      <w:r w:rsidR="000310F1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 xml:space="preserve"> janvier 202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3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> :</w:t>
      </w:r>
    </w:p>
    <w:p w:rsidP="00160F21" w:rsidR="00E64981" w:rsidRDefault="00E64981">
      <w:pPr>
        <w:spacing w:after="200" w:line="276" w:lineRule="auto"/>
        <w:contextualSpacing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</w:t>
      </w:r>
    </w:p>
    <w:p w:rsidP="00182BF7" w:rsidR="00356F10" w:rsidRDefault="00356F10" w:rsidRPr="00DA5717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0310F1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Pour les personnels non cadres</w:t>
      </w:r>
      <w:r w:rsidR="004D75F9" w:rsidRPr="00182BF7">
        <w:rPr>
          <w:rFonts w:ascii="Calibri" w:cs="Times New Roman" w:eastAsia="Calibri" w:hAnsi="Calibri"/>
          <w:sz w:val="22"/>
          <w:szCs w:val="22"/>
          <w:lang w:eastAsia="en-US" w:val="fr-FR"/>
        </w:rPr>
        <w:t>,</w:t>
      </w:r>
      <w:r w:rsidR="00DA571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il est accordé une augmentation générale d’un montant exceptionnel de 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5</w:t>
      </w:r>
      <w:r w:rsidR="000310F1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%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avec un talon de 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100</w:t>
      </w:r>
      <w:r w:rsidR="000310F1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€</w:t>
      </w:r>
      <w:r w:rsidR="00A146E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ainsi qu’une enveloppe </w:t>
      </w:r>
      <w:r w:rsidR="00A60E7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pour des </w:t>
      </w:r>
      <w:r w:rsidR="00A146E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augmentations individuelles de </w:t>
      </w:r>
      <w:r w:rsidR="00A146EC" w:rsidRP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0,5%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.</w:t>
      </w:r>
    </w:p>
    <w:p w:rsidP="00DA5717" w:rsidR="00DA5717" w:rsidRDefault="00DA5717" w:rsidRPr="00182BF7">
      <w:pPr>
        <w:pStyle w:val="Paragraphedeliste"/>
        <w:spacing w:after="200" w:line="276" w:lineRule="auto"/>
        <w:jc w:val="both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755EB6" w:rsidR="00DA5717" w:rsidRDefault="00356F10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826871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Pour les salariés cadres</w:t>
      </w:r>
      <w:r w:rsidRPr="00DA571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, </w:t>
      </w:r>
      <w:r w:rsidR="00DA5717" w:rsidRPr="00DA571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il </w:t>
      </w:r>
      <w:r w:rsidR="00F311F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est </w:t>
      </w:r>
      <w:r w:rsid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convenu une enveloppe de 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5</w:t>
      </w:r>
      <w:r w:rsidR="00826871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.5</w:t>
      </w:r>
      <w:r w:rsidR="00DA5717"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%</w:t>
      </w:r>
      <w:r w:rsidR="00DA5717" w:rsidRPr="00DA5717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</w:t>
      </w:r>
      <w:r w:rsidRPr="00DA5717">
        <w:rPr>
          <w:rFonts w:ascii="Calibri" w:cs="Times New Roman" w:eastAsia="Calibri" w:hAnsi="Calibri"/>
          <w:sz w:val="22"/>
          <w:szCs w:val="22"/>
          <w:lang w:eastAsia="en-US" w:val="fr-FR"/>
        </w:rPr>
        <w:t>sous forme d’augmentations individuelles</w:t>
      </w:r>
      <w:r w:rsidR="00826871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</w:p>
    <w:p w:rsidP="00F42C84" w:rsidR="00F42C84" w:rsidRDefault="00F42C84" w:rsidRPr="00F42C84">
      <w:pPr>
        <w:pStyle w:val="Paragraphedelist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DA5717" w:rsidR="00DA5717" w:rsidRDefault="00DA5717" w:rsidRPr="00DA5717">
      <w:pPr>
        <w:pStyle w:val="Paragraphedelist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5C1281" w:rsidR="005C1281" w:rsidRDefault="000310F1" w:rsidRPr="009E6BEF">
      <w:pPr>
        <w:spacing w:after="200" w:line="276" w:lineRule="auto"/>
        <w:contextualSpacing/>
        <w:rPr>
          <w:rFonts w:ascii="Calibri" w:cs="Times New Roman" w:eastAsia="Calibri" w:hAnsi="Calibri"/>
          <w:b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b/>
          <w:sz w:val="22"/>
          <w:szCs w:val="22"/>
          <w:lang w:eastAsia="en-US" w:val="fr-FR"/>
        </w:rPr>
        <w:t xml:space="preserve">B – Impact sur les primes </w:t>
      </w:r>
    </w:p>
    <w:p w:rsidP="005C1281" w:rsidR="009E6BEF" w:rsidRDefault="009E6BEF">
      <w:pPr>
        <w:spacing w:after="200" w:line="276" w:lineRule="auto"/>
        <w:contextualSpacing/>
        <w:rPr>
          <w:rFonts w:ascii="Calibri" w:cs="Times New Roman" w:eastAsia="Calibri" w:hAnsi="Calibri"/>
          <w:b/>
          <w:sz w:val="22"/>
          <w:szCs w:val="22"/>
          <w:lang w:eastAsia="en-US" w:val="fr-FR"/>
        </w:rPr>
      </w:pPr>
    </w:p>
    <w:p w:rsidP="005C1281" w:rsidR="000310F1" w:rsidRDefault="000310F1" w:rsidRPr="000310F1">
      <w:pPr>
        <w:spacing w:after="200" w:line="276" w:lineRule="auto"/>
        <w:contextualSpacing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L’enveloppe d’augmentation générale de </w:t>
      </w:r>
      <w:r w:rsidR="00A146EC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>5</w:t>
      </w:r>
      <w:r w:rsidRPr="00A369D3">
        <w:rPr>
          <w:rFonts w:ascii="Calibri" w:cs="Times New Roman" w:eastAsia="Calibri" w:hAnsi="Calibri"/>
          <w:b/>
          <w:sz w:val="22"/>
          <w:szCs w:val="22"/>
          <w:lang w:eastAsia="en-US" w:val="fr-FR"/>
        </w:rPr>
        <w:t xml:space="preserve"> %</w:t>
      </w:r>
      <w:r w:rsidRP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s’appliquera également sur</w:t>
      </w:r>
      <w:r w:rsidR="00A146E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les primes de paniers de jours ; En ce qui concerne la</w:t>
      </w:r>
      <w:r w:rsidR="0082687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prime</w:t>
      </w:r>
      <w:r w:rsidRPr="000310F1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de transport</w:t>
      </w:r>
      <w:r w:rsidR="00A146E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, </w:t>
      </w:r>
      <w:r w:rsidR="00F311FC">
        <w:rPr>
          <w:rFonts w:ascii="Calibri" w:cs="Times New Roman" w:eastAsia="Calibri" w:hAnsi="Calibri"/>
          <w:sz w:val="22"/>
          <w:szCs w:val="22"/>
          <w:lang w:eastAsia="en-US" w:val="fr-FR"/>
        </w:rPr>
        <w:t>celle-ci sera revalorisée pour chaque tranche de 10%.</w:t>
      </w:r>
    </w:p>
    <w:p w:rsidP="00356F10" w:rsidR="000310F1" w:rsidRDefault="000310F1">
      <w:pPr>
        <w:contextualSpacing/>
        <w:textAlignment w:val="baseline"/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</w:pPr>
    </w:p>
    <w:p w:rsidP="00356F10" w:rsidR="00356F10" w:rsidRDefault="00826871" w:rsidRPr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>II</w:t>
      </w:r>
      <w:r w:rsidR="00356F10" w:rsidRPr="00356F10">
        <w:rPr>
          <w:rFonts w:ascii="Calibri" w:cs="Times New Roman" w:eastAsia="Calibri" w:hAnsi="Calibri"/>
          <w:b/>
          <w:sz w:val="22"/>
          <w:szCs w:val="22"/>
          <w:u w:val="single"/>
          <w:lang w:eastAsia="en-US" w:val="fr-FR"/>
        </w:rPr>
        <w:t>-FORMALITES</w:t>
      </w:r>
    </w:p>
    <w:p w:rsidP="00356F10" w:rsidR="00356F10" w:rsidRDefault="00356F10" w:rsidRPr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7806A1" w:rsidR="00356F10" w:rsidRDefault="00356F10" w:rsidRPr="00356F10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Conformément à l’article L. 2231-5 du Code du Travail, le texte du présent accord sera notifié à chacune des organisations représentatives.</w:t>
      </w:r>
    </w:p>
    <w:p w:rsidP="007806A1" w:rsidR="00356F10" w:rsidRDefault="00356F10" w:rsidRPr="00356F10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7806A1" w:rsidR="00356F10" w:rsidRDefault="00356F10" w:rsidRPr="00356F10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Conformément à l’article L. 2231-6 du Code du Travail, le texte du présent accord sera déposé auprès de la DIRECCTE et du Conseil de Prud’hommes du lieu de conclusion.</w:t>
      </w:r>
    </w:p>
    <w:p w:rsidP="007806A1" w:rsidR="00356F10" w:rsidRDefault="00356F10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FE59D6" w:rsidR="00356F10" w:rsidRDefault="00356F10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Fait à </w:t>
      </w:r>
      <w:r w:rsidR="007806A1">
        <w:rPr>
          <w:rFonts w:ascii="Calibri" w:cs="Times New Roman" w:eastAsia="Calibri" w:hAnsi="Calibri"/>
          <w:sz w:val="22"/>
          <w:szCs w:val="22"/>
          <w:lang w:eastAsia="en-US" w:val="fr-FR"/>
        </w:rPr>
        <w:t>Golbey</w:t>
      </w: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, le </w:t>
      </w:r>
      <w:r w:rsidR="009232D5">
        <w:rPr>
          <w:rFonts w:ascii="Calibri" w:cs="Times New Roman" w:eastAsia="Calibri" w:hAnsi="Calibri"/>
          <w:sz w:val="22"/>
          <w:szCs w:val="22"/>
          <w:lang w:eastAsia="en-US" w:val="fr-FR"/>
        </w:rPr>
        <w:t>12 décembre 202</w:t>
      </w:r>
      <w:r w:rsidR="00897337">
        <w:rPr>
          <w:rFonts w:ascii="Calibri" w:cs="Times New Roman" w:eastAsia="Calibri" w:hAnsi="Calibri"/>
          <w:sz w:val="22"/>
          <w:szCs w:val="22"/>
          <w:lang w:eastAsia="en-US" w:val="fr-FR"/>
        </w:rPr>
        <w:t>2</w:t>
      </w:r>
    </w:p>
    <w:p w:rsidP="00FE59D6" w:rsidR="00073C37" w:rsidRDefault="00073C37">
      <w:pPr>
        <w:contextualSpacing/>
        <w:jc w:val="both"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356F10" w:rsidR="006A7A3A" w:rsidRDefault="006A7A3A" w:rsidRPr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B22B0F" w:rsidR="00073C37" w:rsidRDefault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Pour Fives C</w:t>
      </w:r>
      <w:r w:rsidR="00DB42C0">
        <w:rPr>
          <w:rFonts w:ascii="Calibri" w:cs="Times New Roman" w:eastAsia="Calibri" w:hAnsi="Calibri"/>
          <w:sz w:val="22"/>
          <w:szCs w:val="22"/>
          <w:lang w:eastAsia="en-US" w:val="fr-FR"/>
        </w:rPr>
        <w:t>ryo</w:t>
      </w:r>
      <w:r w:rsidR="00DB42C0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</w:p>
    <w:p w:rsidP="00B22B0F" w:rsidR="006A7A3A" w:rsidRDefault="00B22B0F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</w:p>
    <w:p w:rsidP="00B22B0F" w:rsidR="00356F10" w:rsidRDefault="00DB42C0" w:rsidRPr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B22B0F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</w:p>
    <w:p w:rsidP="00356F10" w:rsidR="006A7A3A" w:rsidRDefault="00B22B0F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</w:p>
    <w:p w:rsidP="00356F10" w:rsidR="00356F10" w:rsidRDefault="0001764B" w:rsidRPr="006A7A3A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lastRenderedPageBreak/>
        <w:t xml:space="preserve">Président 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B22B0F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B22B0F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  <w:t xml:space="preserve">Responsable Ressources Humaines </w:t>
      </w:r>
    </w:p>
    <w:p w:rsidP="00356F10" w:rsidR="00B22B0F" w:rsidRDefault="00B22B0F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356F10" w:rsidR="006A7A3A" w:rsidRDefault="006A7A3A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356F10" w:rsidR="00F311FC" w:rsidRDefault="00F311FC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p w:rsidP="00B22B0F" w:rsidR="006A7A3A" w:rsidRDefault="00B22B0F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Pour  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l’organisation syndicale 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>C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>G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>T</w:t>
      </w:r>
      <w:r w:rsidR="00356F10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   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6A7A3A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Pour  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 xml:space="preserve">l’organisation syndicale </w:t>
      </w:r>
      <w:r w:rsidR="006A7A3A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C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  <w:r w:rsidR="006A7A3A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F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  <w:r w:rsidR="006A7A3A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D</w:t>
      </w:r>
      <w:r w:rsidR="00A379DC">
        <w:rPr>
          <w:rFonts w:ascii="Calibri" w:cs="Times New Roman" w:eastAsia="Calibri" w:hAnsi="Calibri"/>
          <w:sz w:val="22"/>
          <w:szCs w:val="22"/>
          <w:lang w:eastAsia="en-US" w:val="fr-FR"/>
        </w:rPr>
        <w:t>.</w:t>
      </w:r>
      <w:r w:rsidR="006A7A3A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T</w:t>
      </w:r>
    </w:p>
    <w:p w:rsidP="00B22B0F" w:rsidR="006A7A3A" w:rsidRDefault="006A7A3A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356F10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356F10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B22B0F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 w:rsidR="00B22B0F"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  <w:r>
        <w:rPr>
          <w:rFonts w:ascii="Calibri" w:cs="Times New Roman" w:eastAsia="Calibri" w:hAnsi="Calibri"/>
          <w:sz w:val="22"/>
          <w:szCs w:val="22"/>
          <w:lang w:eastAsia="en-US" w:val="fr-FR"/>
        </w:rPr>
        <w:tab/>
      </w:r>
    </w:p>
    <w:p w:rsidP="00B22B0F" w:rsidR="00356F10" w:rsidRDefault="00A379DC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  <w:r>
        <w:rPr>
          <w:rFonts w:ascii="Calibri" w:cs="Times New Roman" w:eastAsia="Calibri" w:hAnsi="Calibri"/>
          <w:sz w:val="22"/>
          <w:szCs w:val="22"/>
          <w:lang w:eastAsia="en-US" w:val="fr-FR"/>
        </w:rPr>
        <w:t>Pour  l’organisation syndicale F</w:t>
      </w:r>
      <w:r w:rsidR="00356F10" w:rsidRPr="00356F10">
        <w:rPr>
          <w:rFonts w:ascii="Calibri" w:cs="Times New Roman" w:eastAsia="Calibri" w:hAnsi="Calibri"/>
          <w:sz w:val="22"/>
          <w:szCs w:val="22"/>
          <w:lang w:eastAsia="en-US" w:val="fr-FR"/>
        </w:rPr>
        <w:t>O</w:t>
      </w:r>
    </w:p>
    <w:p w:rsidP="00B22B0F" w:rsidR="00356F10" w:rsidRDefault="00356F10" w:rsidRPr="00356F10">
      <w:pPr>
        <w:contextualSpacing/>
        <w:textAlignment w:val="baseline"/>
        <w:rPr>
          <w:rFonts w:ascii="Calibri" w:cs="Times New Roman" w:eastAsia="Calibri" w:hAnsi="Calibri"/>
          <w:sz w:val="22"/>
          <w:szCs w:val="22"/>
          <w:lang w:eastAsia="en-US" w:val="fr-FR"/>
        </w:rPr>
      </w:pPr>
    </w:p>
    <w:sectPr w:rsidR="00356F10" w:rsidRPr="00356F10" w:rsidSect="000F257D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40" w:w="11900"/>
      <w:pgMar w:bottom="851" w:footer="0" w:gutter="0" w:header="0" w:left="1417" w:right="1410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71" w:rsidRDefault="006A2B71" w:rsidP="003120B4">
      <w:r>
        <w:separator/>
      </w:r>
    </w:p>
  </w:endnote>
  <w:endnote w:type="continuationSeparator" w:id="0">
    <w:p w:rsidR="006A2B71" w:rsidRDefault="006A2B71" w:rsidP="0031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23AF" w:rsidRDefault="004923AF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120B4" w:rsidR="003120B4" w:rsidRDefault="003120B4">
    <w:pPr>
      <w:pStyle w:val="Pieddepage"/>
      <w:tabs>
        <w:tab w:pos="9072" w:val="clear"/>
        <w:tab w:pos="10490" w:val="right"/>
      </w:tabs>
      <w:ind w:left="-1417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23AF" w:rsidRDefault="004923AF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120B4" w:rsidR="006A2B71" w:rsidRDefault="006A2B71">
      <w:r>
        <w:separator/>
      </w:r>
    </w:p>
  </w:footnote>
  <w:footnote w:id="0" w:type="continuationSeparator">
    <w:p w:rsidP="003120B4" w:rsidR="006A2B71" w:rsidRDefault="006A2B7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23AF" w:rsidRDefault="004923AF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120B4" w:rsidR="003120B4" w:rsidRDefault="003120B4">
    <w:pPr>
      <w:pStyle w:val="En-tte"/>
      <w:tabs>
        <w:tab w:pos="9072" w:val="clear"/>
        <w:tab w:pos="10490" w:val="right"/>
      </w:tabs>
      <w:ind w:left="-1417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23AF" w:rsidRDefault="004923AF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6241A46"/>
    <w:multiLevelType w:val="hybridMultilevel"/>
    <w:tmpl w:val="14CAD57A"/>
    <w:lvl w:ilvl="0" w:tplc="0772E642">
      <w:start w:val="1"/>
      <w:numFmt w:val="upp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FDE364A"/>
    <w:multiLevelType w:val="hybridMultilevel"/>
    <w:tmpl w:val="CA4EBE1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9C60AA"/>
    <w:multiLevelType w:val="hybridMultilevel"/>
    <w:tmpl w:val="A75859B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589C2C81"/>
    <w:multiLevelType w:val="hybridMultilevel"/>
    <w:tmpl w:val="DCDCA7F4"/>
    <w:lvl w:ilvl="0" w:tplc="FF224B36">
      <w:start w:val="2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A1874A3"/>
    <w:multiLevelType w:val="hybridMultilevel"/>
    <w:tmpl w:val="DCB4770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B4"/>
    <w:rsid w:val="00005692"/>
    <w:rsid w:val="0001764B"/>
    <w:rsid w:val="000310F1"/>
    <w:rsid w:val="00036D7E"/>
    <w:rsid w:val="00073C37"/>
    <w:rsid w:val="000964B4"/>
    <w:rsid w:val="000C76DA"/>
    <w:rsid w:val="000F257D"/>
    <w:rsid w:val="001141F8"/>
    <w:rsid w:val="00137111"/>
    <w:rsid w:val="00143851"/>
    <w:rsid w:val="00143FFA"/>
    <w:rsid w:val="00160F21"/>
    <w:rsid w:val="00182BF7"/>
    <w:rsid w:val="001E05C4"/>
    <w:rsid w:val="001F07A0"/>
    <w:rsid w:val="001F2FE4"/>
    <w:rsid w:val="00252C58"/>
    <w:rsid w:val="003024C4"/>
    <w:rsid w:val="003120B4"/>
    <w:rsid w:val="00322D5A"/>
    <w:rsid w:val="00356F10"/>
    <w:rsid w:val="003657A9"/>
    <w:rsid w:val="00393AAA"/>
    <w:rsid w:val="003A74F7"/>
    <w:rsid w:val="003E16F4"/>
    <w:rsid w:val="00435A04"/>
    <w:rsid w:val="0044584D"/>
    <w:rsid w:val="00451E1C"/>
    <w:rsid w:val="004647DF"/>
    <w:rsid w:val="004923AF"/>
    <w:rsid w:val="004A2581"/>
    <w:rsid w:val="004C69A9"/>
    <w:rsid w:val="004D2C88"/>
    <w:rsid w:val="004D75F9"/>
    <w:rsid w:val="004F0730"/>
    <w:rsid w:val="00531D40"/>
    <w:rsid w:val="00540FC2"/>
    <w:rsid w:val="005C1281"/>
    <w:rsid w:val="00610C90"/>
    <w:rsid w:val="006518E6"/>
    <w:rsid w:val="0069785A"/>
    <w:rsid w:val="006A2B71"/>
    <w:rsid w:val="006A7A3A"/>
    <w:rsid w:val="006B5091"/>
    <w:rsid w:val="006C362B"/>
    <w:rsid w:val="006C618E"/>
    <w:rsid w:val="0072792F"/>
    <w:rsid w:val="007806A1"/>
    <w:rsid w:val="007A7D24"/>
    <w:rsid w:val="007C1E7F"/>
    <w:rsid w:val="00806C3A"/>
    <w:rsid w:val="00826871"/>
    <w:rsid w:val="008660FE"/>
    <w:rsid w:val="00897337"/>
    <w:rsid w:val="008D30DF"/>
    <w:rsid w:val="008F6416"/>
    <w:rsid w:val="009232D5"/>
    <w:rsid w:val="009904AA"/>
    <w:rsid w:val="009A733F"/>
    <w:rsid w:val="009E6BEF"/>
    <w:rsid w:val="00A146EC"/>
    <w:rsid w:val="00A369D3"/>
    <w:rsid w:val="00A379DC"/>
    <w:rsid w:val="00A46BBC"/>
    <w:rsid w:val="00A60E77"/>
    <w:rsid w:val="00AB49BA"/>
    <w:rsid w:val="00B22B0F"/>
    <w:rsid w:val="00B4266B"/>
    <w:rsid w:val="00B73B47"/>
    <w:rsid w:val="00C979BF"/>
    <w:rsid w:val="00CE3AD6"/>
    <w:rsid w:val="00D1317E"/>
    <w:rsid w:val="00D40E22"/>
    <w:rsid w:val="00DA5717"/>
    <w:rsid w:val="00DB42C0"/>
    <w:rsid w:val="00DF3F1F"/>
    <w:rsid w:val="00E11AD1"/>
    <w:rsid w:val="00E22E69"/>
    <w:rsid w:val="00E409F7"/>
    <w:rsid w:val="00E64981"/>
    <w:rsid w:val="00E72383"/>
    <w:rsid w:val="00E834D4"/>
    <w:rsid w:val="00E913CB"/>
    <w:rsid w:val="00EB437E"/>
    <w:rsid w:val="00ED402A"/>
    <w:rsid w:val="00EF1C3D"/>
    <w:rsid w:val="00F311FC"/>
    <w:rsid w:val="00F42C84"/>
    <w:rsid w:val="00F51F71"/>
    <w:rsid w:val="00F74F02"/>
    <w:rsid w:val="00FE59D6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4097" v:ext="edit"/>
    <o:shapelayout v:ext="edit">
      <o:idmap data="1" v:ext="edit"/>
    </o:shapelayout>
  </w:shapeDefaults>
  <w:decimalSymbol w:val=","/>
  <w:listSeparator w:val=";"/>
  <w14:defaultImageDpi w14:val="300"/>
  <w15:docId w15:val="{406C1140-D8B2-486F-94AC-3180034E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GB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120B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3120B4"/>
  </w:style>
  <w:style w:styleId="Pieddepage" w:type="paragraph">
    <w:name w:val="footer"/>
    <w:basedOn w:val="Normal"/>
    <w:link w:val="PieddepageCar"/>
    <w:uiPriority w:val="99"/>
    <w:unhideWhenUsed/>
    <w:rsid w:val="003120B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3120B4"/>
  </w:style>
  <w:style w:styleId="Textedebulles" w:type="paragraph">
    <w:name w:val="Balloon Text"/>
    <w:basedOn w:val="Normal"/>
    <w:link w:val="TextedebullesCar"/>
    <w:uiPriority w:val="99"/>
    <w:semiHidden/>
    <w:unhideWhenUsed/>
    <w:rsid w:val="003120B4"/>
    <w:rPr>
      <w:rFonts w:ascii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120B4"/>
    <w:rPr>
      <w:rFonts w:ascii="Lucida Grande" w:hAnsi="Lucida Grande"/>
      <w:sz w:val="18"/>
      <w:szCs w:val="18"/>
    </w:rPr>
  </w:style>
  <w:style w:customStyle="1" w:styleId="bumpedfont15" w:type="character">
    <w:name w:val="bumpedfont15"/>
    <w:basedOn w:val="Policepardfaut"/>
    <w:rsid w:val="00610C90"/>
  </w:style>
  <w:style w:styleId="Paragraphedeliste" w:type="paragraph">
    <w:name w:val="List Paragraph"/>
    <w:basedOn w:val="Normal"/>
    <w:uiPriority w:val="34"/>
    <w:qFormat/>
    <w:rsid w:val="007C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303</Words>
  <Characters>1669</Characters>
  <Application>Microsoft Office Word</Application>
  <DocSecurity>0</DocSecurity>
  <Lines>13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Christophe Cocquet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2022-12-06T11:42:00Z</dcterms:created>
  <cp:lastPrinted>2022-12-12T08:04:00Z</cp:lastPrinted>
  <dcterms:modified xsi:type="dcterms:W3CDTF">2022-12-19T12:56:00Z</dcterms:modified>
  <cp:revision>5</cp:revision>
</cp:coreProperties>
</file>