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76BE59FD" w14:textId="77777777" w:rsidP="00F0735C" w:rsidR="00F0735C" w:rsidRDefault="00F0735C">
      <w:pPr>
        <w:jc w:val="both"/>
        <w:rPr>
          <w:rFonts w:ascii="Arial" w:hAnsi="Arial"/>
          <w:sz w:val="22"/>
        </w:rPr>
      </w:pPr>
    </w:p>
    <w:p w14:paraId="7F8F2F00" w14:textId="77777777" w:rsidP="00F0735C" w:rsidR="00F0735C" w:rsidRDefault="00F0735C">
      <w:pPr>
        <w:jc w:val="both"/>
        <w:rPr>
          <w:rFonts w:ascii="Arial" w:hAnsi="Arial"/>
          <w:sz w:val="22"/>
        </w:rPr>
      </w:pPr>
    </w:p>
    <w:p w14:paraId="330B0903" w14:textId="77777777" w:rsidP="00F0735C" w:rsidR="00F0735C" w:rsidRDefault="00F0735C">
      <w:pPr>
        <w:pBdr>
          <w:top w:color="auto" w:shadow="1" w:space="1" w:sz="6" w:val="double"/>
          <w:left w:color="auto" w:shadow="1" w:space="31" w:sz="6" w:val="double"/>
          <w:bottom w:color="auto" w:shadow="1" w:space="1" w:sz="6" w:val="double"/>
          <w:right w:color="auto" w:shadow="1" w:space="31" w:sz="6" w:val="double"/>
        </w:pBdr>
        <w:shd w:color="auto" w:fill="auto" w:val="pct10"/>
        <w:ind w:left="1985" w:right="1559"/>
        <w:jc w:val="center"/>
        <w:rPr>
          <w:rFonts w:ascii="Arial" w:hAnsi="Arial"/>
          <w:b/>
          <w:sz w:val="32"/>
        </w:rPr>
      </w:pPr>
    </w:p>
    <w:p w14:paraId="4965953A" w14:textId="77777777" w:rsidP="00F0735C" w:rsidR="00F0735C" w:rsidRDefault="00F0735C">
      <w:pPr>
        <w:pBdr>
          <w:top w:color="auto" w:shadow="1" w:space="1" w:sz="6" w:val="double"/>
          <w:left w:color="auto" w:shadow="1" w:space="31" w:sz="6" w:val="double"/>
          <w:bottom w:color="auto" w:shadow="1" w:space="1" w:sz="6" w:val="double"/>
          <w:right w:color="auto" w:shadow="1" w:space="31" w:sz="6" w:val="double"/>
        </w:pBdr>
        <w:shd w:color="auto" w:fill="auto" w:val="pct10"/>
        <w:ind w:left="1985" w:right="1559"/>
        <w:jc w:val="center"/>
        <w:rPr>
          <w:rFonts w:ascii="Arial" w:hAnsi="Arial"/>
          <w:b/>
          <w:sz w:val="32"/>
        </w:rPr>
      </w:pPr>
      <w:r>
        <w:rPr>
          <w:rFonts w:ascii="Arial" w:hAnsi="Arial"/>
          <w:b/>
          <w:sz w:val="32"/>
        </w:rPr>
        <w:t>ACCORD SUR L’AMENAGEMENT DU TEMPS DE TRAVAIL ET LA POLITIQUE SALARIALE</w:t>
      </w:r>
    </w:p>
    <w:p w14:paraId="591AA371" w14:textId="77777777" w:rsidP="00F0735C" w:rsidR="00F0735C" w:rsidRDefault="00F0735C">
      <w:pPr>
        <w:pBdr>
          <w:top w:color="auto" w:shadow="1" w:space="1" w:sz="6" w:val="double"/>
          <w:left w:color="auto" w:shadow="1" w:space="31" w:sz="6" w:val="double"/>
          <w:bottom w:color="auto" w:shadow="1" w:space="1" w:sz="6" w:val="double"/>
          <w:right w:color="auto" w:shadow="1" w:space="31" w:sz="6" w:val="double"/>
        </w:pBdr>
        <w:shd w:color="auto" w:fill="auto" w:val="pct10"/>
        <w:ind w:left="1985" w:right="1559"/>
        <w:jc w:val="center"/>
        <w:rPr>
          <w:rFonts w:ascii="Arial" w:hAnsi="Arial"/>
          <w:b/>
          <w:sz w:val="32"/>
        </w:rPr>
      </w:pPr>
    </w:p>
    <w:p w14:paraId="6DFD09ED" w14:textId="6CDAFDBE" w:rsidP="00F0735C" w:rsidR="00F0735C" w:rsidRDefault="00F0735C">
      <w:pPr>
        <w:pBdr>
          <w:top w:color="auto" w:shadow="1" w:space="1" w:sz="6" w:val="double"/>
          <w:left w:color="auto" w:shadow="1" w:space="31" w:sz="6" w:val="double"/>
          <w:bottom w:color="auto" w:shadow="1" w:space="1" w:sz="6" w:val="double"/>
          <w:right w:color="auto" w:shadow="1" w:space="31" w:sz="6" w:val="double"/>
        </w:pBdr>
        <w:shd w:color="auto" w:fill="auto" w:val="pct10"/>
        <w:ind w:left="1985" w:right="1559"/>
        <w:jc w:val="center"/>
        <w:rPr>
          <w:rFonts w:ascii="Arial" w:hAnsi="Arial"/>
          <w:b/>
          <w:sz w:val="32"/>
        </w:rPr>
      </w:pPr>
      <w:r>
        <w:rPr>
          <w:rFonts w:ascii="Arial" w:hAnsi="Arial"/>
          <w:b/>
          <w:sz w:val="32"/>
        </w:rPr>
        <w:t>ANNEE 202</w:t>
      </w:r>
      <w:r w:rsidR="00506D3C">
        <w:rPr>
          <w:rFonts w:ascii="Arial" w:hAnsi="Arial"/>
          <w:b/>
          <w:sz w:val="32"/>
        </w:rPr>
        <w:t>2</w:t>
      </w:r>
    </w:p>
    <w:p w14:paraId="1F72CE2C" w14:textId="77777777" w:rsidP="00F0735C" w:rsidR="00F0735C" w:rsidRDefault="00F0735C">
      <w:pPr>
        <w:jc w:val="both"/>
        <w:rPr>
          <w:rFonts w:ascii="Arial" w:hAnsi="Arial"/>
          <w:sz w:val="22"/>
        </w:rPr>
      </w:pPr>
    </w:p>
    <w:p w14:paraId="125C383E" w14:textId="77777777" w:rsidP="00F0735C" w:rsidR="00F0735C" w:rsidRDefault="00F0735C">
      <w:pPr>
        <w:jc w:val="both"/>
        <w:rPr>
          <w:rFonts w:ascii="Arial" w:hAnsi="Arial"/>
          <w:sz w:val="22"/>
        </w:rPr>
      </w:pPr>
    </w:p>
    <w:p w14:paraId="76E65639" w14:textId="77777777" w:rsidP="00F0735C" w:rsidR="00F0735C" w:rsidRDefault="00F0735C">
      <w:pPr>
        <w:jc w:val="both"/>
        <w:rPr>
          <w:rFonts w:ascii="Arial" w:hAnsi="Arial"/>
          <w:sz w:val="22"/>
        </w:rPr>
      </w:pPr>
    </w:p>
    <w:p w14:paraId="7D86AF48" w14:textId="77777777" w:rsidP="00F0735C" w:rsidR="00F0735C" w:rsidRDefault="00F0735C">
      <w:pPr>
        <w:jc w:val="both"/>
        <w:rPr>
          <w:rFonts w:ascii="Arial" w:hAnsi="Arial"/>
          <w:sz w:val="22"/>
        </w:rPr>
      </w:pPr>
    </w:p>
    <w:p w14:paraId="32FF509F" w14:textId="77777777" w:rsidP="00F0735C" w:rsidR="00F0735C" w:rsidRDefault="00F0735C">
      <w:pPr>
        <w:jc w:val="both"/>
        <w:rPr>
          <w:rFonts w:ascii="Arial" w:hAnsi="Arial"/>
          <w:sz w:val="22"/>
        </w:rPr>
      </w:pPr>
    </w:p>
    <w:p w14:paraId="07C4BA28" w14:textId="77777777" w:rsidP="00F0735C" w:rsidR="00F0735C" w:rsidRDefault="00F0735C">
      <w:pPr>
        <w:jc w:val="both"/>
        <w:rPr>
          <w:rFonts w:ascii="Arial" w:hAnsi="Arial"/>
          <w:sz w:val="22"/>
        </w:rPr>
      </w:pPr>
    </w:p>
    <w:p w14:paraId="21265491" w14:textId="77777777" w:rsidP="00F0735C" w:rsidR="00F0735C" w:rsidRDefault="00F0735C">
      <w:pPr>
        <w:jc w:val="both"/>
        <w:rPr>
          <w:rFonts w:ascii="Arial" w:hAnsi="Arial"/>
          <w:sz w:val="22"/>
        </w:rPr>
      </w:pPr>
      <w:r>
        <w:rPr>
          <w:rFonts w:ascii="Arial" w:hAnsi="Arial"/>
          <w:b/>
          <w:sz w:val="22"/>
        </w:rPr>
        <w:t>ENTRE</w:t>
      </w:r>
      <w:bookmarkStart w:id="0" w:name="_GoBack"/>
      <w:bookmarkEnd w:id="0"/>
    </w:p>
    <w:p w14:paraId="568715D1" w14:textId="77777777" w:rsidP="00F0735C" w:rsidR="00F0735C" w:rsidRDefault="00F0735C">
      <w:pPr>
        <w:jc w:val="both"/>
        <w:rPr>
          <w:rFonts w:ascii="Arial" w:hAnsi="Arial"/>
          <w:sz w:val="22"/>
        </w:rPr>
      </w:pPr>
    </w:p>
    <w:p w14:paraId="175CD649" w14:textId="77777777" w:rsidP="00F0735C" w:rsidR="00F0735C" w:rsidRDefault="00F0735C">
      <w:pPr>
        <w:rPr>
          <w:rFonts w:ascii="Arial" w:hAnsi="Arial"/>
          <w:sz w:val="22"/>
        </w:rPr>
      </w:pPr>
      <w:r w:rsidRPr="008B0CBC">
        <w:rPr>
          <w:rFonts w:ascii="Arial" w:hAnsi="Arial"/>
          <w:sz w:val="22"/>
        </w:rPr>
        <w:t xml:space="preserve">La Société </w:t>
      </w:r>
      <w:r>
        <w:rPr>
          <w:rFonts w:ascii="Arial" w:hAnsi="Arial"/>
          <w:sz w:val="22"/>
        </w:rPr>
        <w:t>SAFRAN ELECTRONICS &amp; DEFENSE ACTUATION</w:t>
      </w:r>
      <w:r w:rsidRPr="008B0CBC">
        <w:rPr>
          <w:rFonts w:ascii="Arial" w:hAnsi="Arial"/>
          <w:sz w:val="22"/>
        </w:rPr>
        <w:t xml:space="preserve">, dont le siège social est situé </w:t>
      </w:r>
    </w:p>
    <w:p w14:paraId="5F955C73" w14:textId="77777777" w:rsidP="00F0735C" w:rsidR="00F0735C" w:rsidRDefault="00F0735C" w:rsidRPr="008B0CBC">
      <w:pPr>
        <w:rPr>
          <w:rFonts w:ascii="Arial" w:hAnsi="Arial"/>
          <w:sz w:val="22"/>
        </w:rPr>
      </w:pPr>
      <w:r>
        <w:rPr>
          <w:rFonts w:ascii="Arial" w:hAnsi="Arial"/>
          <w:sz w:val="22"/>
        </w:rPr>
        <w:t>41-47, rue Guynemer – 89000 AUXERRE</w:t>
      </w:r>
    </w:p>
    <w:p w14:paraId="4F7DD0B9" w14:textId="77777777" w:rsidP="00F0735C" w:rsidR="0053600D" w:rsidRDefault="00F0735C">
      <w:pPr>
        <w:rPr>
          <w:rFonts w:ascii="Arial" w:hAnsi="Arial"/>
          <w:sz w:val="22"/>
        </w:rPr>
      </w:pPr>
      <w:r w:rsidRPr="008B0CBC">
        <w:rPr>
          <w:rFonts w:ascii="Arial" w:hAnsi="Arial"/>
          <w:sz w:val="22"/>
        </w:rPr>
        <w:t xml:space="preserve">Représentée par </w:t>
      </w:r>
    </w:p>
    <w:p w14:paraId="635E252E" w14:textId="69E4F0AD" w:rsidP="00F0735C" w:rsidR="00F0735C" w:rsidRDefault="00F0735C">
      <w:pPr>
        <w:rPr>
          <w:rFonts w:ascii="Arial" w:hAnsi="Arial"/>
          <w:sz w:val="22"/>
        </w:rPr>
      </w:pPr>
      <w:r w:rsidRPr="008B0CBC">
        <w:rPr>
          <w:rFonts w:ascii="Arial" w:hAnsi="Arial"/>
          <w:sz w:val="22"/>
        </w:rPr>
        <w:t xml:space="preserve">Monsieur </w:t>
      </w:r>
      <w:r w:rsidR="00AE49BE">
        <w:rPr>
          <w:rFonts w:ascii="Arial" w:hAnsi="Arial"/>
          <w:sz w:val="22"/>
        </w:rPr>
        <w:t xml:space="preserve">                          </w:t>
      </w:r>
      <w:r w:rsidRPr="008B0CBC">
        <w:rPr>
          <w:rFonts w:ascii="Arial" w:hAnsi="Arial"/>
          <w:sz w:val="22"/>
        </w:rPr>
        <w:t xml:space="preserve">, agissant en qualité de </w:t>
      </w:r>
      <w:r>
        <w:rPr>
          <w:rFonts w:ascii="Arial" w:hAnsi="Arial"/>
          <w:sz w:val="22"/>
        </w:rPr>
        <w:t>Directeur des Ressources Humaines</w:t>
      </w:r>
    </w:p>
    <w:p w14:paraId="2DC52E94" w14:textId="77777777" w:rsidP="00F0735C" w:rsidR="00F0735C" w:rsidRDefault="00F0735C" w:rsidRPr="008B0CBC">
      <w:pPr>
        <w:rPr>
          <w:rFonts w:ascii="Arial" w:hAnsi="Arial"/>
          <w:sz w:val="22"/>
        </w:rPr>
      </w:pPr>
    </w:p>
    <w:p w14:paraId="0098B538" w14:textId="77777777" w:rsidP="00F0735C" w:rsidR="00F0735C" w:rsidRDefault="00F0735C">
      <w:pPr>
        <w:jc w:val="both"/>
        <w:rPr>
          <w:rFonts w:ascii="Arial" w:hAnsi="Arial"/>
          <w:sz w:val="22"/>
        </w:rPr>
      </w:pP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D’UNE PART,</w:t>
      </w:r>
    </w:p>
    <w:p w14:paraId="7D6CC376" w14:textId="77777777" w:rsidP="00F0735C" w:rsidR="00F0735C" w:rsidRDefault="00F0735C">
      <w:pPr>
        <w:jc w:val="both"/>
        <w:rPr>
          <w:rFonts w:ascii="Arial" w:hAnsi="Arial"/>
          <w:sz w:val="22"/>
        </w:rPr>
      </w:pPr>
    </w:p>
    <w:p w14:paraId="509386D2" w14:textId="77777777" w:rsidP="00F0735C" w:rsidR="00F0735C" w:rsidRDefault="00F0735C">
      <w:pPr>
        <w:jc w:val="both"/>
        <w:rPr>
          <w:rFonts w:ascii="Arial" w:hAnsi="Arial"/>
          <w:sz w:val="22"/>
        </w:rPr>
      </w:pPr>
    </w:p>
    <w:p w14:paraId="46A7FC88" w14:textId="77777777" w:rsidP="00F0735C" w:rsidR="00F0735C" w:rsidRDefault="00F0735C">
      <w:pPr>
        <w:jc w:val="both"/>
        <w:rPr>
          <w:rFonts w:ascii="Arial" w:hAnsi="Arial"/>
          <w:sz w:val="22"/>
        </w:rPr>
      </w:pPr>
    </w:p>
    <w:p w14:paraId="358FC9DE" w14:textId="77777777" w:rsidP="00F0735C" w:rsidR="00F0735C" w:rsidRDefault="00F0735C">
      <w:pPr>
        <w:jc w:val="both"/>
        <w:rPr>
          <w:rFonts w:ascii="Arial" w:hAnsi="Arial"/>
          <w:sz w:val="22"/>
        </w:rPr>
      </w:pPr>
      <w:r>
        <w:rPr>
          <w:rFonts w:ascii="Arial" w:hAnsi="Arial"/>
          <w:b/>
          <w:sz w:val="22"/>
        </w:rPr>
        <w:t>ET</w:t>
      </w:r>
    </w:p>
    <w:p w14:paraId="68402908" w14:textId="77777777" w:rsidP="00F0735C" w:rsidR="00F0735C" w:rsidRDefault="00F0735C">
      <w:pPr>
        <w:jc w:val="both"/>
        <w:rPr>
          <w:rFonts w:ascii="Arial" w:hAnsi="Arial"/>
          <w:sz w:val="22"/>
        </w:rPr>
      </w:pPr>
    </w:p>
    <w:p w14:paraId="0072FA84" w14:textId="77777777" w:rsidP="00F0735C" w:rsidR="00F0735C" w:rsidRDefault="00F0735C">
      <w:pPr>
        <w:tabs>
          <w:tab w:pos="709" w:val="left"/>
          <w:tab w:pos="993" w:val="left"/>
        </w:tabs>
        <w:jc w:val="both"/>
        <w:rPr>
          <w:rFonts w:ascii="Arial" w:hAnsi="Arial"/>
          <w:sz w:val="22"/>
        </w:rPr>
      </w:pPr>
    </w:p>
    <w:p w14:paraId="56014EED" w14:textId="77777777" w:rsidP="00F0735C" w:rsidR="00F0735C" w:rsidRDefault="00F0735C" w:rsidRPr="008B0CBC">
      <w:pPr>
        <w:tabs>
          <w:tab w:pos="709" w:val="left"/>
          <w:tab w:pos="993" w:val="left"/>
        </w:tabs>
        <w:rPr>
          <w:rFonts w:ascii="Arial" w:hAnsi="Arial"/>
          <w:sz w:val="22"/>
        </w:rPr>
      </w:pPr>
      <w:r w:rsidRPr="008B0CBC">
        <w:rPr>
          <w:rFonts w:ascii="Arial" w:hAnsi="Arial"/>
          <w:sz w:val="22"/>
        </w:rPr>
        <w:t>Les organisations syndicales soussignées,</w:t>
      </w:r>
    </w:p>
    <w:p w14:paraId="0B3DC40D" w14:textId="77777777" w:rsidP="00F0735C" w:rsidR="00F0735C" w:rsidRDefault="00F0735C" w:rsidRPr="008B0CBC">
      <w:pPr>
        <w:tabs>
          <w:tab w:pos="709" w:val="left"/>
          <w:tab w:pos="993" w:val="left"/>
        </w:tabs>
        <w:rPr>
          <w:rFonts w:ascii="Arial" w:hAnsi="Arial"/>
          <w:sz w:val="22"/>
        </w:rPr>
      </w:pPr>
    </w:p>
    <w:p w14:paraId="5B96DF84" w14:textId="77777777" w:rsidP="00F0735C" w:rsidR="00F0735C" w:rsidRDefault="00F0735C" w:rsidRPr="00813F9F">
      <w:pPr>
        <w:tabs>
          <w:tab w:pos="709" w:val="left"/>
          <w:tab w:pos="993" w:val="left"/>
        </w:tabs>
        <w:ind w:left="357"/>
        <w:rPr>
          <w:rFonts w:ascii="Arial" w:hAnsi="Arial"/>
          <w:sz w:val="22"/>
        </w:rPr>
      </w:pPr>
    </w:p>
    <w:p w14:paraId="4609BF04" w14:textId="74F771D2" w:rsidP="00F0735C" w:rsidR="00F0735C" w:rsidRDefault="00F0735C">
      <w:pPr>
        <w:numPr>
          <w:ilvl w:val="0"/>
          <w:numId w:val="7"/>
        </w:numPr>
        <w:tabs>
          <w:tab w:pos="709" w:val="left"/>
          <w:tab w:pos="993" w:val="left"/>
        </w:tabs>
        <w:ind w:left="357" w:right="-142"/>
        <w:rPr>
          <w:rFonts w:ascii="Arial" w:hAnsi="Arial"/>
          <w:sz w:val="22"/>
        </w:rPr>
      </w:pPr>
      <w:r>
        <w:rPr>
          <w:rFonts w:ascii="Arial" w:hAnsi="Arial"/>
          <w:sz w:val="22"/>
        </w:rPr>
        <w:t xml:space="preserve">La C.F.D.T. représentée par Madame </w:t>
      </w:r>
      <w:r w:rsidR="00AE49BE">
        <w:rPr>
          <w:rFonts w:ascii="Arial" w:hAnsi="Arial"/>
          <w:sz w:val="22"/>
        </w:rPr>
        <w:t xml:space="preserve">                          </w:t>
      </w:r>
      <w:r>
        <w:rPr>
          <w:rFonts w:ascii="Arial" w:hAnsi="Arial"/>
          <w:sz w:val="22"/>
        </w:rPr>
        <w:t>, Déléguée Syndicale Centrale,</w:t>
      </w:r>
    </w:p>
    <w:p w14:paraId="7EF1E426" w14:textId="77777777" w:rsidP="00F0735C" w:rsidR="00F0735C" w:rsidRDefault="00F0735C">
      <w:pPr>
        <w:tabs>
          <w:tab w:pos="709" w:val="left"/>
          <w:tab w:pos="993" w:val="left"/>
        </w:tabs>
        <w:ind w:left="357" w:right="-142"/>
        <w:rPr>
          <w:rFonts w:ascii="Arial" w:hAnsi="Arial"/>
          <w:sz w:val="22"/>
        </w:rPr>
      </w:pPr>
    </w:p>
    <w:p w14:paraId="20CA94FF" w14:textId="092BF9B0" w:rsidP="00F0735C" w:rsidR="00F0735C" w:rsidRDefault="00F0735C">
      <w:pPr>
        <w:numPr>
          <w:ilvl w:val="0"/>
          <w:numId w:val="7"/>
        </w:numPr>
        <w:tabs>
          <w:tab w:pos="709" w:val="left"/>
          <w:tab w:pos="993" w:val="left"/>
        </w:tabs>
        <w:ind w:left="357"/>
        <w:rPr>
          <w:rFonts w:ascii="Arial" w:hAnsi="Arial"/>
          <w:sz w:val="22"/>
        </w:rPr>
      </w:pPr>
      <w:r w:rsidRPr="008B0CBC">
        <w:rPr>
          <w:rFonts w:ascii="Arial" w:hAnsi="Arial"/>
          <w:sz w:val="22"/>
        </w:rPr>
        <w:t xml:space="preserve">La C.G.T. représentée par Monsieur </w:t>
      </w:r>
      <w:r w:rsidR="00AE49BE">
        <w:rPr>
          <w:rFonts w:ascii="Arial" w:hAnsi="Arial"/>
          <w:sz w:val="22"/>
        </w:rPr>
        <w:t xml:space="preserve">                          </w:t>
      </w:r>
      <w:r w:rsidRPr="008B0CBC">
        <w:rPr>
          <w:rFonts w:ascii="Arial" w:hAnsi="Arial"/>
          <w:sz w:val="22"/>
        </w:rPr>
        <w:t>,</w:t>
      </w:r>
      <w:r>
        <w:rPr>
          <w:rFonts w:ascii="Arial" w:hAnsi="Arial"/>
          <w:sz w:val="22"/>
        </w:rPr>
        <w:t xml:space="preserve"> Délégué Syndical Central</w:t>
      </w:r>
      <w:r w:rsidR="00727BDC">
        <w:rPr>
          <w:rFonts w:ascii="Arial" w:hAnsi="Arial"/>
          <w:sz w:val="22"/>
        </w:rPr>
        <w:t>,</w:t>
      </w:r>
    </w:p>
    <w:p w14:paraId="16C2B29C" w14:textId="77777777" w:rsidP="00F0735C" w:rsidR="00F0735C" w:rsidRDefault="00F0735C" w:rsidRPr="008B0CBC">
      <w:pPr>
        <w:tabs>
          <w:tab w:pos="709" w:val="left"/>
          <w:tab w:pos="993" w:val="left"/>
        </w:tabs>
        <w:ind w:left="360"/>
        <w:rPr>
          <w:rFonts w:ascii="Arial" w:hAnsi="Arial"/>
          <w:sz w:val="22"/>
        </w:rPr>
      </w:pPr>
    </w:p>
    <w:p w14:paraId="464AD873" w14:textId="5C739E56" w:rsidP="00F0735C" w:rsidR="00F0735C" w:rsidRDefault="00F0735C" w:rsidRPr="008B0CBC">
      <w:pPr>
        <w:numPr>
          <w:ilvl w:val="0"/>
          <w:numId w:val="7"/>
        </w:numPr>
        <w:tabs>
          <w:tab w:pos="709" w:val="left"/>
          <w:tab w:pos="993" w:val="left"/>
        </w:tabs>
        <w:ind w:right="-283"/>
        <w:rPr>
          <w:rFonts w:ascii="Arial" w:hAnsi="Arial"/>
          <w:sz w:val="22"/>
        </w:rPr>
      </w:pPr>
      <w:r w:rsidRPr="008B0CBC">
        <w:rPr>
          <w:rFonts w:ascii="Arial" w:hAnsi="Arial"/>
          <w:sz w:val="22"/>
        </w:rPr>
        <w:t>La C.F.</w:t>
      </w:r>
      <w:r>
        <w:rPr>
          <w:rFonts w:ascii="Arial" w:hAnsi="Arial"/>
          <w:sz w:val="22"/>
        </w:rPr>
        <w:t>E-C.G.C</w:t>
      </w:r>
      <w:r w:rsidRPr="008B0CBC">
        <w:rPr>
          <w:rFonts w:ascii="Arial" w:hAnsi="Arial"/>
          <w:sz w:val="22"/>
        </w:rPr>
        <w:t xml:space="preserve">. représentée par Monsieur </w:t>
      </w:r>
      <w:r w:rsidR="00AE49BE">
        <w:rPr>
          <w:rFonts w:ascii="Arial" w:hAnsi="Arial"/>
          <w:sz w:val="22"/>
        </w:rPr>
        <w:t xml:space="preserve">                          </w:t>
      </w:r>
      <w:r w:rsidRPr="008B0CBC">
        <w:rPr>
          <w:rFonts w:ascii="Arial" w:hAnsi="Arial"/>
          <w:sz w:val="22"/>
        </w:rPr>
        <w:t>,</w:t>
      </w:r>
      <w:r w:rsidRPr="001600A7">
        <w:rPr>
          <w:rFonts w:ascii="Arial" w:hAnsi="Arial"/>
          <w:sz w:val="22"/>
        </w:rPr>
        <w:t xml:space="preserve"> </w:t>
      </w:r>
      <w:r>
        <w:rPr>
          <w:rFonts w:ascii="Arial" w:hAnsi="Arial"/>
          <w:sz w:val="22"/>
        </w:rPr>
        <w:t>Délégué Syndical Central,</w:t>
      </w:r>
    </w:p>
    <w:p w14:paraId="405E7C15" w14:textId="77777777" w:rsidP="00F0735C" w:rsidR="00F0735C" w:rsidRDefault="00F0735C" w:rsidRPr="008B0CBC">
      <w:pPr>
        <w:tabs>
          <w:tab w:pos="709" w:val="left"/>
          <w:tab w:pos="993" w:val="left"/>
        </w:tabs>
        <w:ind w:left="720"/>
        <w:rPr>
          <w:rFonts w:ascii="Arial" w:hAnsi="Arial"/>
          <w:sz w:val="22"/>
        </w:rPr>
      </w:pPr>
    </w:p>
    <w:p w14:paraId="03CB1656" w14:textId="77777777" w:rsidP="00F0735C" w:rsidR="00F0735C" w:rsidRDefault="00F0735C">
      <w:pPr>
        <w:tabs>
          <w:tab w:pos="709" w:val="left"/>
          <w:tab w:pos="993" w:val="left"/>
        </w:tabs>
        <w:jc w:val="both"/>
        <w:rPr>
          <w:rFonts w:ascii="Arial" w:hAnsi="Arial"/>
          <w:sz w:val="22"/>
        </w:rPr>
      </w:pPr>
    </w:p>
    <w:p w14:paraId="21249984" w14:textId="77777777" w:rsidP="00F0735C" w:rsidR="00F0735C" w:rsidRDefault="00F0735C">
      <w:pPr>
        <w:jc w:val="both"/>
      </w:pP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D’AUTRE PART,</w:t>
      </w:r>
      <w:r>
        <w:br w:type="page"/>
      </w:r>
    </w:p>
    <w:sdt>
      <w:sdtPr>
        <w:rPr>
          <w:rFonts w:ascii="Times New Roman" w:cs="Times New Roman" w:eastAsia="Times New Roman" w:hAnsi="Times New Roman"/>
          <w:b w:val="0"/>
          <w:color w:val="auto"/>
          <w:sz w:val="24"/>
          <w:szCs w:val="24"/>
          <w:u w:val="none"/>
        </w:rPr>
        <w:id w:val="-1331674070"/>
        <w:docPartObj>
          <w:docPartGallery w:val="Table of Contents"/>
          <w:docPartUnique/>
        </w:docPartObj>
      </w:sdtPr>
      <w:sdtEndPr>
        <w:rPr>
          <w:bCs/>
        </w:rPr>
      </w:sdtEndPr>
      <w:sdtContent>
        <w:p w14:paraId="12353511" w14:textId="0288E1F0" w:rsidP="00CC672A" w:rsidR="00BB593E" w:rsidRDefault="00BB593E">
          <w:pPr>
            <w:pStyle w:val="En-ttedetabledesmatires"/>
          </w:pPr>
          <w:r>
            <w:t>Table des matières</w:t>
          </w:r>
        </w:p>
        <w:p w14:paraId="3F91A339" w14:textId="77777777" w:rsidP="00992126" w:rsidR="00992126" w:rsidRDefault="00992126" w:rsidRPr="00992126"/>
        <w:p w14:paraId="68F700CC" w14:textId="77777777" w:rsidR="0035484A" w:rsidRDefault="00BB593E">
          <w:pPr>
            <w:pStyle w:val="TM1"/>
            <w:rPr>
              <w:rFonts w:asciiTheme="minorHAnsi" w:cstheme="minorBidi" w:eastAsiaTheme="minorEastAsia" w:hAnsiTheme="minorHAnsi"/>
              <w:noProof/>
              <w:sz w:val="22"/>
              <w:szCs w:val="22"/>
            </w:rPr>
          </w:pPr>
          <w:r>
            <w:rPr>
              <w:b/>
              <w:bCs/>
            </w:rPr>
            <w:fldChar w:fldCharType="begin"/>
          </w:r>
          <w:r>
            <w:rPr>
              <w:b/>
              <w:bCs/>
            </w:rPr>
            <w:instrText xml:space="preserve"> TOC \o "1-3" \h \z \u </w:instrText>
          </w:r>
          <w:r>
            <w:rPr>
              <w:b/>
              <w:bCs/>
            </w:rPr>
            <w:fldChar w:fldCharType="separate"/>
          </w:r>
          <w:hyperlink w:anchor="_Toc95844432" w:history="1">
            <w:r w:rsidR="0035484A" w:rsidRPr="00A0436E">
              <w:rPr>
                <w:rStyle w:val="Lienhypertexte"/>
                <w:noProof/>
              </w:rPr>
              <w:t>Chapitre 1 - AMENAGEMENT DU TEMPS DE TRAVAIL</w:t>
            </w:r>
            <w:r w:rsidR="0035484A">
              <w:rPr>
                <w:noProof/>
                <w:webHidden/>
              </w:rPr>
              <w:tab/>
            </w:r>
            <w:r w:rsidR="0035484A">
              <w:rPr>
                <w:noProof/>
                <w:webHidden/>
              </w:rPr>
              <w:fldChar w:fldCharType="begin"/>
            </w:r>
            <w:r w:rsidR="0035484A">
              <w:rPr>
                <w:noProof/>
                <w:webHidden/>
              </w:rPr>
              <w:instrText xml:space="preserve"> PAGEREF _Toc95844432 \h </w:instrText>
            </w:r>
            <w:r w:rsidR="0035484A">
              <w:rPr>
                <w:noProof/>
                <w:webHidden/>
              </w:rPr>
            </w:r>
            <w:r w:rsidR="0035484A">
              <w:rPr>
                <w:noProof/>
                <w:webHidden/>
              </w:rPr>
              <w:fldChar w:fldCharType="separate"/>
            </w:r>
            <w:r w:rsidR="0035484A">
              <w:rPr>
                <w:noProof/>
                <w:webHidden/>
              </w:rPr>
              <w:t>3</w:t>
            </w:r>
            <w:r w:rsidR="0035484A">
              <w:rPr>
                <w:noProof/>
                <w:webHidden/>
              </w:rPr>
              <w:fldChar w:fldCharType="end"/>
            </w:r>
          </w:hyperlink>
        </w:p>
        <w:p w14:paraId="66E671CA" w14:textId="77777777" w:rsidR="0035484A" w:rsidRDefault="00F276F5">
          <w:pPr>
            <w:pStyle w:val="TM2"/>
            <w:tabs>
              <w:tab w:leader="dot" w:pos="9062" w:val="right"/>
            </w:tabs>
            <w:rPr>
              <w:rFonts w:asciiTheme="minorHAnsi" w:cstheme="minorBidi" w:eastAsiaTheme="minorEastAsia" w:hAnsiTheme="minorHAnsi"/>
              <w:noProof/>
              <w:sz w:val="22"/>
              <w:szCs w:val="22"/>
            </w:rPr>
          </w:pPr>
          <w:hyperlink w:anchor="_Toc95844433" w:history="1">
            <w:r w:rsidR="0035484A" w:rsidRPr="00A0436E">
              <w:rPr>
                <w:rStyle w:val="Lienhypertexte"/>
                <w:noProof/>
              </w:rPr>
              <w:t>Article 1.1 - PREAMBULE- RAPPEL</w:t>
            </w:r>
            <w:r w:rsidR="0035484A">
              <w:rPr>
                <w:noProof/>
                <w:webHidden/>
              </w:rPr>
              <w:tab/>
            </w:r>
            <w:r w:rsidR="0035484A">
              <w:rPr>
                <w:noProof/>
                <w:webHidden/>
              </w:rPr>
              <w:fldChar w:fldCharType="begin"/>
            </w:r>
            <w:r w:rsidR="0035484A">
              <w:rPr>
                <w:noProof/>
                <w:webHidden/>
              </w:rPr>
              <w:instrText xml:space="preserve"> PAGEREF _Toc95844433 \h </w:instrText>
            </w:r>
            <w:r w:rsidR="0035484A">
              <w:rPr>
                <w:noProof/>
                <w:webHidden/>
              </w:rPr>
            </w:r>
            <w:r w:rsidR="0035484A">
              <w:rPr>
                <w:noProof/>
                <w:webHidden/>
              </w:rPr>
              <w:fldChar w:fldCharType="separate"/>
            </w:r>
            <w:r w:rsidR="0035484A">
              <w:rPr>
                <w:noProof/>
                <w:webHidden/>
              </w:rPr>
              <w:t>3</w:t>
            </w:r>
            <w:r w:rsidR="0035484A">
              <w:rPr>
                <w:noProof/>
                <w:webHidden/>
              </w:rPr>
              <w:fldChar w:fldCharType="end"/>
            </w:r>
          </w:hyperlink>
        </w:p>
        <w:p w14:paraId="31A850DD" w14:textId="77777777" w:rsidR="0035484A" w:rsidRDefault="00F276F5">
          <w:pPr>
            <w:pStyle w:val="TM2"/>
            <w:tabs>
              <w:tab w:leader="dot" w:pos="9062" w:val="right"/>
            </w:tabs>
            <w:rPr>
              <w:rFonts w:asciiTheme="minorHAnsi" w:cstheme="minorBidi" w:eastAsiaTheme="minorEastAsia" w:hAnsiTheme="minorHAnsi"/>
              <w:noProof/>
              <w:sz w:val="22"/>
              <w:szCs w:val="22"/>
            </w:rPr>
          </w:pPr>
          <w:hyperlink w:anchor="_Toc95844434" w:history="1">
            <w:r w:rsidR="0035484A" w:rsidRPr="00A0436E">
              <w:rPr>
                <w:rStyle w:val="Lienhypertexte"/>
                <w:noProof/>
              </w:rPr>
              <w:t>Article 1.2 - NOMBRE DE JRTT</w:t>
            </w:r>
            <w:r w:rsidR="0035484A">
              <w:rPr>
                <w:noProof/>
                <w:webHidden/>
              </w:rPr>
              <w:tab/>
            </w:r>
            <w:r w:rsidR="0035484A">
              <w:rPr>
                <w:noProof/>
                <w:webHidden/>
              </w:rPr>
              <w:fldChar w:fldCharType="begin"/>
            </w:r>
            <w:r w:rsidR="0035484A">
              <w:rPr>
                <w:noProof/>
                <w:webHidden/>
              </w:rPr>
              <w:instrText xml:space="preserve"> PAGEREF _Toc95844434 \h </w:instrText>
            </w:r>
            <w:r w:rsidR="0035484A">
              <w:rPr>
                <w:noProof/>
                <w:webHidden/>
              </w:rPr>
            </w:r>
            <w:r w:rsidR="0035484A">
              <w:rPr>
                <w:noProof/>
                <w:webHidden/>
              </w:rPr>
              <w:fldChar w:fldCharType="separate"/>
            </w:r>
            <w:r w:rsidR="0035484A">
              <w:rPr>
                <w:noProof/>
                <w:webHidden/>
              </w:rPr>
              <w:t>3</w:t>
            </w:r>
            <w:r w:rsidR="0035484A">
              <w:rPr>
                <w:noProof/>
                <w:webHidden/>
              </w:rPr>
              <w:fldChar w:fldCharType="end"/>
            </w:r>
          </w:hyperlink>
        </w:p>
        <w:p w14:paraId="2132F924" w14:textId="77777777" w:rsidR="0035484A" w:rsidRDefault="00F276F5">
          <w:pPr>
            <w:pStyle w:val="TM2"/>
            <w:tabs>
              <w:tab w:leader="dot" w:pos="9062" w:val="right"/>
            </w:tabs>
            <w:rPr>
              <w:rFonts w:asciiTheme="minorHAnsi" w:cstheme="minorBidi" w:eastAsiaTheme="minorEastAsia" w:hAnsiTheme="minorHAnsi"/>
              <w:noProof/>
              <w:sz w:val="22"/>
              <w:szCs w:val="22"/>
            </w:rPr>
          </w:pPr>
          <w:hyperlink w:anchor="_Toc95844435" w:history="1">
            <w:r w:rsidR="0035484A" w:rsidRPr="00A0436E">
              <w:rPr>
                <w:rStyle w:val="Lienhypertexte"/>
                <w:noProof/>
              </w:rPr>
              <w:t>Article 1.3 - FERMETURE DE FIN D’ANNÉE</w:t>
            </w:r>
            <w:r w:rsidR="0035484A">
              <w:rPr>
                <w:noProof/>
                <w:webHidden/>
              </w:rPr>
              <w:tab/>
            </w:r>
            <w:r w:rsidR="0035484A">
              <w:rPr>
                <w:noProof/>
                <w:webHidden/>
              </w:rPr>
              <w:fldChar w:fldCharType="begin"/>
            </w:r>
            <w:r w:rsidR="0035484A">
              <w:rPr>
                <w:noProof/>
                <w:webHidden/>
              </w:rPr>
              <w:instrText xml:space="preserve"> PAGEREF _Toc95844435 \h </w:instrText>
            </w:r>
            <w:r w:rsidR="0035484A">
              <w:rPr>
                <w:noProof/>
                <w:webHidden/>
              </w:rPr>
            </w:r>
            <w:r w:rsidR="0035484A">
              <w:rPr>
                <w:noProof/>
                <w:webHidden/>
              </w:rPr>
              <w:fldChar w:fldCharType="separate"/>
            </w:r>
            <w:r w:rsidR="0035484A">
              <w:rPr>
                <w:noProof/>
                <w:webHidden/>
              </w:rPr>
              <w:t>4</w:t>
            </w:r>
            <w:r w:rsidR="0035484A">
              <w:rPr>
                <w:noProof/>
                <w:webHidden/>
              </w:rPr>
              <w:fldChar w:fldCharType="end"/>
            </w:r>
          </w:hyperlink>
        </w:p>
        <w:p w14:paraId="3B8C9F2A" w14:textId="77777777" w:rsidR="0035484A" w:rsidRDefault="00F276F5">
          <w:pPr>
            <w:pStyle w:val="TM2"/>
            <w:tabs>
              <w:tab w:leader="dot" w:pos="9062" w:val="right"/>
            </w:tabs>
            <w:rPr>
              <w:rFonts w:asciiTheme="minorHAnsi" w:cstheme="minorBidi" w:eastAsiaTheme="minorEastAsia" w:hAnsiTheme="minorHAnsi"/>
              <w:noProof/>
              <w:sz w:val="22"/>
              <w:szCs w:val="22"/>
            </w:rPr>
          </w:pPr>
          <w:hyperlink w:anchor="_Toc95844436" w:history="1">
            <w:r w:rsidR="0035484A" w:rsidRPr="00A0436E">
              <w:rPr>
                <w:rStyle w:val="Lienhypertexte"/>
                <w:noProof/>
              </w:rPr>
              <w:t>Article 1.4 - LUNDI DE PENTECÔTE et JOURNÉE « DITE DE SOLIDARITÉ »</w:t>
            </w:r>
            <w:r w:rsidR="0035484A">
              <w:rPr>
                <w:noProof/>
                <w:webHidden/>
              </w:rPr>
              <w:tab/>
            </w:r>
            <w:r w:rsidR="0035484A">
              <w:rPr>
                <w:noProof/>
                <w:webHidden/>
              </w:rPr>
              <w:fldChar w:fldCharType="begin"/>
            </w:r>
            <w:r w:rsidR="0035484A">
              <w:rPr>
                <w:noProof/>
                <w:webHidden/>
              </w:rPr>
              <w:instrText xml:space="preserve"> PAGEREF _Toc95844436 \h </w:instrText>
            </w:r>
            <w:r w:rsidR="0035484A">
              <w:rPr>
                <w:noProof/>
                <w:webHidden/>
              </w:rPr>
            </w:r>
            <w:r w:rsidR="0035484A">
              <w:rPr>
                <w:noProof/>
                <w:webHidden/>
              </w:rPr>
              <w:fldChar w:fldCharType="separate"/>
            </w:r>
            <w:r w:rsidR="0035484A">
              <w:rPr>
                <w:noProof/>
                <w:webHidden/>
              </w:rPr>
              <w:t>4</w:t>
            </w:r>
            <w:r w:rsidR="0035484A">
              <w:rPr>
                <w:noProof/>
                <w:webHidden/>
              </w:rPr>
              <w:fldChar w:fldCharType="end"/>
            </w:r>
          </w:hyperlink>
        </w:p>
        <w:p w14:paraId="1CC2D3DE" w14:textId="77777777" w:rsidR="0035484A" w:rsidRDefault="00F276F5">
          <w:pPr>
            <w:pStyle w:val="TM2"/>
            <w:tabs>
              <w:tab w:leader="dot" w:pos="9062" w:val="right"/>
            </w:tabs>
            <w:rPr>
              <w:rFonts w:asciiTheme="minorHAnsi" w:cstheme="minorBidi" w:eastAsiaTheme="minorEastAsia" w:hAnsiTheme="minorHAnsi"/>
              <w:noProof/>
              <w:sz w:val="22"/>
              <w:szCs w:val="22"/>
            </w:rPr>
          </w:pPr>
          <w:hyperlink w:anchor="_Toc95844437" w:history="1">
            <w:r w:rsidR="0035484A" w:rsidRPr="00A0436E">
              <w:rPr>
                <w:rStyle w:val="Lienhypertexte"/>
                <w:noProof/>
              </w:rPr>
              <w:t>Article 1.5 - JOURS DE CP ET CA</w:t>
            </w:r>
            <w:r w:rsidR="0035484A">
              <w:rPr>
                <w:noProof/>
                <w:webHidden/>
              </w:rPr>
              <w:tab/>
            </w:r>
            <w:r w:rsidR="0035484A">
              <w:rPr>
                <w:noProof/>
                <w:webHidden/>
              </w:rPr>
              <w:fldChar w:fldCharType="begin"/>
            </w:r>
            <w:r w:rsidR="0035484A">
              <w:rPr>
                <w:noProof/>
                <w:webHidden/>
              </w:rPr>
              <w:instrText xml:space="preserve"> PAGEREF _Toc95844437 \h </w:instrText>
            </w:r>
            <w:r w:rsidR="0035484A">
              <w:rPr>
                <w:noProof/>
                <w:webHidden/>
              </w:rPr>
            </w:r>
            <w:r w:rsidR="0035484A">
              <w:rPr>
                <w:noProof/>
                <w:webHidden/>
              </w:rPr>
              <w:fldChar w:fldCharType="separate"/>
            </w:r>
            <w:r w:rsidR="0035484A">
              <w:rPr>
                <w:noProof/>
                <w:webHidden/>
              </w:rPr>
              <w:t>4</w:t>
            </w:r>
            <w:r w:rsidR="0035484A">
              <w:rPr>
                <w:noProof/>
                <w:webHidden/>
              </w:rPr>
              <w:fldChar w:fldCharType="end"/>
            </w:r>
          </w:hyperlink>
        </w:p>
        <w:p w14:paraId="7946BBAB" w14:textId="77777777" w:rsidR="0035484A" w:rsidRDefault="00F276F5">
          <w:pPr>
            <w:pStyle w:val="TM2"/>
            <w:tabs>
              <w:tab w:leader="dot" w:pos="9062" w:val="right"/>
            </w:tabs>
            <w:rPr>
              <w:rFonts w:asciiTheme="minorHAnsi" w:cstheme="minorBidi" w:eastAsiaTheme="minorEastAsia" w:hAnsiTheme="minorHAnsi"/>
              <w:noProof/>
              <w:sz w:val="22"/>
              <w:szCs w:val="22"/>
            </w:rPr>
          </w:pPr>
          <w:hyperlink w:anchor="_Toc95844438" w:history="1">
            <w:r w:rsidR="0035484A" w:rsidRPr="00A0436E">
              <w:rPr>
                <w:rStyle w:val="Lienhypertexte"/>
                <w:noProof/>
              </w:rPr>
              <w:t>Article 1.6 - SITUATIONS PARTICULIERES</w:t>
            </w:r>
            <w:r w:rsidR="0035484A">
              <w:rPr>
                <w:noProof/>
                <w:webHidden/>
              </w:rPr>
              <w:tab/>
            </w:r>
            <w:r w:rsidR="0035484A">
              <w:rPr>
                <w:noProof/>
                <w:webHidden/>
              </w:rPr>
              <w:fldChar w:fldCharType="begin"/>
            </w:r>
            <w:r w:rsidR="0035484A">
              <w:rPr>
                <w:noProof/>
                <w:webHidden/>
              </w:rPr>
              <w:instrText xml:space="preserve"> PAGEREF _Toc95844438 \h </w:instrText>
            </w:r>
            <w:r w:rsidR="0035484A">
              <w:rPr>
                <w:noProof/>
                <w:webHidden/>
              </w:rPr>
            </w:r>
            <w:r w:rsidR="0035484A">
              <w:rPr>
                <w:noProof/>
                <w:webHidden/>
              </w:rPr>
              <w:fldChar w:fldCharType="separate"/>
            </w:r>
            <w:r w:rsidR="0035484A">
              <w:rPr>
                <w:noProof/>
                <w:webHidden/>
              </w:rPr>
              <w:t>4</w:t>
            </w:r>
            <w:r w:rsidR="0035484A">
              <w:rPr>
                <w:noProof/>
                <w:webHidden/>
              </w:rPr>
              <w:fldChar w:fldCharType="end"/>
            </w:r>
          </w:hyperlink>
        </w:p>
        <w:p w14:paraId="299A8F06" w14:textId="77777777" w:rsidR="0035484A" w:rsidRDefault="00F276F5">
          <w:pPr>
            <w:pStyle w:val="TM2"/>
            <w:tabs>
              <w:tab w:leader="dot" w:pos="9062" w:val="right"/>
            </w:tabs>
            <w:rPr>
              <w:rFonts w:asciiTheme="minorHAnsi" w:cstheme="minorBidi" w:eastAsiaTheme="minorEastAsia" w:hAnsiTheme="minorHAnsi"/>
              <w:noProof/>
              <w:sz w:val="22"/>
              <w:szCs w:val="22"/>
            </w:rPr>
          </w:pPr>
          <w:hyperlink w:anchor="_Toc95844439" w:history="1">
            <w:r w:rsidR="0035484A" w:rsidRPr="00A0436E">
              <w:rPr>
                <w:rStyle w:val="Lienhypertexte"/>
                <w:noProof/>
              </w:rPr>
              <w:t>Article 1.7 - PONTS ET RTT EMPLOYEUR 2022</w:t>
            </w:r>
            <w:r w:rsidR="0035484A">
              <w:rPr>
                <w:noProof/>
                <w:webHidden/>
              </w:rPr>
              <w:tab/>
            </w:r>
            <w:r w:rsidR="0035484A">
              <w:rPr>
                <w:noProof/>
                <w:webHidden/>
              </w:rPr>
              <w:fldChar w:fldCharType="begin"/>
            </w:r>
            <w:r w:rsidR="0035484A">
              <w:rPr>
                <w:noProof/>
                <w:webHidden/>
              </w:rPr>
              <w:instrText xml:space="preserve"> PAGEREF _Toc95844439 \h </w:instrText>
            </w:r>
            <w:r w:rsidR="0035484A">
              <w:rPr>
                <w:noProof/>
                <w:webHidden/>
              </w:rPr>
            </w:r>
            <w:r w:rsidR="0035484A">
              <w:rPr>
                <w:noProof/>
                <w:webHidden/>
              </w:rPr>
              <w:fldChar w:fldCharType="separate"/>
            </w:r>
            <w:r w:rsidR="0035484A">
              <w:rPr>
                <w:noProof/>
                <w:webHidden/>
              </w:rPr>
              <w:t>4</w:t>
            </w:r>
            <w:r w:rsidR="0035484A">
              <w:rPr>
                <w:noProof/>
                <w:webHidden/>
              </w:rPr>
              <w:fldChar w:fldCharType="end"/>
            </w:r>
          </w:hyperlink>
        </w:p>
        <w:p w14:paraId="296DB56B" w14:textId="77777777" w:rsidR="0035484A" w:rsidRDefault="00F276F5">
          <w:pPr>
            <w:pStyle w:val="TM2"/>
            <w:tabs>
              <w:tab w:leader="dot" w:pos="9062" w:val="right"/>
            </w:tabs>
            <w:rPr>
              <w:rFonts w:asciiTheme="minorHAnsi" w:cstheme="minorBidi" w:eastAsiaTheme="minorEastAsia" w:hAnsiTheme="minorHAnsi"/>
              <w:noProof/>
              <w:sz w:val="22"/>
              <w:szCs w:val="22"/>
            </w:rPr>
          </w:pPr>
          <w:hyperlink w:anchor="_Toc95844440" w:history="1">
            <w:r w:rsidR="0035484A" w:rsidRPr="00A0436E">
              <w:rPr>
                <w:rStyle w:val="Lienhypertexte"/>
                <w:noProof/>
              </w:rPr>
              <w:t>Article 1.8 - CONGÉS PAYÉS D’ÉTÉ</w:t>
            </w:r>
            <w:r w:rsidR="0035484A">
              <w:rPr>
                <w:noProof/>
                <w:webHidden/>
              </w:rPr>
              <w:tab/>
            </w:r>
            <w:r w:rsidR="0035484A">
              <w:rPr>
                <w:noProof/>
                <w:webHidden/>
              </w:rPr>
              <w:fldChar w:fldCharType="begin"/>
            </w:r>
            <w:r w:rsidR="0035484A">
              <w:rPr>
                <w:noProof/>
                <w:webHidden/>
              </w:rPr>
              <w:instrText xml:space="preserve"> PAGEREF _Toc95844440 \h </w:instrText>
            </w:r>
            <w:r w:rsidR="0035484A">
              <w:rPr>
                <w:noProof/>
                <w:webHidden/>
              </w:rPr>
            </w:r>
            <w:r w:rsidR="0035484A">
              <w:rPr>
                <w:noProof/>
                <w:webHidden/>
              </w:rPr>
              <w:fldChar w:fldCharType="separate"/>
            </w:r>
            <w:r w:rsidR="0035484A">
              <w:rPr>
                <w:noProof/>
                <w:webHidden/>
              </w:rPr>
              <w:t>5</w:t>
            </w:r>
            <w:r w:rsidR="0035484A">
              <w:rPr>
                <w:noProof/>
                <w:webHidden/>
              </w:rPr>
              <w:fldChar w:fldCharType="end"/>
            </w:r>
          </w:hyperlink>
        </w:p>
        <w:p w14:paraId="70D59459" w14:textId="77777777" w:rsidR="0035484A" w:rsidRDefault="00F276F5">
          <w:pPr>
            <w:pStyle w:val="TM1"/>
            <w:rPr>
              <w:rFonts w:asciiTheme="minorHAnsi" w:cstheme="minorBidi" w:eastAsiaTheme="minorEastAsia" w:hAnsiTheme="minorHAnsi"/>
              <w:noProof/>
              <w:sz w:val="22"/>
              <w:szCs w:val="22"/>
            </w:rPr>
          </w:pPr>
          <w:hyperlink w:anchor="_Toc95844441" w:history="1">
            <w:r w:rsidR="0035484A" w:rsidRPr="00A0436E">
              <w:rPr>
                <w:rStyle w:val="Lienhypertexte"/>
                <w:noProof/>
              </w:rPr>
              <w:t>Chapitre 2 - POLITIQUE SALARIALE</w:t>
            </w:r>
            <w:r w:rsidR="0035484A">
              <w:rPr>
                <w:noProof/>
                <w:webHidden/>
              </w:rPr>
              <w:tab/>
            </w:r>
            <w:r w:rsidR="0035484A">
              <w:rPr>
                <w:noProof/>
                <w:webHidden/>
              </w:rPr>
              <w:fldChar w:fldCharType="begin"/>
            </w:r>
            <w:r w:rsidR="0035484A">
              <w:rPr>
                <w:noProof/>
                <w:webHidden/>
              </w:rPr>
              <w:instrText xml:space="preserve"> PAGEREF _Toc95844441 \h </w:instrText>
            </w:r>
            <w:r w:rsidR="0035484A">
              <w:rPr>
                <w:noProof/>
                <w:webHidden/>
              </w:rPr>
            </w:r>
            <w:r w:rsidR="0035484A">
              <w:rPr>
                <w:noProof/>
                <w:webHidden/>
              </w:rPr>
              <w:fldChar w:fldCharType="separate"/>
            </w:r>
            <w:r w:rsidR="0035484A">
              <w:rPr>
                <w:noProof/>
                <w:webHidden/>
              </w:rPr>
              <w:t>5</w:t>
            </w:r>
            <w:r w:rsidR="0035484A">
              <w:rPr>
                <w:noProof/>
                <w:webHidden/>
              </w:rPr>
              <w:fldChar w:fldCharType="end"/>
            </w:r>
          </w:hyperlink>
        </w:p>
        <w:p w14:paraId="4CA9094D" w14:textId="77777777" w:rsidR="0035484A" w:rsidRDefault="00F276F5">
          <w:pPr>
            <w:pStyle w:val="TM2"/>
            <w:tabs>
              <w:tab w:leader="dot" w:pos="9062" w:val="right"/>
            </w:tabs>
            <w:rPr>
              <w:rFonts w:asciiTheme="minorHAnsi" w:cstheme="minorBidi" w:eastAsiaTheme="minorEastAsia" w:hAnsiTheme="minorHAnsi"/>
              <w:noProof/>
              <w:sz w:val="22"/>
              <w:szCs w:val="22"/>
            </w:rPr>
          </w:pPr>
          <w:hyperlink w:anchor="_Toc95844442" w:history="1">
            <w:r w:rsidR="0035484A" w:rsidRPr="00A0436E">
              <w:rPr>
                <w:rStyle w:val="Lienhypertexte"/>
                <w:noProof/>
              </w:rPr>
              <w:t>Article 2.1 - Augmentation des salaires</w:t>
            </w:r>
            <w:r w:rsidR="0035484A">
              <w:rPr>
                <w:noProof/>
                <w:webHidden/>
              </w:rPr>
              <w:tab/>
            </w:r>
            <w:r w:rsidR="0035484A">
              <w:rPr>
                <w:noProof/>
                <w:webHidden/>
              </w:rPr>
              <w:fldChar w:fldCharType="begin"/>
            </w:r>
            <w:r w:rsidR="0035484A">
              <w:rPr>
                <w:noProof/>
                <w:webHidden/>
              </w:rPr>
              <w:instrText xml:space="preserve"> PAGEREF _Toc95844442 \h </w:instrText>
            </w:r>
            <w:r w:rsidR="0035484A">
              <w:rPr>
                <w:noProof/>
                <w:webHidden/>
              </w:rPr>
            </w:r>
            <w:r w:rsidR="0035484A">
              <w:rPr>
                <w:noProof/>
                <w:webHidden/>
              </w:rPr>
              <w:fldChar w:fldCharType="separate"/>
            </w:r>
            <w:r w:rsidR="0035484A">
              <w:rPr>
                <w:noProof/>
                <w:webHidden/>
              </w:rPr>
              <w:t>5</w:t>
            </w:r>
            <w:r w:rsidR="0035484A">
              <w:rPr>
                <w:noProof/>
                <w:webHidden/>
              </w:rPr>
              <w:fldChar w:fldCharType="end"/>
            </w:r>
          </w:hyperlink>
        </w:p>
        <w:p w14:paraId="0BD6A944" w14:textId="77777777" w:rsidR="0035484A" w:rsidRDefault="00F276F5">
          <w:pPr>
            <w:pStyle w:val="TM3"/>
            <w:tabs>
              <w:tab w:pos="1320" w:val="left"/>
              <w:tab w:leader="dot" w:pos="9062" w:val="right"/>
            </w:tabs>
            <w:rPr>
              <w:rFonts w:asciiTheme="minorHAnsi" w:cstheme="minorBidi" w:eastAsiaTheme="minorEastAsia" w:hAnsiTheme="minorHAnsi"/>
              <w:noProof/>
              <w:sz w:val="22"/>
              <w:szCs w:val="22"/>
            </w:rPr>
          </w:pPr>
          <w:hyperlink w:anchor="_Toc95844443" w:history="1">
            <w:r w:rsidR="0035484A" w:rsidRPr="00A0436E">
              <w:rPr>
                <w:rStyle w:val="Lienhypertexte"/>
                <w:noProof/>
              </w:rPr>
              <w:t>2.1.1</w:t>
            </w:r>
            <w:r w:rsidR="0035484A">
              <w:rPr>
                <w:rFonts w:asciiTheme="minorHAnsi" w:cstheme="minorBidi" w:eastAsiaTheme="minorEastAsia" w:hAnsiTheme="minorHAnsi"/>
                <w:noProof/>
                <w:sz w:val="22"/>
                <w:szCs w:val="22"/>
              </w:rPr>
              <w:tab/>
            </w:r>
            <w:r w:rsidR="0035484A" w:rsidRPr="00A0436E">
              <w:rPr>
                <w:rStyle w:val="Lienhypertexte"/>
                <w:noProof/>
              </w:rPr>
              <w:t xml:space="preserve">Personnel </w:t>
            </w:r>
            <w:r w:rsidR="0035484A" w:rsidRPr="00A0436E">
              <w:rPr>
                <w:rStyle w:val="Lienhypertexte"/>
                <w:b/>
                <w:noProof/>
              </w:rPr>
              <w:t>non cadre</w:t>
            </w:r>
            <w:r w:rsidR="0035484A">
              <w:rPr>
                <w:noProof/>
                <w:webHidden/>
              </w:rPr>
              <w:tab/>
            </w:r>
            <w:r w:rsidR="0035484A">
              <w:rPr>
                <w:noProof/>
                <w:webHidden/>
              </w:rPr>
              <w:fldChar w:fldCharType="begin"/>
            </w:r>
            <w:r w:rsidR="0035484A">
              <w:rPr>
                <w:noProof/>
                <w:webHidden/>
              </w:rPr>
              <w:instrText xml:space="preserve"> PAGEREF _Toc95844443 \h </w:instrText>
            </w:r>
            <w:r w:rsidR="0035484A">
              <w:rPr>
                <w:noProof/>
                <w:webHidden/>
              </w:rPr>
            </w:r>
            <w:r w:rsidR="0035484A">
              <w:rPr>
                <w:noProof/>
                <w:webHidden/>
              </w:rPr>
              <w:fldChar w:fldCharType="separate"/>
            </w:r>
            <w:r w:rsidR="0035484A">
              <w:rPr>
                <w:noProof/>
                <w:webHidden/>
              </w:rPr>
              <w:t>6</w:t>
            </w:r>
            <w:r w:rsidR="0035484A">
              <w:rPr>
                <w:noProof/>
                <w:webHidden/>
              </w:rPr>
              <w:fldChar w:fldCharType="end"/>
            </w:r>
          </w:hyperlink>
        </w:p>
        <w:p w14:paraId="45284475" w14:textId="77777777" w:rsidR="0035484A" w:rsidRDefault="00F276F5">
          <w:pPr>
            <w:pStyle w:val="TM3"/>
            <w:tabs>
              <w:tab w:leader="dot" w:pos="9062" w:val="right"/>
            </w:tabs>
            <w:rPr>
              <w:rFonts w:asciiTheme="minorHAnsi" w:cstheme="minorBidi" w:eastAsiaTheme="minorEastAsia" w:hAnsiTheme="minorHAnsi"/>
              <w:noProof/>
              <w:sz w:val="22"/>
              <w:szCs w:val="22"/>
            </w:rPr>
          </w:pPr>
          <w:hyperlink w:anchor="_Toc95844444" w:history="1">
            <w:r w:rsidR="0035484A" w:rsidRPr="00A0436E">
              <w:rPr>
                <w:rStyle w:val="Lienhypertexte"/>
                <w:noProof/>
              </w:rPr>
              <w:t xml:space="preserve">2.1.2    Personnel </w:t>
            </w:r>
            <w:r w:rsidR="0035484A" w:rsidRPr="00A0436E">
              <w:rPr>
                <w:rStyle w:val="Lienhypertexte"/>
                <w:b/>
                <w:noProof/>
              </w:rPr>
              <w:t>cadre</w:t>
            </w:r>
            <w:r w:rsidR="0035484A">
              <w:rPr>
                <w:noProof/>
                <w:webHidden/>
              </w:rPr>
              <w:tab/>
            </w:r>
            <w:r w:rsidR="0035484A">
              <w:rPr>
                <w:noProof/>
                <w:webHidden/>
              </w:rPr>
              <w:fldChar w:fldCharType="begin"/>
            </w:r>
            <w:r w:rsidR="0035484A">
              <w:rPr>
                <w:noProof/>
                <w:webHidden/>
              </w:rPr>
              <w:instrText xml:space="preserve"> PAGEREF _Toc95844444 \h </w:instrText>
            </w:r>
            <w:r w:rsidR="0035484A">
              <w:rPr>
                <w:noProof/>
                <w:webHidden/>
              </w:rPr>
            </w:r>
            <w:r w:rsidR="0035484A">
              <w:rPr>
                <w:noProof/>
                <w:webHidden/>
              </w:rPr>
              <w:fldChar w:fldCharType="separate"/>
            </w:r>
            <w:r w:rsidR="0035484A">
              <w:rPr>
                <w:noProof/>
                <w:webHidden/>
              </w:rPr>
              <w:t>6</w:t>
            </w:r>
            <w:r w:rsidR="0035484A">
              <w:rPr>
                <w:noProof/>
                <w:webHidden/>
              </w:rPr>
              <w:fldChar w:fldCharType="end"/>
            </w:r>
          </w:hyperlink>
        </w:p>
        <w:p w14:paraId="34D72388" w14:textId="77777777" w:rsidR="0035484A" w:rsidRDefault="00F276F5">
          <w:pPr>
            <w:pStyle w:val="TM3"/>
            <w:tabs>
              <w:tab w:leader="dot" w:pos="9062" w:val="right"/>
            </w:tabs>
            <w:rPr>
              <w:rFonts w:asciiTheme="minorHAnsi" w:cstheme="minorBidi" w:eastAsiaTheme="minorEastAsia" w:hAnsiTheme="minorHAnsi"/>
              <w:noProof/>
              <w:sz w:val="22"/>
              <w:szCs w:val="22"/>
            </w:rPr>
          </w:pPr>
          <w:hyperlink w:anchor="_Toc95844445" w:history="1">
            <w:r w:rsidR="0035484A" w:rsidRPr="00A0436E">
              <w:rPr>
                <w:rStyle w:val="Lienhypertexte"/>
                <w:noProof/>
              </w:rPr>
              <w:t>2.1.3 Budget spécifique de 0,2%</w:t>
            </w:r>
            <w:r w:rsidR="0035484A">
              <w:rPr>
                <w:noProof/>
                <w:webHidden/>
              </w:rPr>
              <w:tab/>
            </w:r>
            <w:r w:rsidR="0035484A">
              <w:rPr>
                <w:noProof/>
                <w:webHidden/>
              </w:rPr>
              <w:fldChar w:fldCharType="begin"/>
            </w:r>
            <w:r w:rsidR="0035484A">
              <w:rPr>
                <w:noProof/>
                <w:webHidden/>
              </w:rPr>
              <w:instrText xml:space="preserve"> PAGEREF _Toc95844445 \h </w:instrText>
            </w:r>
            <w:r w:rsidR="0035484A">
              <w:rPr>
                <w:noProof/>
                <w:webHidden/>
              </w:rPr>
            </w:r>
            <w:r w:rsidR="0035484A">
              <w:rPr>
                <w:noProof/>
                <w:webHidden/>
              </w:rPr>
              <w:fldChar w:fldCharType="separate"/>
            </w:r>
            <w:r w:rsidR="0035484A">
              <w:rPr>
                <w:noProof/>
                <w:webHidden/>
              </w:rPr>
              <w:t>6</w:t>
            </w:r>
            <w:r w:rsidR="0035484A">
              <w:rPr>
                <w:noProof/>
                <w:webHidden/>
              </w:rPr>
              <w:fldChar w:fldCharType="end"/>
            </w:r>
          </w:hyperlink>
        </w:p>
        <w:p w14:paraId="3C7AE8E1" w14:textId="77777777" w:rsidR="0035484A" w:rsidRDefault="00F276F5">
          <w:pPr>
            <w:pStyle w:val="TM2"/>
            <w:tabs>
              <w:tab w:leader="dot" w:pos="9062" w:val="right"/>
            </w:tabs>
            <w:rPr>
              <w:rFonts w:asciiTheme="minorHAnsi" w:cstheme="minorBidi" w:eastAsiaTheme="minorEastAsia" w:hAnsiTheme="minorHAnsi"/>
              <w:noProof/>
              <w:sz w:val="22"/>
              <w:szCs w:val="22"/>
            </w:rPr>
          </w:pPr>
          <w:hyperlink w:anchor="_Toc95844446" w:history="1">
            <w:r w:rsidR="0035484A" w:rsidRPr="00A0436E">
              <w:rPr>
                <w:rStyle w:val="Lienhypertexte"/>
                <w:noProof/>
              </w:rPr>
              <w:t>Article 2.2 - Autres mesures salariales et sociales</w:t>
            </w:r>
            <w:r w:rsidR="0035484A">
              <w:rPr>
                <w:noProof/>
                <w:webHidden/>
              </w:rPr>
              <w:tab/>
            </w:r>
            <w:r w:rsidR="0035484A">
              <w:rPr>
                <w:noProof/>
                <w:webHidden/>
              </w:rPr>
              <w:fldChar w:fldCharType="begin"/>
            </w:r>
            <w:r w:rsidR="0035484A">
              <w:rPr>
                <w:noProof/>
                <w:webHidden/>
              </w:rPr>
              <w:instrText xml:space="preserve"> PAGEREF _Toc95844446 \h </w:instrText>
            </w:r>
            <w:r w:rsidR="0035484A">
              <w:rPr>
                <w:noProof/>
                <w:webHidden/>
              </w:rPr>
            </w:r>
            <w:r w:rsidR="0035484A">
              <w:rPr>
                <w:noProof/>
                <w:webHidden/>
              </w:rPr>
              <w:fldChar w:fldCharType="separate"/>
            </w:r>
            <w:r w:rsidR="0035484A">
              <w:rPr>
                <w:noProof/>
                <w:webHidden/>
              </w:rPr>
              <w:t>7</w:t>
            </w:r>
            <w:r w:rsidR="0035484A">
              <w:rPr>
                <w:noProof/>
                <w:webHidden/>
              </w:rPr>
              <w:fldChar w:fldCharType="end"/>
            </w:r>
          </w:hyperlink>
        </w:p>
        <w:p w14:paraId="5244DCB9" w14:textId="77777777" w:rsidR="0035484A" w:rsidRDefault="00F276F5">
          <w:pPr>
            <w:pStyle w:val="TM3"/>
            <w:tabs>
              <w:tab w:leader="dot" w:pos="9062" w:val="right"/>
            </w:tabs>
            <w:rPr>
              <w:rFonts w:asciiTheme="minorHAnsi" w:cstheme="minorBidi" w:eastAsiaTheme="minorEastAsia" w:hAnsiTheme="minorHAnsi"/>
              <w:noProof/>
              <w:sz w:val="22"/>
              <w:szCs w:val="22"/>
            </w:rPr>
          </w:pPr>
          <w:hyperlink w:anchor="_Toc95844447" w:history="1">
            <w:r w:rsidR="0035484A" w:rsidRPr="00A0436E">
              <w:rPr>
                <w:rStyle w:val="Lienhypertexte"/>
                <w:noProof/>
              </w:rPr>
              <w:t>2.2.1 Revalorisation des frais de repas en déplacement</w:t>
            </w:r>
            <w:r w:rsidR="0035484A">
              <w:rPr>
                <w:noProof/>
                <w:webHidden/>
              </w:rPr>
              <w:tab/>
            </w:r>
            <w:r w:rsidR="0035484A">
              <w:rPr>
                <w:noProof/>
                <w:webHidden/>
              </w:rPr>
              <w:fldChar w:fldCharType="begin"/>
            </w:r>
            <w:r w:rsidR="0035484A">
              <w:rPr>
                <w:noProof/>
                <w:webHidden/>
              </w:rPr>
              <w:instrText xml:space="preserve"> PAGEREF _Toc95844447 \h </w:instrText>
            </w:r>
            <w:r w:rsidR="0035484A">
              <w:rPr>
                <w:noProof/>
                <w:webHidden/>
              </w:rPr>
            </w:r>
            <w:r w:rsidR="0035484A">
              <w:rPr>
                <w:noProof/>
                <w:webHidden/>
              </w:rPr>
              <w:fldChar w:fldCharType="separate"/>
            </w:r>
            <w:r w:rsidR="0035484A">
              <w:rPr>
                <w:noProof/>
                <w:webHidden/>
              </w:rPr>
              <w:t>7</w:t>
            </w:r>
            <w:r w:rsidR="0035484A">
              <w:rPr>
                <w:noProof/>
                <w:webHidden/>
              </w:rPr>
              <w:fldChar w:fldCharType="end"/>
            </w:r>
          </w:hyperlink>
        </w:p>
        <w:p w14:paraId="36D48F02" w14:textId="77777777" w:rsidR="0035484A" w:rsidRDefault="00F276F5">
          <w:pPr>
            <w:pStyle w:val="TM3"/>
            <w:tabs>
              <w:tab w:leader="dot" w:pos="9062" w:val="right"/>
            </w:tabs>
            <w:rPr>
              <w:rFonts w:asciiTheme="minorHAnsi" w:cstheme="minorBidi" w:eastAsiaTheme="minorEastAsia" w:hAnsiTheme="minorHAnsi"/>
              <w:noProof/>
              <w:sz w:val="22"/>
              <w:szCs w:val="22"/>
            </w:rPr>
          </w:pPr>
          <w:hyperlink w:anchor="_Toc95844448" w:history="1">
            <w:r w:rsidR="0035484A" w:rsidRPr="00A0436E">
              <w:rPr>
                <w:rStyle w:val="Lienhypertexte"/>
                <w:noProof/>
              </w:rPr>
              <w:t>2.2.2 Tickets restaurants : revalorisation à 8,50 €</w:t>
            </w:r>
            <w:r w:rsidR="0035484A">
              <w:rPr>
                <w:noProof/>
                <w:webHidden/>
              </w:rPr>
              <w:tab/>
            </w:r>
            <w:r w:rsidR="0035484A">
              <w:rPr>
                <w:noProof/>
                <w:webHidden/>
              </w:rPr>
              <w:fldChar w:fldCharType="begin"/>
            </w:r>
            <w:r w:rsidR="0035484A">
              <w:rPr>
                <w:noProof/>
                <w:webHidden/>
              </w:rPr>
              <w:instrText xml:space="preserve"> PAGEREF _Toc95844448 \h </w:instrText>
            </w:r>
            <w:r w:rsidR="0035484A">
              <w:rPr>
                <w:noProof/>
                <w:webHidden/>
              </w:rPr>
            </w:r>
            <w:r w:rsidR="0035484A">
              <w:rPr>
                <w:noProof/>
                <w:webHidden/>
              </w:rPr>
              <w:fldChar w:fldCharType="separate"/>
            </w:r>
            <w:r w:rsidR="0035484A">
              <w:rPr>
                <w:noProof/>
                <w:webHidden/>
              </w:rPr>
              <w:t>7</w:t>
            </w:r>
            <w:r w:rsidR="0035484A">
              <w:rPr>
                <w:noProof/>
                <w:webHidden/>
              </w:rPr>
              <w:fldChar w:fldCharType="end"/>
            </w:r>
          </w:hyperlink>
        </w:p>
        <w:p w14:paraId="137F057D" w14:textId="77777777" w:rsidR="0035484A" w:rsidRDefault="00F276F5">
          <w:pPr>
            <w:pStyle w:val="TM3"/>
            <w:tabs>
              <w:tab w:leader="dot" w:pos="9062" w:val="right"/>
            </w:tabs>
            <w:rPr>
              <w:rFonts w:asciiTheme="minorHAnsi" w:cstheme="minorBidi" w:eastAsiaTheme="minorEastAsia" w:hAnsiTheme="minorHAnsi"/>
              <w:noProof/>
              <w:sz w:val="22"/>
              <w:szCs w:val="22"/>
            </w:rPr>
          </w:pPr>
          <w:hyperlink w:anchor="_Toc95844449" w:history="1">
            <w:r w:rsidR="0035484A" w:rsidRPr="00A0436E">
              <w:rPr>
                <w:rStyle w:val="Lienhypertexte"/>
                <w:noProof/>
              </w:rPr>
              <w:t>2.2.3 Elargissement et revalorisation de la prime de sujétion</w:t>
            </w:r>
            <w:r w:rsidR="0035484A">
              <w:rPr>
                <w:noProof/>
                <w:webHidden/>
              </w:rPr>
              <w:tab/>
            </w:r>
            <w:r w:rsidR="0035484A">
              <w:rPr>
                <w:noProof/>
                <w:webHidden/>
              </w:rPr>
              <w:fldChar w:fldCharType="begin"/>
            </w:r>
            <w:r w:rsidR="0035484A">
              <w:rPr>
                <w:noProof/>
                <w:webHidden/>
              </w:rPr>
              <w:instrText xml:space="preserve"> PAGEREF _Toc95844449 \h </w:instrText>
            </w:r>
            <w:r w:rsidR="0035484A">
              <w:rPr>
                <w:noProof/>
                <w:webHidden/>
              </w:rPr>
            </w:r>
            <w:r w:rsidR="0035484A">
              <w:rPr>
                <w:noProof/>
                <w:webHidden/>
              </w:rPr>
              <w:fldChar w:fldCharType="separate"/>
            </w:r>
            <w:r w:rsidR="0035484A">
              <w:rPr>
                <w:noProof/>
                <w:webHidden/>
              </w:rPr>
              <w:t>7</w:t>
            </w:r>
            <w:r w:rsidR="0035484A">
              <w:rPr>
                <w:noProof/>
                <w:webHidden/>
              </w:rPr>
              <w:fldChar w:fldCharType="end"/>
            </w:r>
          </w:hyperlink>
        </w:p>
        <w:p w14:paraId="0B024403" w14:textId="77777777" w:rsidR="0035484A" w:rsidRDefault="00F276F5">
          <w:pPr>
            <w:pStyle w:val="TM3"/>
            <w:tabs>
              <w:tab w:leader="dot" w:pos="9062" w:val="right"/>
            </w:tabs>
            <w:rPr>
              <w:rFonts w:asciiTheme="minorHAnsi" w:cstheme="minorBidi" w:eastAsiaTheme="minorEastAsia" w:hAnsiTheme="minorHAnsi"/>
              <w:noProof/>
              <w:sz w:val="22"/>
              <w:szCs w:val="22"/>
            </w:rPr>
          </w:pPr>
          <w:hyperlink w:anchor="_Toc95844450" w:history="1">
            <w:r w:rsidR="0035484A" w:rsidRPr="00A0436E">
              <w:rPr>
                <w:rStyle w:val="Lienhypertexte"/>
                <w:noProof/>
              </w:rPr>
              <w:t>2.2.4 Mise en place du Chèque Emploi Service Universel (CESU)</w:t>
            </w:r>
            <w:r w:rsidR="0035484A">
              <w:rPr>
                <w:noProof/>
                <w:webHidden/>
              </w:rPr>
              <w:tab/>
            </w:r>
            <w:r w:rsidR="0035484A">
              <w:rPr>
                <w:noProof/>
                <w:webHidden/>
              </w:rPr>
              <w:fldChar w:fldCharType="begin"/>
            </w:r>
            <w:r w:rsidR="0035484A">
              <w:rPr>
                <w:noProof/>
                <w:webHidden/>
              </w:rPr>
              <w:instrText xml:space="preserve"> PAGEREF _Toc95844450 \h </w:instrText>
            </w:r>
            <w:r w:rsidR="0035484A">
              <w:rPr>
                <w:noProof/>
                <w:webHidden/>
              </w:rPr>
            </w:r>
            <w:r w:rsidR="0035484A">
              <w:rPr>
                <w:noProof/>
                <w:webHidden/>
              </w:rPr>
              <w:fldChar w:fldCharType="separate"/>
            </w:r>
            <w:r w:rsidR="0035484A">
              <w:rPr>
                <w:noProof/>
                <w:webHidden/>
              </w:rPr>
              <w:t>7</w:t>
            </w:r>
            <w:r w:rsidR="0035484A">
              <w:rPr>
                <w:noProof/>
                <w:webHidden/>
              </w:rPr>
              <w:fldChar w:fldCharType="end"/>
            </w:r>
          </w:hyperlink>
        </w:p>
        <w:p w14:paraId="70F7D205" w14:textId="77777777" w:rsidR="0035484A" w:rsidRDefault="00F276F5">
          <w:pPr>
            <w:pStyle w:val="TM3"/>
            <w:tabs>
              <w:tab w:leader="dot" w:pos="9062" w:val="right"/>
            </w:tabs>
            <w:rPr>
              <w:rFonts w:asciiTheme="minorHAnsi" w:cstheme="minorBidi" w:eastAsiaTheme="minorEastAsia" w:hAnsiTheme="minorHAnsi"/>
              <w:noProof/>
              <w:sz w:val="22"/>
              <w:szCs w:val="22"/>
            </w:rPr>
          </w:pPr>
          <w:hyperlink w:anchor="_Toc95844451" w:history="1">
            <w:r w:rsidR="0035484A" w:rsidRPr="00A0436E">
              <w:rPr>
                <w:rStyle w:val="Lienhypertexte"/>
                <w:noProof/>
              </w:rPr>
              <w:t>2.2.5 Mesure en faveur d’une mobilité écoresponsable des salariés</w:t>
            </w:r>
            <w:r w:rsidR="0035484A">
              <w:rPr>
                <w:noProof/>
                <w:webHidden/>
              </w:rPr>
              <w:tab/>
            </w:r>
            <w:r w:rsidR="0035484A">
              <w:rPr>
                <w:noProof/>
                <w:webHidden/>
              </w:rPr>
              <w:fldChar w:fldCharType="begin"/>
            </w:r>
            <w:r w:rsidR="0035484A">
              <w:rPr>
                <w:noProof/>
                <w:webHidden/>
              </w:rPr>
              <w:instrText xml:space="preserve"> PAGEREF _Toc95844451 \h </w:instrText>
            </w:r>
            <w:r w:rsidR="0035484A">
              <w:rPr>
                <w:noProof/>
                <w:webHidden/>
              </w:rPr>
            </w:r>
            <w:r w:rsidR="0035484A">
              <w:rPr>
                <w:noProof/>
                <w:webHidden/>
              </w:rPr>
              <w:fldChar w:fldCharType="separate"/>
            </w:r>
            <w:r w:rsidR="0035484A">
              <w:rPr>
                <w:noProof/>
                <w:webHidden/>
              </w:rPr>
              <w:t>8</w:t>
            </w:r>
            <w:r w:rsidR="0035484A">
              <w:rPr>
                <w:noProof/>
                <w:webHidden/>
              </w:rPr>
              <w:fldChar w:fldCharType="end"/>
            </w:r>
          </w:hyperlink>
        </w:p>
        <w:p w14:paraId="6E410D17" w14:textId="77777777" w:rsidR="0035484A" w:rsidRDefault="00F276F5">
          <w:pPr>
            <w:pStyle w:val="TM3"/>
            <w:tabs>
              <w:tab w:leader="dot" w:pos="9062" w:val="right"/>
            </w:tabs>
            <w:rPr>
              <w:rFonts w:asciiTheme="minorHAnsi" w:cstheme="minorBidi" w:eastAsiaTheme="minorEastAsia" w:hAnsiTheme="minorHAnsi"/>
              <w:noProof/>
              <w:sz w:val="22"/>
              <w:szCs w:val="22"/>
            </w:rPr>
          </w:pPr>
          <w:hyperlink w:anchor="_Toc95844452" w:history="1">
            <w:r w:rsidR="0035484A" w:rsidRPr="00A0436E">
              <w:rPr>
                <w:rStyle w:val="Lienhypertexte"/>
                <w:noProof/>
              </w:rPr>
              <w:t>2.2.6 Télétravail - Accompagnement des télétravailleurs occasionnels et exceptionnels</w:t>
            </w:r>
            <w:r w:rsidR="0035484A">
              <w:rPr>
                <w:noProof/>
                <w:webHidden/>
              </w:rPr>
              <w:tab/>
            </w:r>
            <w:r w:rsidR="0035484A">
              <w:rPr>
                <w:noProof/>
                <w:webHidden/>
              </w:rPr>
              <w:fldChar w:fldCharType="begin"/>
            </w:r>
            <w:r w:rsidR="0035484A">
              <w:rPr>
                <w:noProof/>
                <w:webHidden/>
              </w:rPr>
              <w:instrText xml:space="preserve"> PAGEREF _Toc95844452 \h </w:instrText>
            </w:r>
            <w:r w:rsidR="0035484A">
              <w:rPr>
                <w:noProof/>
                <w:webHidden/>
              </w:rPr>
            </w:r>
            <w:r w:rsidR="0035484A">
              <w:rPr>
                <w:noProof/>
                <w:webHidden/>
              </w:rPr>
              <w:fldChar w:fldCharType="separate"/>
            </w:r>
            <w:r w:rsidR="0035484A">
              <w:rPr>
                <w:noProof/>
                <w:webHidden/>
              </w:rPr>
              <w:t>8</w:t>
            </w:r>
            <w:r w:rsidR="0035484A">
              <w:rPr>
                <w:noProof/>
                <w:webHidden/>
              </w:rPr>
              <w:fldChar w:fldCharType="end"/>
            </w:r>
          </w:hyperlink>
        </w:p>
        <w:p w14:paraId="50A00E2F" w14:textId="77777777" w:rsidR="0035484A" w:rsidRDefault="00F276F5">
          <w:pPr>
            <w:pStyle w:val="TM1"/>
            <w:rPr>
              <w:rFonts w:asciiTheme="minorHAnsi" w:cstheme="minorBidi" w:eastAsiaTheme="minorEastAsia" w:hAnsiTheme="minorHAnsi"/>
              <w:noProof/>
              <w:sz w:val="22"/>
              <w:szCs w:val="22"/>
            </w:rPr>
          </w:pPr>
          <w:hyperlink w:anchor="_Toc95844453" w:history="1">
            <w:r w:rsidR="0035484A" w:rsidRPr="00A0436E">
              <w:rPr>
                <w:rStyle w:val="Lienhypertexte"/>
                <w:noProof/>
              </w:rPr>
              <w:t>Chapitre 3 – DISPOSITIONS FINALES</w:t>
            </w:r>
            <w:r w:rsidR="0035484A">
              <w:rPr>
                <w:noProof/>
                <w:webHidden/>
              </w:rPr>
              <w:tab/>
            </w:r>
            <w:r w:rsidR="0035484A">
              <w:rPr>
                <w:noProof/>
                <w:webHidden/>
              </w:rPr>
              <w:fldChar w:fldCharType="begin"/>
            </w:r>
            <w:r w:rsidR="0035484A">
              <w:rPr>
                <w:noProof/>
                <w:webHidden/>
              </w:rPr>
              <w:instrText xml:space="preserve"> PAGEREF _Toc95844453 \h </w:instrText>
            </w:r>
            <w:r w:rsidR="0035484A">
              <w:rPr>
                <w:noProof/>
                <w:webHidden/>
              </w:rPr>
            </w:r>
            <w:r w:rsidR="0035484A">
              <w:rPr>
                <w:noProof/>
                <w:webHidden/>
              </w:rPr>
              <w:fldChar w:fldCharType="separate"/>
            </w:r>
            <w:r w:rsidR="0035484A">
              <w:rPr>
                <w:noProof/>
                <w:webHidden/>
              </w:rPr>
              <w:t>9</w:t>
            </w:r>
            <w:r w:rsidR="0035484A">
              <w:rPr>
                <w:noProof/>
                <w:webHidden/>
              </w:rPr>
              <w:fldChar w:fldCharType="end"/>
            </w:r>
          </w:hyperlink>
        </w:p>
        <w:p w14:paraId="274D1165" w14:textId="77777777" w:rsidR="0035484A" w:rsidRDefault="00F276F5">
          <w:pPr>
            <w:pStyle w:val="TM2"/>
            <w:tabs>
              <w:tab w:leader="dot" w:pos="9062" w:val="right"/>
            </w:tabs>
            <w:rPr>
              <w:rFonts w:asciiTheme="minorHAnsi" w:cstheme="minorBidi" w:eastAsiaTheme="minorEastAsia" w:hAnsiTheme="minorHAnsi"/>
              <w:noProof/>
              <w:sz w:val="22"/>
              <w:szCs w:val="22"/>
            </w:rPr>
          </w:pPr>
          <w:hyperlink w:anchor="_Toc95844454" w:history="1">
            <w:r w:rsidR="0035484A" w:rsidRPr="00A0436E">
              <w:rPr>
                <w:rStyle w:val="Lienhypertexte"/>
                <w:noProof/>
              </w:rPr>
              <w:t>3.1 Champ d’application de l’accord</w:t>
            </w:r>
            <w:r w:rsidR="0035484A">
              <w:rPr>
                <w:noProof/>
                <w:webHidden/>
              </w:rPr>
              <w:tab/>
            </w:r>
            <w:r w:rsidR="0035484A">
              <w:rPr>
                <w:noProof/>
                <w:webHidden/>
              </w:rPr>
              <w:fldChar w:fldCharType="begin"/>
            </w:r>
            <w:r w:rsidR="0035484A">
              <w:rPr>
                <w:noProof/>
                <w:webHidden/>
              </w:rPr>
              <w:instrText xml:space="preserve"> PAGEREF _Toc95844454 \h </w:instrText>
            </w:r>
            <w:r w:rsidR="0035484A">
              <w:rPr>
                <w:noProof/>
                <w:webHidden/>
              </w:rPr>
            </w:r>
            <w:r w:rsidR="0035484A">
              <w:rPr>
                <w:noProof/>
                <w:webHidden/>
              </w:rPr>
              <w:fldChar w:fldCharType="separate"/>
            </w:r>
            <w:r w:rsidR="0035484A">
              <w:rPr>
                <w:noProof/>
                <w:webHidden/>
              </w:rPr>
              <w:t>9</w:t>
            </w:r>
            <w:r w:rsidR="0035484A">
              <w:rPr>
                <w:noProof/>
                <w:webHidden/>
              </w:rPr>
              <w:fldChar w:fldCharType="end"/>
            </w:r>
          </w:hyperlink>
        </w:p>
        <w:p w14:paraId="52A10DE2" w14:textId="77777777" w:rsidR="0035484A" w:rsidRDefault="00F276F5">
          <w:pPr>
            <w:pStyle w:val="TM2"/>
            <w:tabs>
              <w:tab w:leader="dot" w:pos="9062" w:val="right"/>
            </w:tabs>
            <w:rPr>
              <w:rFonts w:asciiTheme="minorHAnsi" w:cstheme="minorBidi" w:eastAsiaTheme="minorEastAsia" w:hAnsiTheme="minorHAnsi"/>
              <w:noProof/>
              <w:sz w:val="22"/>
              <w:szCs w:val="22"/>
            </w:rPr>
          </w:pPr>
          <w:hyperlink w:anchor="_Toc95844455" w:history="1">
            <w:r w:rsidR="0035484A" w:rsidRPr="00A0436E">
              <w:rPr>
                <w:rStyle w:val="Lienhypertexte"/>
                <w:noProof/>
              </w:rPr>
              <w:t>3.2 Prise d’effet</w:t>
            </w:r>
            <w:r w:rsidR="0035484A">
              <w:rPr>
                <w:noProof/>
                <w:webHidden/>
              </w:rPr>
              <w:tab/>
            </w:r>
            <w:r w:rsidR="0035484A">
              <w:rPr>
                <w:noProof/>
                <w:webHidden/>
              </w:rPr>
              <w:fldChar w:fldCharType="begin"/>
            </w:r>
            <w:r w:rsidR="0035484A">
              <w:rPr>
                <w:noProof/>
                <w:webHidden/>
              </w:rPr>
              <w:instrText xml:space="preserve"> PAGEREF _Toc95844455 \h </w:instrText>
            </w:r>
            <w:r w:rsidR="0035484A">
              <w:rPr>
                <w:noProof/>
                <w:webHidden/>
              </w:rPr>
            </w:r>
            <w:r w:rsidR="0035484A">
              <w:rPr>
                <w:noProof/>
                <w:webHidden/>
              </w:rPr>
              <w:fldChar w:fldCharType="separate"/>
            </w:r>
            <w:r w:rsidR="0035484A">
              <w:rPr>
                <w:noProof/>
                <w:webHidden/>
              </w:rPr>
              <w:t>9</w:t>
            </w:r>
            <w:r w:rsidR="0035484A">
              <w:rPr>
                <w:noProof/>
                <w:webHidden/>
              </w:rPr>
              <w:fldChar w:fldCharType="end"/>
            </w:r>
          </w:hyperlink>
        </w:p>
        <w:p w14:paraId="079E67CE" w14:textId="77777777" w:rsidR="0035484A" w:rsidRDefault="00F276F5">
          <w:pPr>
            <w:pStyle w:val="TM2"/>
            <w:tabs>
              <w:tab w:leader="dot" w:pos="9062" w:val="right"/>
            </w:tabs>
            <w:rPr>
              <w:rFonts w:asciiTheme="minorHAnsi" w:cstheme="minorBidi" w:eastAsiaTheme="minorEastAsia" w:hAnsiTheme="minorHAnsi"/>
              <w:noProof/>
              <w:sz w:val="22"/>
              <w:szCs w:val="22"/>
            </w:rPr>
          </w:pPr>
          <w:hyperlink w:anchor="_Toc95844456" w:history="1">
            <w:r w:rsidR="0035484A" w:rsidRPr="00A0436E">
              <w:rPr>
                <w:rStyle w:val="Lienhypertexte"/>
                <w:noProof/>
              </w:rPr>
              <w:t>3.3 Clause de rendez-vous</w:t>
            </w:r>
            <w:r w:rsidR="0035484A">
              <w:rPr>
                <w:noProof/>
                <w:webHidden/>
              </w:rPr>
              <w:tab/>
            </w:r>
            <w:r w:rsidR="0035484A">
              <w:rPr>
                <w:noProof/>
                <w:webHidden/>
              </w:rPr>
              <w:fldChar w:fldCharType="begin"/>
            </w:r>
            <w:r w:rsidR="0035484A">
              <w:rPr>
                <w:noProof/>
                <w:webHidden/>
              </w:rPr>
              <w:instrText xml:space="preserve"> PAGEREF _Toc95844456 \h </w:instrText>
            </w:r>
            <w:r w:rsidR="0035484A">
              <w:rPr>
                <w:noProof/>
                <w:webHidden/>
              </w:rPr>
            </w:r>
            <w:r w:rsidR="0035484A">
              <w:rPr>
                <w:noProof/>
                <w:webHidden/>
              </w:rPr>
              <w:fldChar w:fldCharType="separate"/>
            </w:r>
            <w:r w:rsidR="0035484A">
              <w:rPr>
                <w:noProof/>
                <w:webHidden/>
              </w:rPr>
              <w:t>9</w:t>
            </w:r>
            <w:r w:rsidR="0035484A">
              <w:rPr>
                <w:noProof/>
                <w:webHidden/>
              </w:rPr>
              <w:fldChar w:fldCharType="end"/>
            </w:r>
          </w:hyperlink>
        </w:p>
        <w:p w14:paraId="6300EF00" w14:textId="77777777" w:rsidR="0035484A" w:rsidRDefault="00F276F5">
          <w:pPr>
            <w:pStyle w:val="TM2"/>
            <w:tabs>
              <w:tab w:leader="dot" w:pos="9062" w:val="right"/>
            </w:tabs>
            <w:rPr>
              <w:rFonts w:asciiTheme="minorHAnsi" w:cstheme="minorBidi" w:eastAsiaTheme="minorEastAsia" w:hAnsiTheme="minorHAnsi"/>
              <w:noProof/>
              <w:sz w:val="22"/>
              <w:szCs w:val="22"/>
            </w:rPr>
          </w:pPr>
          <w:hyperlink w:anchor="_Toc95844457" w:history="1">
            <w:r w:rsidR="0035484A" w:rsidRPr="00A0436E">
              <w:rPr>
                <w:rStyle w:val="Lienhypertexte"/>
                <w:noProof/>
              </w:rPr>
              <w:t>3.4 Révision et dénonciation</w:t>
            </w:r>
            <w:r w:rsidR="0035484A">
              <w:rPr>
                <w:noProof/>
                <w:webHidden/>
              </w:rPr>
              <w:tab/>
            </w:r>
            <w:r w:rsidR="0035484A">
              <w:rPr>
                <w:noProof/>
                <w:webHidden/>
              </w:rPr>
              <w:fldChar w:fldCharType="begin"/>
            </w:r>
            <w:r w:rsidR="0035484A">
              <w:rPr>
                <w:noProof/>
                <w:webHidden/>
              </w:rPr>
              <w:instrText xml:space="preserve"> PAGEREF _Toc95844457 \h </w:instrText>
            </w:r>
            <w:r w:rsidR="0035484A">
              <w:rPr>
                <w:noProof/>
                <w:webHidden/>
              </w:rPr>
            </w:r>
            <w:r w:rsidR="0035484A">
              <w:rPr>
                <w:noProof/>
                <w:webHidden/>
              </w:rPr>
              <w:fldChar w:fldCharType="separate"/>
            </w:r>
            <w:r w:rsidR="0035484A">
              <w:rPr>
                <w:noProof/>
                <w:webHidden/>
              </w:rPr>
              <w:t>10</w:t>
            </w:r>
            <w:r w:rsidR="0035484A">
              <w:rPr>
                <w:noProof/>
                <w:webHidden/>
              </w:rPr>
              <w:fldChar w:fldCharType="end"/>
            </w:r>
          </w:hyperlink>
        </w:p>
        <w:p w14:paraId="35DDB070" w14:textId="77777777" w:rsidR="0035484A" w:rsidRDefault="00F276F5">
          <w:pPr>
            <w:pStyle w:val="TM2"/>
            <w:tabs>
              <w:tab w:leader="dot" w:pos="9062" w:val="right"/>
            </w:tabs>
            <w:rPr>
              <w:rFonts w:asciiTheme="minorHAnsi" w:cstheme="minorBidi" w:eastAsiaTheme="minorEastAsia" w:hAnsiTheme="minorHAnsi"/>
              <w:noProof/>
              <w:sz w:val="22"/>
              <w:szCs w:val="22"/>
            </w:rPr>
          </w:pPr>
          <w:hyperlink w:anchor="_Toc95844458" w:history="1">
            <w:r w:rsidR="0035484A" w:rsidRPr="00A0436E">
              <w:rPr>
                <w:rStyle w:val="Lienhypertexte"/>
                <w:noProof/>
              </w:rPr>
              <w:t>3.5 Publication et dépôt de l’accord</w:t>
            </w:r>
            <w:r w:rsidR="0035484A">
              <w:rPr>
                <w:noProof/>
                <w:webHidden/>
              </w:rPr>
              <w:tab/>
            </w:r>
            <w:r w:rsidR="0035484A">
              <w:rPr>
                <w:noProof/>
                <w:webHidden/>
              </w:rPr>
              <w:fldChar w:fldCharType="begin"/>
            </w:r>
            <w:r w:rsidR="0035484A">
              <w:rPr>
                <w:noProof/>
                <w:webHidden/>
              </w:rPr>
              <w:instrText xml:space="preserve"> PAGEREF _Toc95844458 \h </w:instrText>
            </w:r>
            <w:r w:rsidR="0035484A">
              <w:rPr>
                <w:noProof/>
                <w:webHidden/>
              </w:rPr>
            </w:r>
            <w:r w:rsidR="0035484A">
              <w:rPr>
                <w:noProof/>
                <w:webHidden/>
              </w:rPr>
              <w:fldChar w:fldCharType="separate"/>
            </w:r>
            <w:r w:rsidR="0035484A">
              <w:rPr>
                <w:noProof/>
                <w:webHidden/>
              </w:rPr>
              <w:t>10</w:t>
            </w:r>
            <w:r w:rsidR="0035484A">
              <w:rPr>
                <w:noProof/>
                <w:webHidden/>
              </w:rPr>
              <w:fldChar w:fldCharType="end"/>
            </w:r>
          </w:hyperlink>
        </w:p>
        <w:p w14:paraId="1E418B98" w14:textId="4931474B" w:rsidR="00BB593E" w:rsidRDefault="00BB593E">
          <w:r>
            <w:rPr>
              <w:b/>
              <w:bCs/>
            </w:rPr>
            <w:fldChar w:fldCharType="end"/>
          </w:r>
        </w:p>
      </w:sdtContent>
    </w:sdt>
    <w:p w14:paraId="14C67F93" w14:textId="77777777" w:rsidP="00506D3C" w:rsidR="0035484A" w:rsidRDefault="0035484A">
      <w:pPr>
        <w:jc w:val="both"/>
        <w:rPr>
          <w:rFonts w:ascii="Arial" w:cs="Arial" w:hAnsi="Arial"/>
          <w:sz w:val="22"/>
        </w:rPr>
      </w:pPr>
    </w:p>
    <w:p w14:paraId="1E18D770" w14:textId="77777777" w:rsidP="00506D3C" w:rsidR="0035484A" w:rsidRDefault="0035484A">
      <w:pPr>
        <w:jc w:val="both"/>
        <w:rPr>
          <w:rFonts w:ascii="Arial" w:cs="Arial" w:hAnsi="Arial"/>
          <w:sz w:val="22"/>
        </w:rPr>
      </w:pPr>
    </w:p>
    <w:p w14:paraId="3A0D9D88" w14:textId="77777777" w:rsidP="00506D3C" w:rsidR="0035484A" w:rsidRDefault="0035484A">
      <w:pPr>
        <w:jc w:val="both"/>
        <w:rPr>
          <w:rFonts w:ascii="Arial" w:cs="Arial" w:hAnsi="Arial"/>
          <w:sz w:val="22"/>
        </w:rPr>
      </w:pPr>
    </w:p>
    <w:p w14:paraId="37614CF0" w14:textId="77777777" w:rsidP="00506D3C" w:rsidR="0035484A" w:rsidRDefault="0035484A">
      <w:pPr>
        <w:jc w:val="both"/>
        <w:rPr>
          <w:rFonts w:ascii="Arial" w:cs="Arial" w:hAnsi="Arial"/>
          <w:sz w:val="22"/>
        </w:rPr>
      </w:pPr>
    </w:p>
    <w:p w14:paraId="2AD1678F" w14:textId="77777777" w:rsidP="00506D3C" w:rsidR="0035484A" w:rsidRDefault="0035484A">
      <w:pPr>
        <w:jc w:val="both"/>
        <w:rPr>
          <w:rFonts w:ascii="Arial" w:cs="Arial" w:hAnsi="Arial"/>
          <w:sz w:val="22"/>
        </w:rPr>
      </w:pPr>
    </w:p>
    <w:p w14:paraId="3E7EA0A8" w14:textId="77777777" w:rsidP="00506D3C" w:rsidR="0035484A" w:rsidRDefault="0035484A">
      <w:pPr>
        <w:jc w:val="both"/>
        <w:rPr>
          <w:rFonts w:ascii="Arial" w:cs="Arial" w:hAnsi="Arial"/>
          <w:sz w:val="22"/>
        </w:rPr>
      </w:pPr>
    </w:p>
    <w:p w14:paraId="1AE6205B" w14:textId="77777777" w:rsidP="00506D3C" w:rsidR="0035484A" w:rsidRDefault="0035484A">
      <w:pPr>
        <w:jc w:val="both"/>
        <w:rPr>
          <w:rFonts w:ascii="Arial" w:cs="Arial" w:hAnsi="Arial"/>
          <w:sz w:val="22"/>
        </w:rPr>
      </w:pPr>
    </w:p>
    <w:p w14:paraId="45D4C5DB" w14:textId="212543B8" w:rsidP="00506D3C" w:rsidR="00506D3C" w:rsidRDefault="00506D3C">
      <w:pPr>
        <w:jc w:val="both"/>
        <w:rPr>
          <w:rFonts w:ascii="Arial" w:cs="Arial" w:hAnsi="Arial"/>
          <w:sz w:val="22"/>
        </w:rPr>
      </w:pPr>
      <w:r w:rsidRPr="00506D3C">
        <w:rPr>
          <w:rFonts w:ascii="Arial" w:cs="Arial" w:hAnsi="Arial"/>
          <w:sz w:val="22"/>
        </w:rPr>
        <w:lastRenderedPageBreak/>
        <w:t>Conformément aux dispositions légales et conventionnelles, la Direction a engagé la</w:t>
      </w:r>
      <w:r w:rsidR="001E3522">
        <w:rPr>
          <w:rFonts w:ascii="Arial" w:cs="Arial" w:hAnsi="Arial"/>
          <w:sz w:val="22"/>
        </w:rPr>
        <w:t xml:space="preserve"> n</w:t>
      </w:r>
      <w:r w:rsidRPr="00506D3C">
        <w:rPr>
          <w:rFonts w:ascii="Arial" w:cs="Arial" w:hAnsi="Arial"/>
          <w:sz w:val="22"/>
        </w:rPr>
        <w:t>égociation Obligatoire d’Entreprise pour 2022, en conviant les Organisations syndicales à</w:t>
      </w:r>
      <w:r w:rsidR="001E3522">
        <w:rPr>
          <w:rFonts w:ascii="Arial" w:cs="Arial" w:hAnsi="Arial"/>
          <w:sz w:val="22"/>
        </w:rPr>
        <w:t xml:space="preserve"> </w:t>
      </w:r>
      <w:r w:rsidRPr="00506D3C">
        <w:rPr>
          <w:rFonts w:ascii="Arial" w:cs="Arial" w:hAnsi="Arial"/>
          <w:sz w:val="22"/>
        </w:rPr>
        <w:t>une</w:t>
      </w:r>
      <w:r>
        <w:rPr>
          <w:rFonts w:ascii="Arial" w:cs="Arial" w:hAnsi="Arial"/>
          <w:sz w:val="22"/>
        </w:rPr>
        <w:t xml:space="preserve"> </w:t>
      </w:r>
      <w:r w:rsidRPr="00506D3C">
        <w:rPr>
          <w:rFonts w:ascii="Arial" w:cs="Arial" w:hAnsi="Arial"/>
          <w:sz w:val="22"/>
        </w:rPr>
        <w:t xml:space="preserve">première réunion le </w:t>
      </w:r>
      <w:r w:rsidR="001E3522">
        <w:rPr>
          <w:rFonts w:ascii="Arial" w:cs="Arial" w:hAnsi="Arial"/>
          <w:sz w:val="22"/>
        </w:rPr>
        <w:t>20</w:t>
      </w:r>
      <w:r w:rsidRPr="00506D3C">
        <w:rPr>
          <w:rFonts w:ascii="Arial" w:cs="Arial" w:hAnsi="Arial"/>
          <w:sz w:val="22"/>
        </w:rPr>
        <w:t xml:space="preserve"> janvier 2022.</w:t>
      </w:r>
    </w:p>
    <w:p w14:paraId="0EB73FD9" w14:textId="77777777" w:rsidP="00506D3C" w:rsidR="00506D3C" w:rsidRDefault="00506D3C">
      <w:pPr>
        <w:jc w:val="both"/>
        <w:rPr>
          <w:rFonts w:ascii="Arial" w:cs="Arial" w:hAnsi="Arial"/>
          <w:sz w:val="22"/>
        </w:rPr>
      </w:pPr>
    </w:p>
    <w:p w14:paraId="7DAECF89" w14:textId="61DB4BA3" w:rsidP="00506D3C" w:rsidR="00506D3C" w:rsidRDefault="00506D3C" w:rsidRPr="00506D3C">
      <w:pPr>
        <w:jc w:val="both"/>
        <w:rPr>
          <w:rFonts w:ascii="Arial" w:cs="Arial" w:hAnsi="Arial"/>
          <w:sz w:val="22"/>
        </w:rPr>
      </w:pPr>
      <w:r w:rsidRPr="00506D3C">
        <w:rPr>
          <w:rFonts w:ascii="Arial" w:cs="Arial" w:hAnsi="Arial"/>
          <w:sz w:val="22"/>
        </w:rPr>
        <w:t>Compte tenu des circonstances exceptionnelles liées à la Crise « Covid-19 » qui perdurent,</w:t>
      </w:r>
      <w:r>
        <w:rPr>
          <w:rFonts w:ascii="Arial" w:cs="Arial" w:hAnsi="Arial"/>
          <w:sz w:val="22"/>
        </w:rPr>
        <w:t xml:space="preserve"> </w:t>
      </w:r>
      <w:r w:rsidRPr="00506D3C">
        <w:rPr>
          <w:rFonts w:ascii="Arial" w:cs="Arial" w:hAnsi="Arial"/>
          <w:sz w:val="22"/>
        </w:rPr>
        <w:t>certaines modalités relatives à la rémunération ont été négociées, à titre exceptionnel par accord de</w:t>
      </w:r>
      <w:r>
        <w:rPr>
          <w:rFonts w:ascii="Arial" w:cs="Arial" w:hAnsi="Arial"/>
          <w:sz w:val="22"/>
        </w:rPr>
        <w:t xml:space="preserve"> </w:t>
      </w:r>
      <w:r w:rsidRPr="00506D3C">
        <w:rPr>
          <w:rFonts w:ascii="Arial" w:cs="Arial" w:hAnsi="Arial"/>
          <w:sz w:val="22"/>
        </w:rPr>
        <w:t>Groupe, au titre des Négociations Obligatoires d’Entreprise pour 2022.</w:t>
      </w:r>
    </w:p>
    <w:p w14:paraId="34F18FDF" w14:textId="77777777" w:rsidP="00506D3C" w:rsidR="00506D3C" w:rsidRDefault="00506D3C">
      <w:pPr>
        <w:jc w:val="both"/>
        <w:rPr>
          <w:rFonts w:ascii="Arial" w:cs="Arial" w:hAnsi="Arial"/>
          <w:sz w:val="22"/>
        </w:rPr>
      </w:pPr>
    </w:p>
    <w:p w14:paraId="4433EC65" w14:textId="78166767" w:rsidP="00506D3C" w:rsidR="00506D3C" w:rsidRDefault="00506D3C">
      <w:pPr>
        <w:jc w:val="both"/>
        <w:rPr>
          <w:rFonts w:ascii="Arial" w:cs="Arial" w:hAnsi="Arial"/>
          <w:sz w:val="22"/>
        </w:rPr>
      </w:pPr>
      <w:r w:rsidRPr="00506D3C">
        <w:rPr>
          <w:rFonts w:ascii="Arial" w:cs="Arial" w:hAnsi="Arial"/>
          <w:sz w:val="22"/>
        </w:rPr>
        <w:t>Ainsi l’Accord Groupe de sortie de crise, signé le 21 octobre 2021, définit le cadre dans lequel</w:t>
      </w:r>
      <w:r w:rsidR="001E3522">
        <w:rPr>
          <w:rFonts w:ascii="Arial" w:cs="Arial" w:hAnsi="Arial"/>
          <w:sz w:val="22"/>
        </w:rPr>
        <w:t xml:space="preserve"> </w:t>
      </w:r>
      <w:r w:rsidRPr="00506D3C">
        <w:rPr>
          <w:rFonts w:ascii="Arial" w:cs="Arial" w:hAnsi="Arial"/>
          <w:sz w:val="22"/>
        </w:rPr>
        <w:t>doivent s’inscrire les Négociations Obligatoires d’Entreprise 2022 des sociétés du Groupe, pour ce</w:t>
      </w:r>
      <w:r>
        <w:rPr>
          <w:rFonts w:ascii="Arial" w:cs="Arial" w:hAnsi="Arial"/>
          <w:sz w:val="22"/>
        </w:rPr>
        <w:t xml:space="preserve"> </w:t>
      </w:r>
      <w:r w:rsidRPr="00506D3C">
        <w:rPr>
          <w:rFonts w:ascii="Arial" w:cs="Arial" w:hAnsi="Arial"/>
          <w:sz w:val="22"/>
        </w:rPr>
        <w:t>qui concerne les modalités relatives à la rémunération.</w:t>
      </w:r>
    </w:p>
    <w:p w14:paraId="4B7F3DBD" w14:textId="77777777" w:rsidP="00506D3C" w:rsidR="00506D3C" w:rsidRDefault="00506D3C" w:rsidRPr="00506D3C">
      <w:pPr>
        <w:jc w:val="both"/>
        <w:rPr>
          <w:rFonts w:ascii="Arial" w:cs="Arial" w:hAnsi="Arial"/>
          <w:sz w:val="22"/>
        </w:rPr>
      </w:pPr>
    </w:p>
    <w:p w14:paraId="6B48AA71" w14:textId="0C469B8E" w:rsidP="00506D3C" w:rsidR="00506D3C" w:rsidRDefault="00506D3C">
      <w:pPr>
        <w:jc w:val="both"/>
        <w:rPr>
          <w:rFonts w:ascii="Arial" w:cs="Arial" w:hAnsi="Arial"/>
          <w:sz w:val="22"/>
        </w:rPr>
      </w:pPr>
      <w:r>
        <w:rPr>
          <w:rFonts w:ascii="Arial" w:cs="Arial" w:hAnsi="Arial"/>
          <w:sz w:val="22"/>
        </w:rPr>
        <w:t>C’est dans ce cadre que</w:t>
      </w:r>
      <w:r w:rsidRPr="00506D3C">
        <w:rPr>
          <w:rFonts w:ascii="Arial" w:cs="Arial" w:hAnsi="Arial"/>
          <w:sz w:val="22"/>
        </w:rPr>
        <w:t xml:space="preserve"> les thèmes faisant l’objet des négociations obligatoires d’entreprise ont été abordés et ont permis notamment de revoir avec les organisations syndicales</w:t>
      </w:r>
      <w:r>
        <w:rPr>
          <w:rFonts w:ascii="Arial" w:cs="Arial" w:hAnsi="Arial"/>
          <w:sz w:val="22"/>
        </w:rPr>
        <w:t xml:space="preserve"> </w:t>
      </w:r>
      <w:r w:rsidRPr="00506D3C">
        <w:rPr>
          <w:rFonts w:ascii="Arial" w:cs="Arial" w:hAnsi="Arial"/>
          <w:sz w:val="22"/>
        </w:rPr>
        <w:t>les éléments de la politique salariale et ses mesures d’accompagnement pour l’année 2022.</w:t>
      </w:r>
    </w:p>
    <w:p w14:paraId="6AE56896" w14:textId="77777777" w:rsidP="00506D3C" w:rsidR="00506D3C" w:rsidRDefault="00506D3C" w:rsidRPr="00506D3C">
      <w:pPr>
        <w:jc w:val="both"/>
        <w:rPr>
          <w:rFonts w:ascii="Arial" w:cs="Arial" w:hAnsi="Arial"/>
          <w:sz w:val="22"/>
        </w:rPr>
      </w:pPr>
    </w:p>
    <w:p w14:paraId="1CB82B1B" w14:textId="377906D0" w:rsidP="00506D3C" w:rsidR="00506D3C" w:rsidRDefault="00506D3C" w:rsidRPr="00506D3C">
      <w:pPr>
        <w:jc w:val="both"/>
        <w:rPr>
          <w:rFonts w:ascii="Arial" w:cs="Arial" w:hAnsi="Arial"/>
          <w:sz w:val="22"/>
        </w:rPr>
      </w:pPr>
      <w:r w:rsidRPr="00506D3C">
        <w:rPr>
          <w:rFonts w:ascii="Arial" w:cs="Arial" w:hAnsi="Arial"/>
          <w:sz w:val="22"/>
        </w:rPr>
        <w:t>A l’issue de trois réunions de négociation, les parties ont conve</w:t>
      </w:r>
      <w:r>
        <w:rPr>
          <w:rFonts w:ascii="Arial" w:cs="Arial" w:hAnsi="Arial"/>
          <w:sz w:val="22"/>
        </w:rPr>
        <w:t xml:space="preserve">nu des dispositions formalisées </w:t>
      </w:r>
      <w:r w:rsidRPr="00506D3C">
        <w:rPr>
          <w:rFonts w:ascii="Arial" w:cs="Arial" w:hAnsi="Arial"/>
          <w:sz w:val="22"/>
        </w:rPr>
        <w:t>dans le présent accord.</w:t>
      </w:r>
    </w:p>
    <w:p w14:paraId="3243D637" w14:textId="36C1CB53" w:rsidP="00506D3C" w:rsidR="00506D3C" w:rsidRDefault="00506D3C">
      <w:pPr>
        <w:jc w:val="both"/>
        <w:rPr>
          <w:rFonts w:ascii="Arial" w:cs="Arial" w:hAnsi="Arial"/>
          <w:sz w:val="22"/>
        </w:rPr>
      </w:pPr>
      <w:r w:rsidRPr="00506D3C">
        <w:rPr>
          <w:rFonts w:ascii="Arial" w:cs="Arial" w:hAnsi="Arial"/>
          <w:sz w:val="22"/>
        </w:rPr>
        <w:t>Il est rappelé que la déclinaison du présent accord au sein de Safran Electronics &amp; Defense</w:t>
      </w:r>
      <w:r>
        <w:rPr>
          <w:rFonts w:ascii="Arial" w:cs="Arial" w:hAnsi="Arial"/>
          <w:sz w:val="22"/>
        </w:rPr>
        <w:t xml:space="preserve"> </w:t>
      </w:r>
      <w:r w:rsidRPr="00506D3C">
        <w:rPr>
          <w:rFonts w:ascii="Arial" w:cs="Arial" w:hAnsi="Arial"/>
          <w:sz w:val="22"/>
        </w:rPr>
        <w:t>s’inscrit dans le cadre des dispositions des accords du Groupe Safran et de la société en matière de</w:t>
      </w:r>
      <w:r>
        <w:rPr>
          <w:rFonts w:ascii="Arial" w:cs="Arial" w:hAnsi="Arial"/>
          <w:sz w:val="22"/>
        </w:rPr>
        <w:t xml:space="preserve"> </w:t>
      </w:r>
      <w:r w:rsidRPr="00506D3C">
        <w:rPr>
          <w:rFonts w:ascii="Arial" w:cs="Arial" w:hAnsi="Arial"/>
          <w:sz w:val="22"/>
        </w:rPr>
        <w:t>diversité et d’égalité professionnelle (Hommes / Femmes – Seniors – Handicaps…).</w:t>
      </w:r>
    </w:p>
    <w:p w14:paraId="49F685A9" w14:textId="77777777" w:rsidP="00506D3C" w:rsidR="00506D3C" w:rsidRDefault="00506D3C">
      <w:pPr>
        <w:jc w:val="both"/>
        <w:rPr>
          <w:rFonts w:ascii="Arial" w:cs="Arial" w:hAnsi="Arial"/>
          <w:sz w:val="22"/>
        </w:rPr>
      </w:pPr>
    </w:p>
    <w:p w14:paraId="50117D5C" w14:textId="7B8A7E60" w:rsidP="00CC672A" w:rsidR="00F0735C" w:rsidRDefault="00F0735C" w:rsidRPr="00CC672A">
      <w:pPr>
        <w:pStyle w:val="Titre1"/>
      </w:pPr>
      <w:bookmarkStart w:id="1" w:name="_Toc95844432"/>
      <w:r w:rsidRPr="00CC672A">
        <w:t>Chapitre 1 - AMENAGEMENT DU TEMPS DE TRAVAIL</w:t>
      </w:r>
      <w:bookmarkEnd w:id="1"/>
    </w:p>
    <w:p w14:paraId="4A031819" w14:textId="77777777" w:rsidP="00F0735C" w:rsidR="00F0735C" w:rsidRDefault="00F0735C">
      <w:pPr>
        <w:ind w:hanging="360" w:left="360"/>
        <w:rPr>
          <w:rFonts w:ascii="Arial" w:hAnsi="Arial"/>
          <w:b/>
          <w:bCs/>
        </w:rPr>
      </w:pPr>
    </w:p>
    <w:p w14:paraId="73C06393" w14:textId="77777777" w:rsidP="00F0735C" w:rsidR="00F0735C" w:rsidRDefault="00F0735C">
      <w:pPr>
        <w:jc w:val="center"/>
        <w:rPr>
          <w:rFonts w:ascii="Arial" w:cs="Arial" w:hAnsi="Arial"/>
          <w:b/>
          <w:i/>
        </w:rPr>
      </w:pPr>
    </w:p>
    <w:p w14:paraId="36B8FF34" w14:textId="77777777" w:rsidP="00F0735C" w:rsidR="00F0735C" w:rsidRDefault="00F0735C" w:rsidRPr="00C01531">
      <w:pPr>
        <w:jc w:val="center"/>
        <w:rPr>
          <w:rFonts w:ascii="Arial" w:cs="Arial" w:hAnsi="Arial"/>
          <w:b/>
          <w:i/>
        </w:rPr>
      </w:pPr>
    </w:p>
    <w:p w14:paraId="72235105" w14:textId="7910985D" w:rsidP="00BB593E" w:rsidR="00F0735C" w:rsidRDefault="00F0735C" w:rsidRPr="00C01531">
      <w:pPr>
        <w:pStyle w:val="Titre20"/>
      </w:pPr>
      <w:bookmarkStart w:id="2" w:name="_Toc95844433"/>
      <w:r>
        <w:t>Article 1</w:t>
      </w:r>
      <w:r w:rsidR="00B22C49">
        <w:t>.1</w:t>
      </w:r>
      <w:r>
        <w:t xml:space="preserve"> - </w:t>
      </w:r>
      <w:r w:rsidRPr="00C01531">
        <w:t>PREAMBULE- RAPPEL</w:t>
      </w:r>
      <w:bookmarkEnd w:id="2"/>
    </w:p>
    <w:p w14:paraId="4FE81292" w14:textId="77777777" w:rsidP="00F0735C" w:rsidR="00F0735C" w:rsidRDefault="00F0735C" w:rsidRPr="00C01531">
      <w:pPr>
        <w:jc w:val="both"/>
        <w:rPr>
          <w:rFonts w:ascii="Arial" w:cs="Arial" w:hAnsi="Arial"/>
          <w:color w:val="000000"/>
          <w:sz w:val="22"/>
        </w:rPr>
      </w:pPr>
    </w:p>
    <w:p w14:paraId="151D384B" w14:textId="77777777" w:rsidP="00F0735C" w:rsidR="00F0735C" w:rsidRDefault="00F0735C" w:rsidRPr="00C01531">
      <w:pPr>
        <w:jc w:val="both"/>
        <w:rPr>
          <w:rFonts w:ascii="Arial" w:cs="Arial" w:hAnsi="Arial"/>
          <w:color w:val="000000"/>
          <w:sz w:val="22"/>
        </w:rPr>
      </w:pPr>
      <w:r w:rsidRPr="00C01531">
        <w:rPr>
          <w:rFonts w:ascii="Arial" w:cs="Arial" w:hAnsi="Arial"/>
          <w:color w:val="000000"/>
          <w:sz w:val="22"/>
        </w:rPr>
        <w:t xml:space="preserve">Le système de décompte des congés payés en jours ouvrés est maintenu : 5 semaines X 5 jours = 25 </w:t>
      </w:r>
    </w:p>
    <w:p w14:paraId="1D055324" w14:textId="77777777" w:rsidP="00F0735C" w:rsidR="00F0735C" w:rsidRDefault="00F0735C" w:rsidRPr="00C01531">
      <w:pPr>
        <w:rPr>
          <w:rFonts w:ascii="Arial" w:cs="Arial" w:hAnsi="Arial"/>
          <w:color w:val="000000"/>
        </w:rPr>
      </w:pPr>
    </w:p>
    <w:p w14:paraId="705340E6" w14:textId="77777777" w:rsidP="00F0735C" w:rsidR="00F0735C" w:rsidRDefault="00F0735C" w:rsidRPr="00C01531">
      <w:pPr>
        <w:rPr>
          <w:rFonts w:ascii="Arial" w:cs="Arial" w:hAnsi="Arial"/>
          <w:color w:val="000000"/>
        </w:rPr>
      </w:pPr>
    </w:p>
    <w:p w14:paraId="44EDB9EE" w14:textId="29F703C2" w:rsidP="00BB593E" w:rsidR="00F0735C" w:rsidRDefault="00F0735C" w:rsidRPr="00C01531">
      <w:pPr>
        <w:pStyle w:val="Titre20"/>
      </w:pPr>
      <w:bookmarkStart w:id="3" w:name="_Toc95844434"/>
      <w:r>
        <w:t xml:space="preserve">Article </w:t>
      </w:r>
      <w:r w:rsidR="00B22C49">
        <w:t>1.2</w:t>
      </w:r>
      <w:r>
        <w:t xml:space="preserve"> - </w:t>
      </w:r>
      <w:r w:rsidRPr="00C01531">
        <w:t>NOMBRE DE JRTT</w:t>
      </w:r>
      <w:bookmarkEnd w:id="3"/>
    </w:p>
    <w:p w14:paraId="6F02BB65" w14:textId="77777777" w:rsidP="00F0735C" w:rsidR="00F0735C" w:rsidRDefault="00F0735C" w:rsidRPr="00C01531">
      <w:pPr>
        <w:jc w:val="both"/>
        <w:rPr>
          <w:rFonts w:ascii="Arial" w:cs="Arial" w:hAnsi="Arial"/>
          <w:b/>
          <w:bCs/>
          <w:color w:val="000000"/>
          <w:sz w:val="22"/>
        </w:rPr>
      </w:pPr>
    </w:p>
    <w:p w14:paraId="56DC0D06" w14:textId="19AEBAA5" w:rsidP="00F0735C" w:rsidR="00F0735C" w:rsidRDefault="00F0735C" w:rsidRPr="00C01531">
      <w:pPr>
        <w:jc w:val="both"/>
        <w:rPr>
          <w:rFonts w:ascii="Arial" w:cs="Arial" w:hAnsi="Arial"/>
          <w:bCs/>
          <w:color w:val="000000"/>
          <w:sz w:val="22"/>
        </w:rPr>
      </w:pPr>
      <w:r w:rsidRPr="00C01531">
        <w:rPr>
          <w:rFonts w:ascii="Arial" w:cs="Arial" w:hAnsi="Arial"/>
          <w:bCs/>
          <w:color w:val="000000"/>
          <w:sz w:val="22"/>
        </w:rPr>
        <w:t xml:space="preserve">L’année </w:t>
      </w:r>
      <w:r>
        <w:rPr>
          <w:rFonts w:ascii="Arial" w:cs="Arial" w:hAnsi="Arial"/>
          <w:bCs/>
          <w:color w:val="000000"/>
          <w:sz w:val="22"/>
        </w:rPr>
        <w:t>202</w:t>
      </w:r>
      <w:r w:rsidR="001E3522">
        <w:rPr>
          <w:rFonts w:ascii="Arial" w:cs="Arial" w:hAnsi="Arial"/>
          <w:bCs/>
          <w:color w:val="000000"/>
          <w:sz w:val="22"/>
        </w:rPr>
        <w:t>2</w:t>
      </w:r>
      <w:r w:rsidRPr="00C01531">
        <w:rPr>
          <w:rFonts w:ascii="Arial" w:cs="Arial" w:hAnsi="Arial"/>
          <w:bCs/>
          <w:color w:val="000000"/>
          <w:sz w:val="22"/>
        </w:rPr>
        <w:t xml:space="preserve"> comp</w:t>
      </w:r>
      <w:r>
        <w:rPr>
          <w:rFonts w:ascii="Arial" w:cs="Arial" w:hAnsi="Arial"/>
          <w:bCs/>
          <w:color w:val="000000"/>
          <w:sz w:val="22"/>
        </w:rPr>
        <w:t>tant 10</w:t>
      </w:r>
      <w:r w:rsidR="001E3522">
        <w:rPr>
          <w:rFonts w:ascii="Arial" w:cs="Arial" w:hAnsi="Arial"/>
          <w:bCs/>
          <w:color w:val="000000"/>
          <w:sz w:val="22"/>
        </w:rPr>
        <w:t>5</w:t>
      </w:r>
      <w:r>
        <w:rPr>
          <w:rFonts w:ascii="Arial" w:cs="Arial" w:hAnsi="Arial"/>
          <w:bCs/>
          <w:color w:val="000000"/>
          <w:sz w:val="22"/>
        </w:rPr>
        <w:t xml:space="preserve"> samedis et dimanches, </w:t>
      </w:r>
      <w:r w:rsidR="001E3522">
        <w:rPr>
          <w:rFonts w:ascii="Arial" w:cs="Arial" w:hAnsi="Arial"/>
          <w:bCs/>
          <w:color w:val="000000"/>
          <w:sz w:val="22"/>
        </w:rPr>
        <w:t>7</w:t>
      </w:r>
      <w:r w:rsidRPr="00C01531">
        <w:rPr>
          <w:rFonts w:ascii="Arial" w:cs="Arial" w:hAnsi="Arial"/>
          <w:bCs/>
          <w:color w:val="000000"/>
          <w:sz w:val="22"/>
        </w:rPr>
        <w:t xml:space="preserve"> jours fériés et 25 jours de congés principaux, le nombre de jo</w:t>
      </w:r>
      <w:r>
        <w:rPr>
          <w:rFonts w:ascii="Arial" w:cs="Arial" w:hAnsi="Arial"/>
          <w:bCs/>
          <w:color w:val="000000"/>
          <w:sz w:val="22"/>
        </w:rPr>
        <w:t>urs ouvrés théoriques est de 22</w:t>
      </w:r>
      <w:r w:rsidR="00B0502F">
        <w:rPr>
          <w:rFonts w:ascii="Arial" w:cs="Arial" w:hAnsi="Arial"/>
          <w:bCs/>
          <w:color w:val="000000"/>
          <w:sz w:val="22"/>
        </w:rPr>
        <w:t>8</w:t>
      </w:r>
      <w:r w:rsidRPr="00C01531">
        <w:rPr>
          <w:rFonts w:ascii="Arial" w:cs="Arial" w:hAnsi="Arial"/>
          <w:bCs/>
          <w:color w:val="000000"/>
          <w:sz w:val="22"/>
        </w:rPr>
        <w:t>.</w:t>
      </w:r>
    </w:p>
    <w:p w14:paraId="52EC786B" w14:textId="77777777" w:rsidP="00F0735C" w:rsidR="00F0735C" w:rsidRDefault="00F0735C" w:rsidRPr="00C01531">
      <w:pPr>
        <w:jc w:val="both"/>
        <w:rPr>
          <w:rFonts w:ascii="Arial" w:cs="Arial" w:hAnsi="Arial"/>
          <w:bCs/>
          <w:color w:val="000000"/>
          <w:sz w:val="22"/>
        </w:rPr>
      </w:pPr>
      <w:r w:rsidRPr="00C01531">
        <w:rPr>
          <w:rFonts w:ascii="Arial" w:cs="Arial" w:hAnsi="Arial"/>
          <w:bCs/>
          <w:color w:val="000000"/>
          <w:sz w:val="22"/>
        </w:rPr>
        <w:t xml:space="preserve">Compte tenu des accords en vigueur et </w:t>
      </w:r>
      <w:r w:rsidRPr="00F049E3">
        <w:rPr>
          <w:rFonts w:ascii="Arial" w:cs="Arial" w:hAnsi="Arial"/>
          <w:b/>
          <w:bCs/>
          <w:color w:val="000000"/>
          <w:sz w:val="22"/>
        </w:rPr>
        <w:t>avant la</w:t>
      </w:r>
      <w:r>
        <w:rPr>
          <w:rFonts w:ascii="Arial" w:cs="Arial" w:hAnsi="Arial"/>
          <w:bCs/>
          <w:color w:val="000000"/>
          <w:sz w:val="22"/>
        </w:rPr>
        <w:t xml:space="preserve"> </w:t>
      </w:r>
      <w:r w:rsidRPr="00F049E3">
        <w:rPr>
          <w:rFonts w:ascii="Arial" w:cs="Arial" w:hAnsi="Arial"/>
          <w:b/>
          <w:bCs/>
          <w:color w:val="000000"/>
          <w:sz w:val="22"/>
        </w:rPr>
        <w:t>déduction de la journée de solidarité</w:t>
      </w:r>
      <w:r w:rsidRPr="00C01531">
        <w:rPr>
          <w:rFonts w:ascii="Arial" w:cs="Arial" w:hAnsi="Arial"/>
          <w:bCs/>
          <w:color w:val="000000"/>
          <w:sz w:val="22"/>
        </w:rPr>
        <w:t xml:space="preserve"> pour les personnels Cadres en forfait annuel en jours, le nombre de JRTT dans l’entreprise est le suivant : </w:t>
      </w:r>
    </w:p>
    <w:p w14:paraId="54D48786" w14:textId="77777777" w:rsidP="00F0735C" w:rsidR="00F0735C" w:rsidRDefault="00F0735C" w:rsidRPr="00C01531">
      <w:pPr>
        <w:jc w:val="both"/>
        <w:rPr>
          <w:rFonts w:ascii="Arial" w:cs="Arial" w:hAnsi="Arial"/>
          <w:b/>
          <w:bCs/>
          <w:color w:val="000000"/>
          <w:sz w:val="22"/>
        </w:rPr>
      </w:pPr>
    </w:p>
    <w:p w14:paraId="785FF3AC" w14:textId="77777777" w:rsidP="00F0735C" w:rsidR="00F0735C" w:rsidRDefault="00F0735C" w:rsidRPr="00C01531">
      <w:pPr>
        <w:jc w:val="both"/>
        <w:rPr>
          <w:rFonts w:ascii="Arial" w:cs="Arial" w:hAnsi="Arial"/>
          <w:bCs/>
          <w:color w:val="000000"/>
          <w:sz w:val="22"/>
        </w:rPr>
      </w:pPr>
      <w:r w:rsidRPr="00C01531">
        <w:rPr>
          <w:rFonts w:ascii="Arial" w:cs="Arial" w:hAnsi="Arial"/>
          <w:bCs/>
          <w:color w:val="000000"/>
          <w:sz w:val="22"/>
        </w:rPr>
        <w:t xml:space="preserve">CADRES </w:t>
      </w:r>
      <w:r>
        <w:rPr>
          <w:rFonts w:ascii="Arial" w:cs="Arial" w:hAnsi="Arial"/>
          <w:bCs/>
          <w:color w:val="000000"/>
          <w:sz w:val="22"/>
        </w:rPr>
        <w:t>LA COURNEUVE</w:t>
      </w:r>
      <w:r w:rsidRPr="00C01531">
        <w:rPr>
          <w:rFonts w:ascii="Arial" w:cs="Arial" w:hAnsi="Arial"/>
          <w:bCs/>
          <w:color w:val="000000"/>
          <w:sz w:val="22"/>
        </w:rPr>
        <w:t> </w:t>
      </w:r>
    </w:p>
    <w:p w14:paraId="1413FF14" w14:textId="77777777" w:rsidP="00F0735C" w:rsidR="00F0735C" w:rsidRDefault="00F0735C" w:rsidRPr="001321A8">
      <w:pPr>
        <w:jc w:val="both"/>
        <w:rPr>
          <w:rFonts w:ascii="Arial" w:cs="Arial" w:hAnsi="Arial"/>
          <w:bCs/>
          <w:color w:val="000000"/>
          <w:sz w:val="22"/>
        </w:rPr>
      </w:pPr>
      <w:r w:rsidRPr="00C01531">
        <w:rPr>
          <w:rFonts w:ascii="Arial" w:cs="Arial" w:hAnsi="Arial"/>
          <w:bCs/>
          <w:color w:val="000000"/>
          <w:sz w:val="22"/>
        </w:rPr>
        <w:tab/>
      </w:r>
      <w:r w:rsidRPr="001321A8">
        <w:rPr>
          <w:rFonts w:ascii="Arial" w:cs="Arial" w:hAnsi="Arial"/>
          <w:bCs/>
          <w:color w:val="000000"/>
          <w:sz w:val="22"/>
        </w:rPr>
        <w:t xml:space="preserve">Ex contrats Messier Bugatti : </w:t>
      </w:r>
      <w:r>
        <w:rPr>
          <w:rFonts w:ascii="Arial" w:cs="Arial" w:hAnsi="Arial"/>
          <w:b/>
          <w:bCs/>
          <w:color w:val="000000"/>
          <w:sz w:val="22"/>
        </w:rPr>
        <w:t>15</w:t>
      </w:r>
      <w:r w:rsidRPr="001321A8">
        <w:rPr>
          <w:rFonts w:ascii="Arial" w:cs="Arial" w:hAnsi="Arial"/>
          <w:bCs/>
          <w:color w:val="000000"/>
          <w:sz w:val="22"/>
        </w:rPr>
        <w:t xml:space="preserve"> JRTT</w:t>
      </w:r>
    </w:p>
    <w:p w14:paraId="5E2D63D4" w14:textId="77777777" w:rsidP="00F0735C" w:rsidR="00F0735C" w:rsidRDefault="00F0735C" w:rsidRPr="001321A8">
      <w:pPr>
        <w:jc w:val="both"/>
        <w:rPr>
          <w:rFonts w:ascii="Arial" w:cs="Arial" w:hAnsi="Arial"/>
          <w:bCs/>
          <w:color w:val="000000"/>
          <w:sz w:val="22"/>
        </w:rPr>
      </w:pPr>
      <w:r w:rsidRPr="001321A8">
        <w:rPr>
          <w:rFonts w:ascii="Arial" w:cs="Arial" w:hAnsi="Arial"/>
          <w:bCs/>
          <w:color w:val="000000"/>
          <w:sz w:val="22"/>
        </w:rPr>
        <w:tab/>
        <w:t xml:space="preserve">Nouveaux contrats </w:t>
      </w:r>
      <w:r>
        <w:rPr>
          <w:rFonts w:ascii="Arial" w:cs="Arial" w:hAnsi="Arial"/>
          <w:bCs/>
          <w:color w:val="000000"/>
          <w:sz w:val="22"/>
        </w:rPr>
        <w:t>SAFRAN ELECTRONICS &amp; DEFENSE ACTUATION</w:t>
      </w:r>
      <w:r w:rsidRPr="001321A8">
        <w:rPr>
          <w:rFonts w:ascii="Arial" w:cs="Arial" w:hAnsi="Arial"/>
          <w:bCs/>
          <w:color w:val="000000"/>
          <w:sz w:val="22"/>
        </w:rPr>
        <w:t xml:space="preserve"> :   </w:t>
      </w:r>
      <w:r>
        <w:rPr>
          <w:rFonts w:ascii="Arial" w:cs="Arial" w:hAnsi="Arial"/>
          <w:b/>
          <w:bCs/>
          <w:color w:val="000000"/>
          <w:sz w:val="22"/>
        </w:rPr>
        <w:t>11</w:t>
      </w:r>
      <w:r w:rsidRPr="001321A8">
        <w:rPr>
          <w:rFonts w:ascii="Arial" w:cs="Arial" w:hAnsi="Arial"/>
          <w:bCs/>
          <w:color w:val="000000"/>
          <w:sz w:val="22"/>
        </w:rPr>
        <w:t xml:space="preserve"> JRTT</w:t>
      </w:r>
    </w:p>
    <w:p w14:paraId="0E5B9363" w14:textId="77777777" w:rsidP="00F0735C" w:rsidR="00F0735C" w:rsidRDefault="00F0735C" w:rsidRPr="001321A8">
      <w:pPr>
        <w:jc w:val="both"/>
        <w:rPr>
          <w:rFonts w:ascii="Arial" w:cs="Arial" w:hAnsi="Arial"/>
          <w:bCs/>
          <w:color w:val="000000"/>
          <w:sz w:val="22"/>
        </w:rPr>
      </w:pPr>
    </w:p>
    <w:p w14:paraId="6A31E87F" w14:textId="77777777" w:rsidP="00F0735C" w:rsidR="00F0735C" w:rsidRDefault="00F0735C" w:rsidRPr="001321A8">
      <w:pPr>
        <w:jc w:val="both"/>
        <w:rPr>
          <w:rFonts w:ascii="Arial" w:cs="Arial" w:hAnsi="Arial"/>
          <w:bCs/>
          <w:color w:val="000000"/>
          <w:sz w:val="22"/>
        </w:rPr>
      </w:pPr>
      <w:r w:rsidRPr="001321A8">
        <w:rPr>
          <w:rFonts w:ascii="Arial" w:cs="Arial" w:hAnsi="Arial"/>
          <w:bCs/>
          <w:color w:val="000000"/>
          <w:sz w:val="22"/>
        </w:rPr>
        <w:t xml:space="preserve">CADRES  AUXERRE : </w:t>
      </w:r>
      <w:r>
        <w:rPr>
          <w:rFonts w:ascii="Arial" w:cs="Arial" w:hAnsi="Arial"/>
          <w:b/>
          <w:bCs/>
          <w:color w:val="000000"/>
          <w:sz w:val="22"/>
        </w:rPr>
        <w:t>11</w:t>
      </w:r>
      <w:r w:rsidRPr="001321A8">
        <w:rPr>
          <w:rFonts w:ascii="Arial" w:cs="Arial" w:hAnsi="Arial"/>
          <w:bCs/>
          <w:color w:val="000000"/>
          <w:sz w:val="22"/>
        </w:rPr>
        <w:t xml:space="preserve"> JRTT</w:t>
      </w:r>
    </w:p>
    <w:p w14:paraId="17B13E6F" w14:textId="77777777" w:rsidP="00F0735C" w:rsidR="00F0735C" w:rsidRDefault="00F0735C" w:rsidRPr="001321A8">
      <w:pPr>
        <w:jc w:val="both"/>
        <w:rPr>
          <w:rFonts w:ascii="Arial" w:cs="Arial" w:hAnsi="Arial"/>
          <w:bCs/>
          <w:color w:val="000000"/>
          <w:sz w:val="22"/>
        </w:rPr>
      </w:pPr>
    </w:p>
    <w:p w14:paraId="05B4EA31" w14:textId="77777777" w:rsidP="00F0735C" w:rsidR="00F0735C" w:rsidRDefault="00F0735C" w:rsidRPr="001321A8">
      <w:pPr>
        <w:jc w:val="both"/>
        <w:rPr>
          <w:rFonts w:ascii="Arial" w:cs="Arial" w:hAnsi="Arial"/>
          <w:bCs/>
          <w:color w:val="000000"/>
          <w:sz w:val="22"/>
        </w:rPr>
      </w:pPr>
      <w:r w:rsidRPr="001321A8">
        <w:rPr>
          <w:rFonts w:ascii="Arial" w:cs="Arial" w:hAnsi="Arial"/>
          <w:bCs/>
          <w:color w:val="000000"/>
          <w:sz w:val="22"/>
        </w:rPr>
        <w:t xml:space="preserve">MENSUELS </w:t>
      </w:r>
      <w:r>
        <w:rPr>
          <w:rFonts w:ascii="Arial" w:cs="Arial" w:hAnsi="Arial"/>
          <w:bCs/>
          <w:color w:val="000000"/>
          <w:sz w:val="22"/>
        </w:rPr>
        <w:t>LA COURNEUVE</w:t>
      </w:r>
      <w:r w:rsidRPr="001321A8">
        <w:rPr>
          <w:rFonts w:ascii="Arial" w:cs="Arial" w:hAnsi="Arial"/>
          <w:bCs/>
          <w:color w:val="000000"/>
          <w:sz w:val="22"/>
        </w:rPr>
        <w:t xml:space="preserve"> (36h payées et 38h pointées) : </w:t>
      </w:r>
      <w:r w:rsidRPr="001321A8">
        <w:rPr>
          <w:rFonts w:ascii="Arial" w:cs="Arial" w:hAnsi="Arial"/>
          <w:b/>
          <w:bCs/>
          <w:color w:val="000000"/>
          <w:sz w:val="22"/>
        </w:rPr>
        <w:t>12</w:t>
      </w:r>
      <w:r w:rsidRPr="001321A8">
        <w:rPr>
          <w:rFonts w:ascii="Arial" w:cs="Arial" w:hAnsi="Arial"/>
          <w:bCs/>
          <w:color w:val="000000"/>
          <w:sz w:val="22"/>
        </w:rPr>
        <w:t xml:space="preserve"> JRTT</w:t>
      </w:r>
    </w:p>
    <w:p w14:paraId="08890051" w14:textId="77777777" w:rsidP="00F0735C" w:rsidR="00F0735C" w:rsidRDefault="00F0735C" w:rsidRPr="001321A8">
      <w:pPr>
        <w:jc w:val="both"/>
        <w:rPr>
          <w:rFonts w:ascii="Arial" w:cs="Arial" w:hAnsi="Arial"/>
          <w:bCs/>
          <w:color w:val="000000"/>
          <w:sz w:val="22"/>
        </w:rPr>
      </w:pPr>
    </w:p>
    <w:p w14:paraId="0ADDE4D7" w14:textId="77777777" w:rsidP="00F0735C" w:rsidR="00F0735C" w:rsidRDefault="00F0735C" w:rsidRPr="001321A8">
      <w:pPr>
        <w:jc w:val="both"/>
        <w:rPr>
          <w:rFonts w:ascii="Arial" w:cs="Arial" w:hAnsi="Arial"/>
          <w:bCs/>
          <w:color w:val="000000"/>
          <w:sz w:val="22"/>
        </w:rPr>
      </w:pPr>
      <w:r w:rsidRPr="001321A8">
        <w:rPr>
          <w:rFonts w:ascii="Arial" w:cs="Arial" w:hAnsi="Arial"/>
          <w:bCs/>
          <w:color w:val="000000"/>
          <w:sz w:val="22"/>
        </w:rPr>
        <w:t xml:space="preserve">MENSUELS (35h payées et 36h pointées) AUXERRE : </w:t>
      </w:r>
      <w:r w:rsidRPr="001321A8">
        <w:rPr>
          <w:rFonts w:ascii="Arial" w:cs="Arial" w:hAnsi="Arial"/>
          <w:b/>
          <w:bCs/>
          <w:color w:val="000000"/>
          <w:sz w:val="22"/>
        </w:rPr>
        <w:t>6</w:t>
      </w:r>
      <w:r w:rsidRPr="001321A8">
        <w:rPr>
          <w:rFonts w:ascii="Arial" w:cs="Arial" w:hAnsi="Arial"/>
          <w:bCs/>
          <w:color w:val="000000"/>
          <w:sz w:val="22"/>
        </w:rPr>
        <w:t xml:space="preserve"> JRTT</w:t>
      </w:r>
    </w:p>
    <w:p w14:paraId="7DA0D588" w14:textId="15A115CF" w:rsidP="00F0735C" w:rsidR="00F0735C" w:rsidRDefault="00F0735C" w:rsidRPr="001321A8">
      <w:pPr>
        <w:jc w:val="both"/>
        <w:rPr>
          <w:rFonts w:ascii="Arial" w:cs="Arial" w:hAnsi="Arial"/>
          <w:bCs/>
          <w:color w:val="000000"/>
          <w:sz w:val="22"/>
        </w:rPr>
      </w:pPr>
      <w:r w:rsidRPr="001321A8">
        <w:rPr>
          <w:rFonts w:ascii="Arial" w:cs="Arial" w:hAnsi="Arial"/>
          <w:bCs/>
          <w:color w:val="000000"/>
          <w:sz w:val="22"/>
        </w:rPr>
        <w:lastRenderedPageBreak/>
        <w:t xml:space="preserve">FORFAITES (38h payées et 39h pointées) </w:t>
      </w:r>
      <w:r>
        <w:rPr>
          <w:rFonts w:ascii="Arial" w:cs="Arial" w:hAnsi="Arial"/>
          <w:bCs/>
          <w:color w:val="000000"/>
          <w:sz w:val="22"/>
        </w:rPr>
        <w:t>LA COURNEUVE</w:t>
      </w:r>
      <w:r w:rsidRPr="001321A8">
        <w:rPr>
          <w:rFonts w:ascii="Arial" w:cs="Arial" w:hAnsi="Arial"/>
          <w:bCs/>
          <w:color w:val="000000"/>
          <w:sz w:val="22"/>
        </w:rPr>
        <w:t xml:space="preserve"> : </w:t>
      </w:r>
      <w:r w:rsidRPr="001321A8">
        <w:rPr>
          <w:rFonts w:ascii="Arial" w:cs="Arial" w:hAnsi="Arial"/>
          <w:b/>
          <w:bCs/>
          <w:color w:val="000000"/>
          <w:sz w:val="22"/>
        </w:rPr>
        <w:t>9</w:t>
      </w:r>
      <w:r w:rsidRPr="001321A8">
        <w:rPr>
          <w:rFonts w:ascii="Arial" w:cs="Arial" w:hAnsi="Arial"/>
          <w:bCs/>
          <w:color w:val="000000"/>
          <w:sz w:val="22"/>
        </w:rPr>
        <w:t xml:space="preserve"> JRTT</w:t>
      </w:r>
    </w:p>
    <w:p w14:paraId="1E2CC2E9" w14:textId="77777777" w:rsidP="00F0735C" w:rsidR="00F0735C" w:rsidRDefault="00F0735C" w:rsidRPr="001321A8">
      <w:pPr>
        <w:jc w:val="both"/>
        <w:rPr>
          <w:rFonts w:ascii="Arial" w:cs="Arial" w:hAnsi="Arial"/>
          <w:bCs/>
          <w:color w:val="000000"/>
          <w:sz w:val="22"/>
        </w:rPr>
      </w:pPr>
    </w:p>
    <w:p w14:paraId="363E2BE7" w14:textId="77777777" w:rsidP="00F0735C" w:rsidR="00F0735C" w:rsidRDefault="00F0735C" w:rsidRPr="00C01531">
      <w:pPr>
        <w:jc w:val="both"/>
        <w:rPr>
          <w:rFonts w:ascii="Arial" w:cs="Arial" w:hAnsi="Arial"/>
          <w:bCs/>
          <w:color w:val="000000"/>
          <w:sz w:val="22"/>
        </w:rPr>
      </w:pPr>
      <w:r w:rsidRPr="001321A8">
        <w:rPr>
          <w:rFonts w:ascii="Arial" w:cs="Arial" w:hAnsi="Arial"/>
          <w:bCs/>
          <w:color w:val="000000"/>
          <w:sz w:val="22"/>
        </w:rPr>
        <w:t xml:space="preserve">FORFAITES ANCIEN PERIMETRE (38h payées et 39h20 pointées) : </w:t>
      </w:r>
      <w:r w:rsidRPr="001321A8">
        <w:rPr>
          <w:rFonts w:ascii="Arial" w:cs="Arial" w:hAnsi="Arial"/>
          <w:b/>
          <w:bCs/>
          <w:color w:val="000000"/>
          <w:sz w:val="22"/>
        </w:rPr>
        <w:t>8</w:t>
      </w:r>
      <w:r w:rsidRPr="001321A8">
        <w:rPr>
          <w:rFonts w:ascii="Arial" w:cs="Arial" w:hAnsi="Arial"/>
          <w:bCs/>
          <w:color w:val="000000"/>
          <w:sz w:val="22"/>
        </w:rPr>
        <w:t xml:space="preserve"> JRTT</w:t>
      </w:r>
    </w:p>
    <w:p w14:paraId="0A270CCC" w14:textId="77777777" w:rsidP="00F0735C" w:rsidR="00F0735C" w:rsidRDefault="00F0735C" w:rsidRPr="00C01531">
      <w:pPr>
        <w:jc w:val="both"/>
        <w:rPr>
          <w:rFonts w:ascii="Arial" w:cs="Arial" w:hAnsi="Arial"/>
          <w:bCs/>
          <w:color w:val="000000"/>
          <w:sz w:val="22"/>
        </w:rPr>
      </w:pPr>
    </w:p>
    <w:p w14:paraId="247BA1BD" w14:textId="77777777" w:rsidP="00F0735C" w:rsidR="00F0735C" w:rsidRDefault="00F0735C">
      <w:pPr>
        <w:jc w:val="both"/>
        <w:rPr>
          <w:rFonts w:ascii="Arial" w:cs="Arial" w:hAnsi="Arial"/>
          <w:bCs/>
          <w:color w:val="000000"/>
          <w:sz w:val="22"/>
        </w:rPr>
      </w:pPr>
      <w:r w:rsidRPr="00C01531">
        <w:rPr>
          <w:rFonts w:ascii="Arial" w:cs="Arial" w:hAnsi="Arial"/>
          <w:bCs/>
          <w:color w:val="000000"/>
          <w:sz w:val="22"/>
        </w:rPr>
        <w:t xml:space="preserve">Les JRTT </w:t>
      </w:r>
      <w:r>
        <w:rPr>
          <w:rFonts w:ascii="Arial" w:cs="Arial" w:hAnsi="Arial"/>
          <w:bCs/>
          <w:color w:val="000000"/>
          <w:sz w:val="22"/>
        </w:rPr>
        <w:t xml:space="preserve">dont la prise est laissée à l’initiative du salarié </w:t>
      </w:r>
      <w:r w:rsidRPr="00C01531">
        <w:rPr>
          <w:rFonts w:ascii="Arial" w:cs="Arial" w:hAnsi="Arial"/>
          <w:bCs/>
          <w:color w:val="000000"/>
          <w:sz w:val="22"/>
        </w:rPr>
        <w:t xml:space="preserve">doivent être soldés pour le personnel non cadre le </w:t>
      </w:r>
      <w:r>
        <w:rPr>
          <w:rFonts w:ascii="Arial" w:cs="Arial" w:hAnsi="Arial"/>
          <w:bCs/>
          <w:color w:val="000000"/>
          <w:sz w:val="22"/>
        </w:rPr>
        <w:t>23</w:t>
      </w:r>
      <w:r w:rsidRPr="00C01531">
        <w:rPr>
          <w:rFonts w:ascii="Arial" w:cs="Arial" w:hAnsi="Arial"/>
          <w:bCs/>
          <w:color w:val="000000"/>
          <w:sz w:val="22"/>
        </w:rPr>
        <w:t xml:space="preserve"> décembre (compte tenu de la fermeture de l’établissement à cette date par la prise des 5 jours de </w:t>
      </w:r>
      <w:r>
        <w:rPr>
          <w:rFonts w:ascii="Arial" w:cs="Arial" w:hAnsi="Arial"/>
          <w:bCs/>
          <w:color w:val="000000"/>
          <w:sz w:val="22"/>
        </w:rPr>
        <w:t xml:space="preserve">la </w:t>
      </w:r>
      <w:r w:rsidRPr="00C01531">
        <w:rPr>
          <w:rFonts w:ascii="Arial" w:cs="Arial" w:hAnsi="Arial"/>
          <w:bCs/>
          <w:color w:val="000000"/>
          <w:sz w:val="22"/>
        </w:rPr>
        <w:t>5</w:t>
      </w:r>
      <w:r w:rsidRPr="00C01531">
        <w:rPr>
          <w:rFonts w:ascii="Arial" w:cs="Arial" w:hAnsi="Arial"/>
          <w:bCs/>
          <w:color w:val="000000"/>
          <w:sz w:val="22"/>
          <w:vertAlign w:val="superscript"/>
        </w:rPr>
        <w:t>ième</w:t>
      </w:r>
      <w:r w:rsidRPr="00C01531">
        <w:rPr>
          <w:rFonts w:ascii="Arial" w:cs="Arial" w:hAnsi="Arial"/>
          <w:bCs/>
          <w:color w:val="000000"/>
          <w:sz w:val="22"/>
        </w:rPr>
        <w:t xml:space="preserve"> semaine de congés payés) sauf cas très exceptionnels (maladie, maternité,…) et dans la limite de trois mois suivant la fin de l’année civile pour l’ensemble du personnel cadre  de la société. </w:t>
      </w:r>
    </w:p>
    <w:p w14:paraId="35F8926C" w14:textId="77777777" w:rsidP="00F0735C" w:rsidR="00F0735C" w:rsidRDefault="00F0735C" w:rsidRPr="00C01531">
      <w:pPr>
        <w:jc w:val="both"/>
        <w:rPr>
          <w:rFonts w:ascii="Arial" w:cs="Arial" w:hAnsi="Arial"/>
          <w:bCs/>
          <w:color w:val="000000"/>
          <w:sz w:val="22"/>
        </w:rPr>
      </w:pPr>
    </w:p>
    <w:p w14:paraId="14FDBC0D" w14:textId="77777777" w:rsidP="00F0735C" w:rsidR="00F0735C" w:rsidRDefault="00F0735C">
      <w:pPr>
        <w:jc w:val="both"/>
        <w:rPr>
          <w:rFonts w:ascii="Arial" w:cs="Arial" w:hAnsi="Arial"/>
          <w:sz w:val="22"/>
        </w:rPr>
      </w:pPr>
      <w:r w:rsidRPr="00614DF6">
        <w:rPr>
          <w:rFonts w:ascii="Arial" w:cs="Arial" w:hAnsi="Arial"/>
          <w:sz w:val="22"/>
        </w:rPr>
        <w:t>Tous les sites devront  assurer une continuité de service pour nos clients en particulier.</w:t>
      </w:r>
    </w:p>
    <w:p w14:paraId="7329B0E9" w14:textId="77777777" w:rsidP="00F0735C" w:rsidR="00BB593E" w:rsidRDefault="00BB593E">
      <w:pPr>
        <w:jc w:val="both"/>
        <w:rPr>
          <w:rFonts w:ascii="Arial" w:cs="Arial" w:hAnsi="Arial"/>
          <w:sz w:val="22"/>
        </w:rPr>
      </w:pPr>
    </w:p>
    <w:p w14:paraId="2174BD67" w14:textId="77777777" w:rsidP="00F0735C" w:rsidR="00BB593E" w:rsidRDefault="00BB593E" w:rsidRPr="00614DF6">
      <w:pPr>
        <w:jc w:val="both"/>
        <w:rPr>
          <w:rFonts w:ascii="Arial" w:cs="Arial" w:hAnsi="Arial"/>
          <w:sz w:val="22"/>
        </w:rPr>
      </w:pPr>
    </w:p>
    <w:p w14:paraId="74C88896" w14:textId="0457FEC0" w:rsidP="00BB593E" w:rsidR="00F0735C" w:rsidRDefault="00F0735C" w:rsidRPr="00C5237B">
      <w:pPr>
        <w:pStyle w:val="Titre20"/>
      </w:pPr>
      <w:bookmarkStart w:id="4" w:name="_Toc95844435"/>
      <w:r>
        <w:t xml:space="preserve">Article </w:t>
      </w:r>
      <w:r w:rsidR="00B22C49">
        <w:t>1.</w:t>
      </w:r>
      <w:r>
        <w:t xml:space="preserve">3 - </w:t>
      </w:r>
      <w:r w:rsidRPr="00C5237B">
        <w:t>FERMETURE DE FIN D’ANNÉE</w:t>
      </w:r>
      <w:bookmarkEnd w:id="4"/>
    </w:p>
    <w:p w14:paraId="4C2CE431" w14:textId="77777777" w:rsidP="00F0735C" w:rsidR="00F0735C" w:rsidRDefault="00F0735C" w:rsidRPr="00C5237B">
      <w:pPr>
        <w:jc w:val="both"/>
        <w:rPr>
          <w:rFonts w:ascii="Arial" w:cs="Arial" w:hAnsi="Arial"/>
          <w:sz w:val="22"/>
        </w:rPr>
      </w:pPr>
    </w:p>
    <w:p w14:paraId="713B15D2" w14:textId="764D4634" w:rsidP="00F0735C" w:rsidR="00F0735C" w:rsidRDefault="00F0735C">
      <w:pPr>
        <w:jc w:val="both"/>
        <w:rPr>
          <w:rFonts w:ascii="Arial" w:cs="Arial" w:hAnsi="Arial"/>
          <w:sz w:val="22"/>
        </w:rPr>
      </w:pPr>
      <w:r w:rsidRPr="00C5237B">
        <w:rPr>
          <w:rFonts w:ascii="Arial" w:cs="Arial" w:hAnsi="Arial"/>
          <w:sz w:val="22"/>
        </w:rPr>
        <w:t xml:space="preserve">Les établissements seront fermés du </w:t>
      </w:r>
      <w:r w:rsidR="00F936DC">
        <w:rPr>
          <w:rFonts w:ascii="Arial" w:cs="Arial" w:hAnsi="Arial"/>
          <w:sz w:val="22"/>
        </w:rPr>
        <w:t>vendre</w:t>
      </w:r>
      <w:r w:rsidRPr="00C77E06">
        <w:rPr>
          <w:rFonts w:ascii="Arial" w:cs="Arial" w:hAnsi="Arial"/>
          <w:sz w:val="22"/>
        </w:rPr>
        <w:t>di 23 décembre 202</w:t>
      </w:r>
      <w:r w:rsidR="00F936DC">
        <w:rPr>
          <w:rFonts w:ascii="Arial" w:cs="Arial" w:hAnsi="Arial"/>
          <w:sz w:val="22"/>
        </w:rPr>
        <w:t>2</w:t>
      </w:r>
      <w:r w:rsidRPr="00C77E06">
        <w:rPr>
          <w:rFonts w:ascii="Arial" w:cs="Arial" w:hAnsi="Arial"/>
          <w:sz w:val="22"/>
        </w:rPr>
        <w:t xml:space="preserve"> </w:t>
      </w:r>
      <w:r w:rsidRPr="00C5237B">
        <w:rPr>
          <w:rFonts w:ascii="Arial" w:cs="Arial" w:hAnsi="Arial"/>
          <w:sz w:val="22"/>
        </w:rPr>
        <w:t xml:space="preserve"> a</w:t>
      </w:r>
      <w:r>
        <w:rPr>
          <w:rFonts w:ascii="Arial" w:cs="Arial" w:hAnsi="Arial"/>
          <w:sz w:val="22"/>
        </w:rPr>
        <w:t>près la journée de travail</w:t>
      </w:r>
      <w:r w:rsidR="00F936DC">
        <w:rPr>
          <w:rFonts w:ascii="Arial" w:cs="Arial" w:hAnsi="Arial"/>
          <w:sz w:val="22"/>
        </w:rPr>
        <w:t xml:space="preserve"> </w:t>
      </w:r>
      <w:r w:rsidRPr="00C5237B">
        <w:rPr>
          <w:rFonts w:ascii="Arial" w:cs="Arial" w:hAnsi="Arial"/>
          <w:sz w:val="22"/>
        </w:rPr>
        <w:t xml:space="preserve">au  </w:t>
      </w:r>
      <w:r w:rsidRPr="00C77E06">
        <w:rPr>
          <w:rFonts w:ascii="Arial" w:cs="Arial" w:hAnsi="Arial"/>
          <w:sz w:val="22"/>
        </w:rPr>
        <w:t>lundi 0</w:t>
      </w:r>
      <w:r w:rsidR="00F936DC">
        <w:rPr>
          <w:rFonts w:ascii="Arial" w:cs="Arial" w:hAnsi="Arial"/>
          <w:sz w:val="22"/>
        </w:rPr>
        <w:t>2 janvier 2023</w:t>
      </w:r>
      <w:r w:rsidRPr="00C77E06">
        <w:rPr>
          <w:rFonts w:ascii="Arial" w:cs="Arial" w:hAnsi="Arial"/>
          <w:sz w:val="22"/>
        </w:rPr>
        <w:t xml:space="preserve"> </w:t>
      </w:r>
      <w:r>
        <w:rPr>
          <w:rFonts w:ascii="Arial" w:cs="Arial" w:hAnsi="Arial"/>
          <w:sz w:val="22"/>
        </w:rPr>
        <w:t xml:space="preserve"> </w:t>
      </w:r>
      <w:r w:rsidRPr="00C5237B">
        <w:rPr>
          <w:rFonts w:ascii="Arial" w:cs="Arial" w:hAnsi="Arial"/>
          <w:sz w:val="22"/>
        </w:rPr>
        <w:t xml:space="preserve">au matin (soit </w:t>
      </w:r>
      <w:r>
        <w:rPr>
          <w:rFonts w:ascii="Arial" w:cs="Arial" w:hAnsi="Arial"/>
          <w:sz w:val="22"/>
        </w:rPr>
        <w:t>5</w:t>
      </w:r>
      <w:r w:rsidRPr="00C5237B">
        <w:rPr>
          <w:rFonts w:ascii="Arial" w:cs="Arial" w:hAnsi="Arial"/>
          <w:sz w:val="22"/>
        </w:rPr>
        <w:t xml:space="preserve"> jours ouvrés).</w:t>
      </w:r>
    </w:p>
    <w:p w14:paraId="08DACDED" w14:textId="77777777" w:rsidP="00F0735C" w:rsidR="006E0C0A" w:rsidRDefault="006E0C0A" w:rsidRPr="00C5237B">
      <w:pPr>
        <w:jc w:val="both"/>
        <w:rPr>
          <w:rFonts w:ascii="Arial" w:cs="Arial" w:hAnsi="Arial"/>
          <w:sz w:val="22"/>
        </w:rPr>
      </w:pPr>
    </w:p>
    <w:p w14:paraId="02C11A52" w14:textId="46D8E5FC" w:rsidP="00F0735C" w:rsidR="00F0735C" w:rsidRDefault="00F0735C" w:rsidRPr="00C5237B">
      <w:pPr>
        <w:jc w:val="both"/>
        <w:rPr>
          <w:rFonts w:ascii="Arial" w:cs="Arial" w:hAnsi="Arial"/>
          <w:sz w:val="22"/>
        </w:rPr>
      </w:pPr>
      <w:r w:rsidRPr="00C5237B">
        <w:rPr>
          <w:rFonts w:ascii="Arial" w:cs="Arial" w:hAnsi="Arial"/>
          <w:sz w:val="22"/>
        </w:rPr>
        <w:t>Cette fermeture de fin d’année s’effectuera par la prise de la 5</w:t>
      </w:r>
      <w:r w:rsidRPr="00C5237B">
        <w:rPr>
          <w:rFonts w:ascii="Arial" w:cs="Arial" w:hAnsi="Arial"/>
          <w:sz w:val="22"/>
          <w:vertAlign w:val="superscript"/>
        </w:rPr>
        <w:t>ème</w:t>
      </w:r>
      <w:r w:rsidRPr="00C5237B">
        <w:rPr>
          <w:rFonts w:ascii="Arial" w:cs="Arial" w:hAnsi="Arial"/>
          <w:sz w:val="22"/>
        </w:rPr>
        <w:t xml:space="preserve"> semaine de congés payés</w:t>
      </w:r>
      <w:r>
        <w:rPr>
          <w:rFonts w:ascii="Arial" w:cs="Arial" w:hAnsi="Arial"/>
          <w:sz w:val="22"/>
        </w:rPr>
        <w:t xml:space="preserve">, excepté pour les personnels des services suivants qui seront maintenus en activité </w:t>
      </w:r>
      <w:r w:rsidR="00B231C9">
        <w:rPr>
          <w:rFonts w:ascii="Arial" w:cs="Arial" w:hAnsi="Arial"/>
          <w:sz w:val="22"/>
        </w:rPr>
        <w:t xml:space="preserve">sur le site d’Auxerre </w:t>
      </w:r>
      <w:r>
        <w:rPr>
          <w:rFonts w:ascii="Arial" w:cs="Arial" w:hAnsi="Arial"/>
          <w:sz w:val="22"/>
        </w:rPr>
        <w:t>durant cette période : Services Généraux, Direction Administrative et Financière incluant le Service informatique</w:t>
      </w:r>
      <w:r w:rsidRPr="00C5237B">
        <w:rPr>
          <w:rFonts w:ascii="Arial" w:cs="Arial" w:hAnsi="Arial"/>
          <w:sz w:val="22"/>
        </w:rPr>
        <w:t>.</w:t>
      </w:r>
    </w:p>
    <w:p w14:paraId="451B672C" w14:textId="77777777" w:rsidP="00F0735C" w:rsidR="00F0735C" w:rsidRDefault="00F0735C">
      <w:pPr>
        <w:rPr>
          <w:rFonts w:ascii="Arial" w:cs="Arial" w:hAnsi="Arial"/>
          <w:b/>
          <w:sz w:val="22"/>
          <w:u w:val="single"/>
        </w:rPr>
      </w:pPr>
    </w:p>
    <w:p w14:paraId="4751E358" w14:textId="77777777" w:rsidP="00F0735C" w:rsidR="00F0735C" w:rsidRDefault="00F0735C">
      <w:pPr>
        <w:rPr>
          <w:rFonts w:ascii="Arial" w:cs="Arial" w:hAnsi="Arial"/>
          <w:b/>
          <w:sz w:val="22"/>
          <w:u w:val="single"/>
        </w:rPr>
      </w:pPr>
    </w:p>
    <w:p w14:paraId="2B8B8814" w14:textId="3ED4B3FD" w:rsidP="00BB593E" w:rsidR="00F0735C" w:rsidRDefault="00F0735C" w:rsidRPr="00C5237B">
      <w:pPr>
        <w:pStyle w:val="Titre20"/>
      </w:pPr>
      <w:bookmarkStart w:id="5" w:name="_Toc95844436"/>
      <w:r>
        <w:t xml:space="preserve">Article </w:t>
      </w:r>
      <w:r w:rsidR="00B22C49">
        <w:t>1.</w:t>
      </w:r>
      <w:r>
        <w:t xml:space="preserve">4 - </w:t>
      </w:r>
      <w:r w:rsidRPr="00C5237B">
        <w:t>LUNDI DE PENTECÔTE et JOURNÉE « DITE DE SOLIDARITÉ »</w:t>
      </w:r>
      <w:bookmarkEnd w:id="5"/>
    </w:p>
    <w:p w14:paraId="22F02A54" w14:textId="77777777" w:rsidP="00F0735C" w:rsidR="00F0735C" w:rsidRDefault="00F0735C" w:rsidRPr="00C5237B">
      <w:pPr>
        <w:jc w:val="both"/>
        <w:rPr>
          <w:rFonts w:ascii="Arial" w:cs="Arial" w:hAnsi="Arial"/>
          <w:sz w:val="22"/>
        </w:rPr>
      </w:pPr>
    </w:p>
    <w:p w14:paraId="7294A1CB" w14:textId="60577C07" w:rsidP="00F0735C" w:rsidR="00F0735C" w:rsidRDefault="00F0735C">
      <w:pPr>
        <w:jc w:val="both"/>
        <w:rPr>
          <w:rFonts w:ascii="Arial" w:cs="Arial" w:hAnsi="Arial"/>
          <w:sz w:val="22"/>
        </w:rPr>
      </w:pPr>
      <w:r w:rsidRPr="00C5237B">
        <w:rPr>
          <w:rFonts w:ascii="Arial" w:cs="Arial" w:hAnsi="Arial"/>
          <w:sz w:val="22"/>
        </w:rPr>
        <w:t>L</w:t>
      </w:r>
      <w:r>
        <w:rPr>
          <w:rFonts w:ascii="Arial" w:cs="Arial" w:hAnsi="Arial"/>
          <w:sz w:val="22"/>
        </w:rPr>
        <w:t xml:space="preserve">a société sera fermée le lundi </w:t>
      </w:r>
      <w:r w:rsidR="00F936DC">
        <w:rPr>
          <w:rFonts w:ascii="Arial" w:cs="Arial" w:hAnsi="Arial"/>
          <w:sz w:val="22"/>
        </w:rPr>
        <w:t>06</w:t>
      </w:r>
      <w:r>
        <w:rPr>
          <w:rFonts w:ascii="Arial" w:cs="Arial" w:hAnsi="Arial"/>
          <w:sz w:val="22"/>
        </w:rPr>
        <w:t xml:space="preserve"> juin 202</w:t>
      </w:r>
      <w:r w:rsidR="00F936DC">
        <w:rPr>
          <w:rFonts w:ascii="Arial" w:cs="Arial" w:hAnsi="Arial"/>
          <w:sz w:val="22"/>
        </w:rPr>
        <w:t>2</w:t>
      </w:r>
      <w:r>
        <w:rPr>
          <w:rFonts w:ascii="Arial" w:cs="Arial" w:hAnsi="Arial"/>
          <w:sz w:val="22"/>
        </w:rPr>
        <w:t> :</w:t>
      </w:r>
      <w:r w:rsidRPr="00C5237B">
        <w:rPr>
          <w:rFonts w:ascii="Arial" w:cs="Arial" w:hAnsi="Arial"/>
          <w:sz w:val="22"/>
        </w:rPr>
        <w:t xml:space="preserve"> 1 JRTT sera imputé à l’ensemble du personnel pour cette  journée de solidarité.</w:t>
      </w:r>
    </w:p>
    <w:p w14:paraId="4B0FDB50" w14:textId="77777777" w:rsidP="00F0735C" w:rsidR="00F0735C" w:rsidRDefault="00F0735C">
      <w:pPr>
        <w:jc w:val="both"/>
        <w:rPr>
          <w:rFonts w:ascii="Arial" w:cs="Arial" w:hAnsi="Arial"/>
          <w:sz w:val="22"/>
        </w:rPr>
      </w:pPr>
    </w:p>
    <w:p w14:paraId="3A5D5B90" w14:textId="77777777" w:rsidP="00F0735C" w:rsidR="00F0735C" w:rsidRDefault="00F0735C" w:rsidRPr="00C5237B">
      <w:pPr>
        <w:jc w:val="both"/>
        <w:rPr>
          <w:rFonts w:ascii="Arial" w:cs="Arial" w:hAnsi="Arial"/>
          <w:sz w:val="22"/>
        </w:rPr>
      </w:pPr>
    </w:p>
    <w:p w14:paraId="2A8E7270" w14:textId="0109B925" w:rsidP="00BB593E" w:rsidR="00F0735C" w:rsidRDefault="00F0735C" w:rsidRPr="00C5237B">
      <w:pPr>
        <w:pStyle w:val="Titre20"/>
      </w:pPr>
      <w:bookmarkStart w:id="6" w:name="_Toc95844437"/>
      <w:r>
        <w:t xml:space="preserve">Article </w:t>
      </w:r>
      <w:r w:rsidR="00B22C49">
        <w:t>1.</w:t>
      </w:r>
      <w:r>
        <w:t xml:space="preserve">5 - </w:t>
      </w:r>
      <w:r w:rsidRPr="00C5237B">
        <w:t>JOURS DE CP ET CA</w:t>
      </w:r>
      <w:bookmarkEnd w:id="6"/>
    </w:p>
    <w:p w14:paraId="35C90556" w14:textId="77777777" w:rsidP="00F0735C" w:rsidR="00F0735C" w:rsidRDefault="00F0735C" w:rsidRPr="00C5237B">
      <w:pPr>
        <w:jc w:val="both"/>
        <w:rPr>
          <w:rFonts w:ascii="Arial" w:cs="Arial" w:hAnsi="Arial"/>
          <w:sz w:val="22"/>
        </w:rPr>
      </w:pPr>
    </w:p>
    <w:p w14:paraId="7BDE7520" w14:textId="2FA5B69F" w:rsidP="00F0735C" w:rsidR="00F0735C" w:rsidRDefault="00F0735C">
      <w:pPr>
        <w:jc w:val="both"/>
        <w:rPr>
          <w:rFonts w:ascii="Arial" w:cs="Arial" w:hAnsi="Arial"/>
          <w:sz w:val="22"/>
        </w:rPr>
      </w:pPr>
      <w:r w:rsidRPr="00C5237B">
        <w:rPr>
          <w:rFonts w:ascii="Arial" w:cs="Arial" w:hAnsi="Arial"/>
          <w:sz w:val="22"/>
        </w:rPr>
        <w:t>La période de prise de congés payés, en application des accords de réduction du temps de travail, est du 1er</w:t>
      </w:r>
      <w:r w:rsidRPr="00C5237B">
        <w:rPr>
          <w:rFonts w:ascii="Arial" w:cs="Arial" w:hAnsi="Arial"/>
          <w:sz w:val="22"/>
          <w:vertAlign w:val="superscript"/>
        </w:rPr>
        <w:t xml:space="preserve"> </w:t>
      </w:r>
      <w:r>
        <w:rPr>
          <w:rFonts w:ascii="Arial" w:cs="Arial" w:hAnsi="Arial"/>
          <w:sz w:val="22"/>
        </w:rPr>
        <w:t>mai 202</w:t>
      </w:r>
      <w:r w:rsidR="00F936DC">
        <w:rPr>
          <w:rFonts w:ascii="Arial" w:cs="Arial" w:hAnsi="Arial"/>
          <w:sz w:val="22"/>
        </w:rPr>
        <w:t>2</w:t>
      </w:r>
      <w:r>
        <w:rPr>
          <w:rFonts w:ascii="Arial" w:cs="Arial" w:hAnsi="Arial"/>
          <w:sz w:val="22"/>
        </w:rPr>
        <w:t xml:space="preserve"> au 30 avril 202</w:t>
      </w:r>
      <w:r w:rsidR="00F936DC">
        <w:rPr>
          <w:rFonts w:ascii="Arial" w:cs="Arial" w:hAnsi="Arial"/>
          <w:sz w:val="22"/>
        </w:rPr>
        <w:t>3</w:t>
      </w:r>
      <w:r>
        <w:rPr>
          <w:rFonts w:ascii="Arial" w:cs="Arial" w:hAnsi="Arial"/>
          <w:sz w:val="22"/>
        </w:rPr>
        <w:t xml:space="preserve"> pour le personnel </w:t>
      </w:r>
      <w:r w:rsidR="00F936DC">
        <w:rPr>
          <w:rFonts w:ascii="Arial" w:cs="Arial" w:hAnsi="Arial"/>
          <w:sz w:val="22"/>
        </w:rPr>
        <w:t>N</w:t>
      </w:r>
      <w:r>
        <w:rPr>
          <w:rFonts w:ascii="Arial" w:cs="Arial" w:hAnsi="Arial"/>
          <w:sz w:val="22"/>
        </w:rPr>
        <w:t xml:space="preserve">on </w:t>
      </w:r>
      <w:r w:rsidR="00F936DC">
        <w:rPr>
          <w:rFonts w:ascii="Arial" w:cs="Arial" w:hAnsi="Arial"/>
          <w:sz w:val="22"/>
        </w:rPr>
        <w:t>C</w:t>
      </w:r>
      <w:r>
        <w:rPr>
          <w:rFonts w:ascii="Arial" w:cs="Arial" w:hAnsi="Arial"/>
          <w:sz w:val="22"/>
        </w:rPr>
        <w:t>adre</w:t>
      </w:r>
      <w:r w:rsidRPr="00C5237B">
        <w:rPr>
          <w:rFonts w:ascii="Arial" w:cs="Arial" w:hAnsi="Arial"/>
          <w:sz w:val="22"/>
        </w:rPr>
        <w:t xml:space="preserve"> (CC article 15) ; au 31 mai </w:t>
      </w:r>
      <w:r>
        <w:rPr>
          <w:rFonts w:ascii="Arial" w:cs="Arial" w:hAnsi="Arial"/>
          <w:sz w:val="22"/>
        </w:rPr>
        <w:t>202</w:t>
      </w:r>
      <w:r w:rsidR="00F936DC">
        <w:rPr>
          <w:rFonts w:ascii="Arial" w:cs="Arial" w:hAnsi="Arial"/>
          <w:sz w:val="22"/>
        </w:rPr>
        <w:t>3  pour le personnel cadre (CC C</w:t>
      </w:r>
      <w:r w:rsidRPr="00C5237B">
        <w:rPr>
          <w:rFonts w:ascii="Arial" w:cs="Arial" w:hAnsi="Arial"/>
          <w:sz w:val="22"/>
        </w:rPr>
        <w:t>adres article 14).</w:t>
      </w:r>
    </w:p>
    <w:p w14:paraId="2040585E" w14:textId="77777777" w:rsidP="00F0735C" w:rsidR="00F0735C" w:rsidRDefault="00F0735C" w:rsidRPr="00C5237B">
      <w:pPr>
        <w:jc w:val="both"/>
        <w:rPr>
          <w:rFonts w:ascii="Arial" w:cs="Arial" w:hAnsi="Arial"/>
          <w:sz w:val="22"/>
        </w:rPr>
      </w:pPr>
    </w:p>
    <w:p w14:paraId="5F8ADED8" w14:textId="71A7BAEE" w:rsidP="00F0735C" w:rsidR="00F0735C" w:rsidRDefault="00F0735C" w:rsidRPr="00614DF6">
      <w:pPr>
        <w:jc w:val="both"/>
        <w:rPr>
          <w:rFonts w:ascii="Arial" w:cs="Arial" w:hAnsi="Arial"/>
          <w:sz w:val="22"/>
        </w:rPr>
      </w:pPr>
      <w:r w:rsidRPr="00614DF6">
        <w:rPr>
          <w:rFonts w:ascii="Arial" w:cs="Arial" w:hAnsi="Arial"/>
          <w:sz w:val="22"/>
        </w:rPr>
        <w:t>Il est laissé libre au personnel la prise de la 4</w:t>
      </w:r>
      <w:r w:rsidRPr="00614DF6">
        <w:rPr>
          <w:rFonts w:ascii="Arial" w:cs="Arial" w:hAnsi="Arial"/>
          <w:sz w:val="22"/>
          <w:vertAlign w:val="superscript"/>
        </w:rPr>
        <w:t>ième</w:t>
      </w:r>
      <w:r w:rsidRPr="00614DF6">
        <w:rPr>
          <w:rFonts w:ascii="Arial" w:cs="Arial" w:hAnsi="Arial"/>
          <w:sz w:val="22"/>
        </w:rPr>
        <w:t xml:space="preserve"> semaine de congés, qui devra </w:t>
      </w:r>
      <w:r w:rsidR="009670E0">
        <w:rPr>
          <w:rFonts w:ascii="Arial" w:cs="Arial" w:hAnsi="Arial"/>
          <w:sz w:val="22"/>
        </w:rPr>
        <w:t>avoir été soldée</w:t>
      </w:r>
      <w:r w:rsidRPr="00614DF6">
        <w:rPr>
          <w:rFonts w:ascii="Arial" w:cs="Arial" w:hAnsi="Arial"/>
          <w:sz w:val="22"/>
        </w:rPr>
        <w:t xml:space="preserve"> avant </w:t>
      </w:r>
      <w:r>
        <w:rPr>
          <w:rFonts w:ascii="Arial" w:cs="Arial" w:hAnsi="Arial"/>
          <w:sz w:val="22"/>
        </w:rPr>
        <w:t>la fin de la période de prise des congés payés (cf. paragraphe ci-dessus).</w:t>
      </w:r>
    </w:p>
    <w:p w14:paraId="6D93F65B" w14:textId="77777777" w:rsidP="00F0735C" w:rsidR="00F0735C" w:rsidRDefault="00F0735C" w:rsidRPr="00C5237B">
      <w:pPr>
        <w:jc w:val="both"/>
        <w:rPr>
          <w:rFonts w:ascii="Arial" w:cs="Arial" w:hAnsi="Arial"/>
          <w:sz w:val="22"/>
        </w:rPr>
      </w:pPr>
    </w:p>
    <w:p w14:paraId="605F04DB" w14:textId="0AF9642F" w:rsidP="00F0735C" w:rsidR="00F0735C" w:rsidRDefault="00F0735C" w:rsidRPr="00C5237B">
      <w:pPr>
        <w:jc w:val="both"/>
        <w:rPr>
          <w:rFonts w:ascii="Arial" w:cs="Arial" w:hAnsi="Arial"/>
          <w:sz w:val="22"/>
        </w:rPr>
      </w:pPr>
      <w:r w:rsidRPr="00C5237B">
        <w:rPr>
          <w:rFonts w:ascii="Arial" w:cs="Arial" w:hAnsi="Arial"/>
          <w:sz w:val="22"/>
        </w:rPr>
        <w:t xml:space="preserve">Les CA devront être soldés avant le 31 mai </w:t>
      </w:r>
      <w:r>
        <w:rPr>
          <w:rFonts w:ascii="Arial" w:cs="Arial" w:hAnsi="Arial"/>
          <w:sz w:val="22"/>
        </w:rPr>
        <w:t>202</w:t>
      </w:r>
      <w:r w:rsidR="009670E0">
        <w:rPr>
          <w:rFonts w:ascii="Arial" w:cs="Arial" w:hAnsi="Arial"/>
          <w:sz w:val="22"/>
        </w:rPr>
        <w:t>3</w:t>
      </w:r>
      <w:r w:rsidRPr="00C5237B">
        <w:rPr>
          <w:rFonts w:ascii="Arial" w:cs="Arial" w:hAnsi="Arial"/>
          <w:sz w:val="22"/>
        </w:rPr>
        <w:t>.</w:t>
      </w:r>
    </w:p>
    <w:p w14:paraId="384A32E1" w14:textId="77777777" w:rsidP="00F0735C" w:rsidR="00F0735C" w:rsidRDefault="00F0735C" w:rsidRPr="00C5237B">
      <w:pPr>
        <w:rPr>
          <w:rFonts w:ascii="Arial" w:cs="Arial" w:hAnsi="Arial"/>
          <w:sz w:val="22"/>
        </w:rPr>
      </w:pPr>
    </w:p>
    <w:p w14:paraId="118EBC1B" w14:textId="77777777" w:rsidP="00F0735C" w:rsidR="00F0735C" w:rsidRDefault="00F0735C" w:rsidRPr="00C5237B">
      <w:pPr>
        <w:jc w:val="both"/>
        <w:rPr>
          <w:rFonts w:ascii="Arial" w:cs="Arial" w:hAnsi="Arial"/>
          <w:sz w:val="22"/>
        </w:rPr>
      </w:pPr>
      <w:r w:rsidRPr="00C5237B">
        <w:rPr>
          <w:rFonts w:ascii="Arial" w:cs="Arial" w:hAnsi="Arial"/>
          <w:sz w:val="22"/>
        </w:rPr>
        <w:t>Les salariés n’ayant pas acquis de droits à congé payé feront individuellement l’objet d’un examen spécifique au niveau de la Direction des Ressources Humaines, en vue de rechercher avec l’intéressé la solution la mieux appropriée à sa situation.</w:t>
      </w:r>
    </w:p>
    <w:p w14:paraId="2BD30D89" w14:textId="77777777" w:rsidP="00F0735C" w:rsidR="00F0735C" w:rsidRDefault="00F0735C">
      <w:pPr>
        <w:rPr>
          <w:rFonts w:ascii="Arial" w:cs="Arial" w:hAnsi="Arial"/>
          <w:b/>
          <w:sz w:val="22"/>
          <w:u w:val="single"/>
        </w:rPr>
      </w:pPr>
    </w:p>
    <w:p w14:paraId="5ABAFD4F" w14:textId="77777777" w:rsidP="00F0735C" w:rsidR="00F0735C" w:rsidRDefault="00F0735C">
      <w:pPr>
        <w:rPr>
          <w:rFonts w:ascii="Arial" w:cs="Arial" w:hAnsi="Arial"/>
          <w:b/>
          <w:sz w:val="22"/>
          <w:u w:val="single"/>
        </w:rPr>
      </w:pPr>
    </w:p>
    <w:p w14:paraId="5294B6E9" w14:textId="6D1077D0" w:rsidP="00BB593E" w:rsidR="00F0735C" w:rsidRDefault="00F0735C" w:rsidRPr="00C5237B">
      <w:pPr>
        <w:pStyle w:val="Titre20"/>
      </w:pPr>
      <w:bookmarkStart w:id="7" w:name="_Toc95844438"/>
      <w:r>
        <w:t xml:space="preserve">Article </w:t>
      </w:r>
      <w:r w:rsidR="00B22C49">
        <w:t>1.</w:t>
      </w:r>
      <w:r>
        <w:t xml:space="preserve">6 - </w:t>
      </w:r>
      <w:r w:rsidRPr="00C5237B">
        <w:t>SITUATIONS PARTICULIERES</w:t>
      </w:r>
      <w:bookmarkEnd w:id="7"/>
    </w:p>
    <w:p w14:paraId="5FCE5900" w14:textId="77777777" w:rsidP="00F0735C" w:rsidR="006E0C0A" w:rsidRDefault="006E0C0A">
      <w:pPr>
        <w:jc w:val="both"/>
        <w:rPr>
          <w:rFonts w:ascii="Arial" w:cs="Arial" w:hAnsi="Arial"/>
          <w:sz w:val="22"/>
        </w:rPr>
      </w:pPr>
    </w:p>
    <w:p w14:paraId="7DA4215D" w14:textId="77777777" w:rsidP="00F0735C" w:rsidR="00F0735C" w:rsidRDefault="00F0735C" w:rsidRPr="00C5237B">
      <w:pPr>
        <w:jc w:val="both"/>
        <w:rPr>
          <w:rFonts w:ascii="Arial" w:cs="Arial" w:hAnsi="Arial"/>
          <w:sz w:val="22"/>
        </w:rPr>
      </w:pPr>
      <w:r w:rsidRPr="00C5237B">
        <w:rPr>
          <w:rFonts w:ascii="Arial" w:cs="Arial" w:hAnsi="Arial"/>
          <w:sz w:val="22"/>
        </w:rPr>
        <w:t>La Direction examinera au cas par cas les situations exceptionnelles de demande de prise de congés.</w:t>
      </w:r>
    </w:p>
    <w:p w14:paraId="3411E517" w14:textId="490C55BE" w:rsidP="00BB593E" w:rsidR="00F0735C" w:rsidRDefault="00F0735C">
      <w:pPr>
        <w:pStyle w:val="Titre20"/>
      </w:pPr>
      <w:bookmarkStart w:id="8" w:name="_Toc95844439"/>
      <w:r>
        <w:lastRenderedPageBreak/>
        <w:t xml:space="preserve">Article </w:t>
      </w:r>
      <w:r w:rsidR="00B22C49">
        <w:t>1.</w:t>
      </w:r>
      <w:r>
        <w:t xml:space="preserve">7 - </w:t>
      </w:r>
      <w:r w:rsidRPr="001321A8">
        <w:t xml:space="preserve">PONTS </w:t>
      </w:r>
      <w:r>
        <w:t>ET RTT EMPLOYEUR 202</w:t>
      </w:r>
      <w:r w:rsidR="009670E0">
        <w:t>2</w:t>
      </w:r>
      <w:bookmarkEnd w:id="8"/>
    </w:p>
    <w:p w14:paraId="2D8E6345" w14:textId="77777777" w:rsidP="00F0735C" w:rsidR="00F0735C" w:rsidRDefault="00F0735C">
      <w:pPr>
        <w:rPr>
          <w:rFonts w:ascii="Arial" w:cs="Arial" w:hAnsi="Arial"/>
          <w:b/>
          <w:sz w:val="22"/>
          <w:u w:val="single"/>
        </w:rPr>
      </w:pPr>
    </w:p>
    <w:p w14:paraId="3C767A06" w14:textId="0D90B112" w:rsidP="003C5E90" w:rsidR="00F0735C" w:rsidRDefault="00070418">
      <w:pPr>
        <w:rPr>
          <w:rFonts w:ascii="Arial" w:cs="Arial" w:hAnsi="Arial"/>
          <w:sz w:val="22"/>
        </w:rPr>
      </w:pPr>
      <w:r>
        <w:rPr>
          <w:rFonts w:ascii="Arial" w:cs="Arial" w:hAnsi="Arial"/>
          <w:sz w:val="22"/>
        </w:rPr>
        <w:t>Il est prévu la</w:t>
      </w:r>
      <w:r w:rsidR="003C5E90">
        <w:rPr>
          <w:rFonts w:ascii="Arial" w:cs="Arial" w:hAnsi="Arial"/>
          <w:sz w:val="22"/>
        </w:rPr>
        <w:t xml:space="preserve"> fermeture des établissements</w:t>
      </w:r>
      <w:r>
        <w:rPr>
          <w:rFonts w:ascii="Arial" w:cs="Arial" w:hAnsi="Arial"/>
          <w:sz w:val="22"/>
        </w:rPr>
        <w:t xml:space="preserve"> le lundi 31 octobre 2022. </w:t>
      </w:r>
      <w:r w:rsidR="00F0735C">
        <w:rPr>
          <w:rFonts w:ascii="Arial" w:cs="Arial" w:hAnsi="Arial"/>
          <w:sz w:val="22"/>
        </w:rPr>
        <w:t xml:space="preserve"> 1 JRTT </w:t>
      </w:r>
      <w:r>
        <w:rPr>
          <w:rFonts w:ascii="Arial" w:cs="Arial" w:hAnsi="Arial"/>
          <w:sz w:val="22"/>
        </w:rPr>
        <w:t xml:space="preserve">Employeur </w:t>
      </w:r>
      <w:r w:rsidR="00F0735C">
        <w:rPr>
          <w:rFonts w:ascii="Arial" w:cs="Arial" w:hAnsi="Arial"/>
          <w:sz w:val="22"/>
        </w:rPr>
        <w:t xml:space="preserve">sera débité pour </w:t>
      </w:r>
      <w:r w:rsidR="003C5E90">
        <w:rPr>
          <w:rFonts w:ascii="Arial" w:cs="Arial" w:hAnsi="Arial"/>
          <w:sz w:val="22"/>
        </w:rPr>
        <w:t>l’ensemble du personnel.</w:t>
      </w:r>
    </w:p>
    <w:p w14:paraId="28341970" w14:textId="77777777" w:rsidP="00F0735C" w:rsidR="00F0735C" w:rsidRDefault="00F0735C">
      <w:pPr>
        <w:jc w:val="both"/>
        <w:rPr>
          <w:rFonts w:ascii="Arial" w:cs="Arial" w:hAnsi="Arial"/>
          <w:color w:val="000000"/>
          <w:sz w:val="22"/>
        </w:rPr>
      </w:pPr>
    </w:p>
    <w:p w14:paraId="71C0AEAF" w14:textId="4C6AB092" w:rsidP="00F0735C" w:rsidR="00F0735C" w:rsidRDefault="00F0735C">
      <w:pPr>
        <w:rPr>
          <w:rFonts w:ascii="Arial" w:cs="Arial" w:hAnsi="Arial"/>
          <w:sz w:val="22"/>
        </w:rPr>
      </w:pPr>
      <w:r w:rsidRPr="001321A8">
        <w:rPr>
          <w:rFonts w:ascii="Arial" w:cs="Arial" w:hAnsi="Arial"/>
          <w:sz w:val="22"/>
        </w:rPr>
        <w:t>P</w:t>
      </w:r>
      <w:r>
        <w:rPr>
          <w:rFonts w:ascii="Arial" w:cs="Arial" w:hAnsi="Arial"/>
          <w:sz w:val="22"/>
        </w:rPr>
        <w:t xml:space="preserve">our le personnel « ex-Messier » les </w:t>
      </w:r>
      <w:r w:rsidRPr="001321A8">
        <w:rPr>
          <w:rFonts w:ascii="Arial" w:cs="Arial" w:hAnsi="Arial"/>
          <w:sz w:val="22"/>
        </w:rPr>
        <w:t>pont</w:t>
      </w:r>
      <w:r>
        <w:rPr>
          <w:rFonts w:ascii="Arial" w:cs="Arial" w:hAnsi="Arial"/>
          <w:sz w:val="22"/>
        </w:rPr>
        <w:t>s</w:t>
      </w:r>
      <w:r w:rsidRPr="001321A8">
        <w:rPr>
          <w:rFonts w:ascii="Arial" w:cs="Arial" w:hAnsi="Arial"/>
          <w:sz w:val="22"/>
        </w:rPr>
        <w:t xml:space="preserve"> d</w:t>
      </w:r>
      <w:r>
        <w:rPr>
          <w:rFonts w:ascii="Arial" w:cs="Arial" w:hAnsi="Arial"/>
          <w:sz w:val="22"/>
        </w:rPr>
        <w:t>es</w:t>
      </w:r>
      <w:r w:rsidR="003C5E90">
        <w:rPr>
          <w:rFonts w:ascii="Arial" w:cs="Arial" w:hAnsi="Arial"/>
          <w:sz w:val="22"/>
        </w:rPr>
        <w:t xml:space="preserve"> vendredi 27 mai 2022</w:t>
      </w:r>
      <w:r>
        <w:rPr>
          <w:rFonts w:ascii="Arial" w:cs="Arial" w:hAnsi="Arial"/>
          <w:sz w:val="22"/>
        </w:rPr>
        <w:t xml:space="preserve"> et </w:t>
      </w:r>
      <w:r w:rsidR="003C5E90">
        <w:rPr>
          <w:rFonts w:ascii="Arial" w:cs="Arial" w:hAnsi="Arial"/>
          <w:sz w:val="22"/>
        </w:rPr>
        <w:t>vendre</w:t>
      </w:r>
      <w:r>
        <w:rPr>
          <w:rFonts w:ascii="Arial" w:cs="Arial" w:hAnsi="Arial"/>
          <w:sz w:val="22"/>
        </w:rPr>
        <w:t>di 1</w:t>
      </w:r>
      <w:r w:rsidR="003C5E90">
        <w:rPr>
          <w:rFonts w:ascii="Arial" w:cs="Arial" w:hAnsi="Arial"/>
          <w:sz w:val="22"/>
        </w:rPr>
        <w:t>5 juillet 2022</w:t>
      </w:r>
      <w:r>
        <w:rPr>
          <w:rFonts w:ascii="Arial" w:cs="Arial" w:hAnsi="Arial"/>
          <w:sz w:val="22"/>
        </w:rPr>
        <w:t xml:space="preserve"> </w:t>
      </w:r>
      <w:r w:rsidRPr="001321A8">
        <w:rPr>
          <w:rFonts w:ascii="Arial" w:cs="Arial" w:hAnsi="Arial"/>
          <w:sz w:val="22"/>
        </w:rPr>
        <w:t>ser</w:t>
      </w:r>
      <w:r>
        <w:rPr>
          <w:rFonts w:ascii="Arial" w:cs="Arial" w:hAnsi="Arial"/>
          <w:sz w:val="22"/>
        </w:rPr>
        <w:t>ont</w:t>
      </w:r>
      <w:r w:rsidRPr="001321A8">
        <w:rPr>
          <w:rFonts w:ascii="Arial" w:cs="Arial" w:hAnsi="Arial"/>
          <w:sz w:val="22"/>
        </w:rPr>
        <w:t xml:space="preserve"> effectué</w:t>
      </w:r>
      <w:r>
        <w:rPr>
          <w:rFonts w:ascii="Arial" w:cs="Arial" w:hAnsi="Arial"/>
          <w:sz w:val="22"/>
        </w:rPr>
        <w:t>s</w:t>
      </w:r>
      <w:r w:rsidRPr="001321A8">
        <w:rPr>
          <w:rFonts w:ascii="Arial" w:cs="Arial" w:hAnsi="Arial"/>
          <w:sz w:val="22"/>
        </w:rPr>
        <w:t xml:space="preserve"> par l’utilisation des deux ponts chômés payés dans le cadre des DIA.</w:t>
      </w:r>
    </w:p>
    <w:p w14:paraId="07FA56FB" w14:textId="77777777" w:rsidP="00F0735C" w:rsidR="00F0735C" w:rsidRDefault="00F0735C" w:rsidRPr="001321A8">
      <w:pPr>
        <w:jc w:val="both"/>
        <w:rPr>
          <w:rFonts w:ascii="Arial" w:cs="Arial" w:hAnsi="Arial"/>
          <w:sz w:val="22"/>
        </w:rPr>
      </w:pPr>
    </w:p>
    <w:p w14:paraId="316A5150" w14:textId="77777777" w:rsidP="00F0735C" w:rsidR="00F0735C" w:rsidRDefault="00F0735C">
      <w:pPr>
        <w:rPr>
          <w:rFonts w:ascii="Arial" w:cs="Arial" w:hAnsi="Arial"/>
          <w:sz w:val="22"/>
        </w:rPr>
      </w:pPr>
    </w:p>
    <w:p w14:paraId="56BE2F5F" w14:textId="16F69D3E" w:rsidP="00BB593E" w:rsidR="00F0735C" w:rsidRDefault="00F0735C" w:rsidRPr="00614DF6">
      <w:pPr>
        <w:pStyle w:val="Titre20"/>
      </w:pPr>
      <w:bookmarkStart w:id="9" w:name="_Toc95844440"/>
      <w:r w:rsidRPr="0053600D">
        <w:t xml:space="preserve">Article </w:t>
      </w:r>
      <w:r w:rsidR="00B22C49" w:rsidRPr="0053600D">
        <w:t>1.</w:t>
      </w:r>
      <w:r w:rsidRPr="0053600D">
        <w:t>8 - CONGÉS PAYÉS D’ÉTÉ</w:t>
      </w:r>
      <w:bookmarkEnd w:id="9"/>
    </w:p>
    <w:p w14:paraId="592C2A06" w14:textId="77777777" w:rsidP="00F0735C" w:rsidR="00F0735C" w:rsidRDefault="00F0735C" w:rsidRPr="00614DF6">
      <w:pPr>
        <w:jc w:val="both"/>
        <w:rPr>
          <w:rFonts w:ascii="Arial" w:cs="Arial" w:hAnsi="Arial"/>
          <w:sz w:val="22"/>
        </w:rPr>
      </w:pPr>
    </w:p>
    <w:p w14:paraId="0E551235" w14:textId="4F19868F" w:rsidP="00F0735C" w:rsidR="00F0735C" w:rsidRDefault="00F0735C" w:rsidRPr="00614DF6">
      <w:pPr>
        <w:jc w:val="both"/>
        <w:rPr>
          <w:rFonts w:ascii="Arial" w:cs="Arial" w:hAnsi="Arial"/>
          <w:sz w:val="22"/>
        </w:rPr>
      </w:pPr>
      <w:r w:rsidRPr="00614DF6">
        <w:rPr>
          <w:rFonts w:ascii="Arial" w:cs="Arial" w:hAnsi="Arial"/>
          <w:sz w:val="22"/>
        </w:rPr>
        <w:t xml:space="preserve">Rappel : Le cadre législatif  fixe la période de prise de congé principal  du </w:t>
      </w:r>
      <w:r w:rsidR="0053600D">
        <w:rPr>
          <w:rFonts w:ascii="Arial" w:cs="Arial" w:hAnsi="Arial"/>
          <w:sz w:val="22"/>
        </w:rPr>
        <w:t>dimanche 1</w:t>
      </w:r>
      <w:r w:rsidR="0053600D" w:rsidRPr="0053600D">
        <w:rPr>
          <w:rFonts w:ascii="Arial" w:cs="Arial" w:hAnsi="Arial"/>
          <w:sz w:val="22"/>
          <w:vertAlign w:val="superscript"/>
        </w:rPr>
        <w:t>er</w:t>
      </w:r>
      <w:r w:rsidR="0053600D">
        <w:rPr>
          <w:rFonts w:ascii="Arial" w:cs="Arial" w:hAnsi="Arial"/>
          <w:sz w:val="22"/>
        </w:rPr>
        <w:t xml:space="preserve"> </w:t>
      </w:r>
      <w:r>
        <w:rPr>
          <w:rFonts w:ascii="Arial" w:cs="Arial" w:hAnsi="Arial"/>
          <w:sz w:val="22"/>
        </w:rPr>
        <w:t xml:space="preserve">mai au matin  au </w:t>
      </w:r>
      <w:r w:rsidR="0053600D">
        <w:rPr>
          <w:rFonts w:ascii="Arial" w:cs="Arial" w:hAnsi="Arial"/>
          <w:sz w:val="22"/>
        </w:rPr>
        <w:t>lundi</w:t>
      </w:r>
      <w:r>
        <w:rPr>
          <w:rFonts w:ascii="Arial" w:cs="Arial" w:hAnsi="Arial"/>
          <w:sz w:val="22"/>
        </w:rPr>
        <w:t xml:space="preserve"> 31 octobre 202</w:t>
      </w:r>
      <w:r w:rsidR="0053600D">
        <w:rPr>
          <w:rFonts w:ascii="Arial" w:cs="Arial" w:hAnsi="Arial"/>
          <w:sz w:val="22"/>
        </w:rPr>
        <w:t>2</w:t>
      </w:r>
      <w:r w:rsidRPr="00614DF6">
        <w:rPr>
          <w:rFonts w:ascii="Arial" w:cs="Arial" w:hAnsi="Arial"/>
          <w:sz w:val="22"/>
        </w:rPr>
        <w:t xml:space="preserve"> au soir, sur le principe de prise de 2 semaines consécutives dans cette période pour que le congé principal (convention collective) soit d’au moins 10 jours ouvrés, conformément à la réglementation du droit du travail.</w:t>
      </w:r>
    </w:p>
    <w:p w14:paraId="70A82F8D" w14:textId="77777777" w:rsidP="00F0735C" w:rsidR="00F0735C" w:rsidRDefault="00F0735C" w:rsidRPr="00614DF6">
      <w:pPr>
        <w:jc w:val="both"/>
        <w:rPr>
          <w:rFonts w:ascii="Arial" w:cs="Arial" w:hAnsi="Arial"/>
          <w:sz w:val="22"/>
        </w:rPr>
      </w:pPr>
    </w:p>
    <w:p w14:paraId="7F352C2E" w14:textId="35296A73" w:rsidP="00F0735C" w:rsidR="00F0735C" w:rsidRDefault="00F0735C" w:rsidRPr="00614DF6">
      <w:pPr>
        <w:jc w:val="both"/>
        <w:rPr>
          <w:rFonts w:ascii="Arial" w:cs="Arial" w:hAnsi="Arial"/>
          <w:sz w:val="22"/>
        </w:rPr>
      </w:pPr>
      <w:r w:rsidRPr="00614DF6">
        <w:rPr>
          <w:rFonts w:ascii="Arial" w:cs="Arial" w:hAnsi="Arial"/>
          <w:sz w:val="22"/>
        </w:rPr>
        <w:t xml:space="preserve">A l’intérieur de ce  cadre législatif, la période de prise de congé principal est fixée </w:t>
      </w:r>
      <w:r>
        <w:rPr>
          <w:rFonts w:ascii="Arial" w:cs="Arial" w:hAnsi="Arial"/>
          <w:sz w:val="22"/>
        </w:rPr>
        <w:t>sur la même période (1</w:t>
      </w:r>
      <w:r w:rsidRPr="00E31A59">
        <w:rPr>
          <w:rFonts w:ascii="Arial" w:cs="Arial" w:hAnsi="Arial"/>
          <w:sz w:val="22"/>
          <w:vertAlign w:val="superscript"/>
        </w:rPr>
        <w:t>er</w:t>
      </w:r>
      <w:r>
        <w:rPr>
          <w:rFonts w:ascii="Arial" w:cs="Arial" w:hAnsi="Arial"/>
          <w:sz w:val="22"/>
        </w:rPr>
        <w:t xml:space="preserve"> mai au 31 octobre 202</w:t>
      </w:r>
      <w:r w:rsidR="0053600D">
        <w:rPr>
          <w:rFonts w:ascii="Arial" w:cs="Arial" w:hAnsi="Arial"/>
          <w:sz w:val="22"/>
        </w:rPr>
        <w:t>2</w:t>
      </w:r>
      <w:r>
        <w:rPr>
          <w:rFonts w:ascii="Arial" w:cs="Arial" w:hAnsi="Arial"/>
          <w:sz w:val="22"/>
        </w:rPr>
        <w:t xml:space="preserve">), </w:t>
      </w:r>
      <w:r w:rsidRPr="00614DF6">
        <w:rPr>
          <w:rFonts w:ascii="Arial" w:cs="Arial" w:hAnsi="Arial"/>
          <w:sz w:val="22"/>
        </w:rPr>
        <w:t>sur le principe de prise de 3 semaines minimum dont 2 semaines consécutives dans cette période pour que le congé principal soit d’au moins 10 jours ouvrés, conformément à la réglementation du droit du travail.</w:t>
      </w:r>
    </w:p>
    <w:p w14:paraId="35ECD992" w14:textId="77777777" w:rsidP="00F0735C" w:rsidR="00F0735C" w:rsidRDefault="00F0735C" w:rsidRPr="00614DF6">
      <w:pPr>
        <w:jc w:val="both"/>
        <w:rPr>
          <w:rFonts w:ascii="Arial" w:cs="Arial" w:hAnsi="Arial"/>
          <w:sz w:val="22"/>
        </w:rPr>
      </w:pPr>
    </w:p>
    <w:p w14:paraId="5A638F6D" w14:textId="77777777" w:rsidP="00F0735C" w:rsidR="00F0735C" w:rsidRDefault="00F0735C" w:rsidRPr="00614DF6">
      <w:pPr>
        <w:jc w:val="both"/>
        <w:rPr>
          <w:rFonts w:ascii="Arial" w:cs="Arial" w:hAnsi="Arial"/>
          <w:sz w:val="22"/>
        </w:rPr>
      </w:pPr>
      <w:r w:rsidRPr="00614DF6">
        <w:rPr>
          <w:rFonts w:ascii="Arial" w:cs="Arial" w:hAnsi="Arial"/>
          <w:sz w:val="22"/>
        </w:rPr>
        <w:t>Il sera possible de prendre également 4 semaines d</w:t>
      </w:r>
      <w:r>
        <w:rPr>
          <w:rFonts w:ascii="Arial" w:cs="Arial" w:hAnsi="Arial"/>
          <w:sz w:val="22"/>
        </w:rPr>
        <w:t>urant</w:t>
      </w:r>
      <w:r w:rsidRPr="00614DF6">
        <w:rPr>
          <w:rFonts w:ascii="Arial" w:cs="Arial" w:hAnsi="Arial"/>
          <w:sz w:val="22"/>
        </w:rPr>
        <w:t xml:space="preserve"> cette période.</w:t>
      </w:r>
    </w:p>
    <w:p w14:paraId="38823D30" w14:textId="77777777" w:rsidP="00F0735C" w:rsidR="00F0735C" w:rsidRDefault="00F0735C" w:rsidRPr="00614DF6">
      <w:pPr>
        <w:jc w:val="both"/>
        <w:rPr>
          <w:rFonts w:ascii="Arial" w:cs="Arial" w:hAnsi="Arial"/>
          <w:sz w:val="22"/>
        </w:rPr>
      </w:pPr>
    </w:p>
    <w:p w14:paraId="77722630" w14:textId="214BF38B" w:rsidP="00F0735C" w:rsidR="00F0735C" w:rsidRDefault="00F0735C" w:rsidRPr="00614DF6">
      <w:pPr>
        <w:jc w:val="both"/>
        <w:rPr>
          <w:rFonts w:ascii="Arial" w:cs="Arial" w:hAnsi="Arial"/>
          <w:sz w:val="22"/>
        </w:rPr>
      </w:pPr>
      <w:r w:rsidRPr="00614DF6">
        <w:rPr>
          <w:rFonts w:ascii="Arial" w:cs="Arial" w:hAnsi="Arial"/>
          <w:sz w:val="22"/>
        </w:rPr>
        <w:t xml:space="preserve">Dans ce cadre, le principe de présence pour une bonne organisation du travail est </w:t>
      </w:r>
      <w:r w:rsidR="0053600D">
        <w:rPr>
          <w:rFonts w:ascii="Arial" w:cs="Arial" w:hAnsi="Arial"/>
          <w:sz w:val="22"/>
        </w:rPr>
        <w:t xml:space="preserve">dans la mesure du possible, </w:t>
      </w:r>
      <w:r w:rsidRPr="00614DF6">
        <w:rPr>
          <w:rFonts w:ascii="Arial" w:cs="Arial" w:hAnsi="Arial"/>
          <w:sz w:val="22"/>
        </w:rPr>
        <w:t>de  50 %</w:t>
      </w:r>
      <w:r>
        <w:rPr>
          <w:rFonts w:ascii="Arial" w:cs="Arial" w:hAnsi="Arial"/>
          <w:sz w:val="22"/>
        </w:rPr>
        <w:t xml:space="preserve"> de présents par service.</w:t>
      </w:r>
    </w:p>
    <w:p w14:paraId="712FF1C7" w14:textId="77777777" w:rsidP="00F0735C" w:rsidR="00F0735C" w:rsidRDefault="00F0735C" w:rsidRPr="00614DF6">
      <w:pPr>
        <w:jc w:val="both"/>
        <w:rPr>
          <w:rFonts w:ascii="Arial" w:cs="Arial" w:hAnsi="Arial"/>
        </w:rPr>
      </w:pPr>
    </w:p>
    <w:p w14:paraId="575B4053" w14:textId="77777777" w:rsidP="00F0735C" w:rsidR="00F0735C" w:rsidRDefault="00F0735C">
      <w:pPr>
        <w:jc w:val="both"/>
        <w:rPr>
          <w:rFonts w:ascii="Arial" w:cs="Arial" w:hAnsi="Arial"/>
          <w:sz w:val="22"/>
        </w:rPr>
      </w:pPr>
      <w:r>
        <w:rPr>
          <w:rFonts w:ascii="Arial" w:cs="Arial" w:hAnsi="Arial"/>
          <w:sz w:val="22"/>
        </w:rPr>
        <w:t>Pour l’établissement de La Courneuve, il n’y aura pas de fermeture d’établissement.</w:t>
      </w:r>
    </w:p>
    <w:p w14:paraId="62BF92AE" w14:textId="77777777" w:rsidP="00F0735C" w:rsidR="00F0735C" w:rsidRDefault="00F0735C">
      <w:pPr>
        <w:jc w:val="both"/>
        <w:rPr>
          <w:rFonts w:ascii="Arial" w:cs="Arial" w:hAnsi="Arial"/>
          <w:sz w:val="22"/>
        </w:rPr>
      </w:pPr>
    </w:p>
    <w:p w14:paraId="07C652C5" w14:textId="77777777" w:rsidP="0053600D" w:rsidR="006E0C0A" w:rsidRDefault="00F0735C">
      <w:pPr>
        <w:jc w:val="both"/>
        <w:rPr>
          <w:rFonts w:ascii="Arial" w:cs="Arial" w:hAnsi="Arial"/>
          <w:sz w:val="22"/>
        </w:rPr>
      </w:pPr>
      <w:r>
        <w:rPr>
          <w:rFonts w:ascii="Arial" w:cs="Arial" w:hAnsi="Arial"/>
          <w:sz w:val="22"/>
        </w:rPr>
        <w:t>P</w:t>
      </w:r>
      <w:r w:rsidRPr="00614DF6">
        <w:rPr>
          <w:rFonts w:ascii="Arial" w:cs="Arial" w:hAnsi="Arial"/>
          <w:sz w:val="22"/>
        </w:rPr>
        <w:t xml:space="preserve">our </w:t>
      </w:r>
      <w:r w:rsidR="0053600D">
        <w:rPr>
          <w:rFonts w:ascii="Arial" w:cs="Arial" w:hAnsi="Arial"/>
          <w:sz w:val="22"/>
        </w:rPr>
        <w:t xml:space="preserve">l’établissement d’Auxerre, les services suivants seront fermés du vendredi 22 juillet 2022 au soir au lundi 08 août 2022 au matin : </w:t>
      </w:r>
      <w:r w:rsidR="0053600D" w:rsidRPr="0053600D">
        <w:rPr>
          <w:rFonts w:ascii="Arial" w:cs="Arial" w:hAnsi="Arial"/>
          <w:sz w:val="22"/>
        </w:rPr>
        <w:t xml:space="preserve">Production, Supply Chain, </w:t>
      </w:r>
      <w:r w:rsidR="006E0C0A">
        <w:rPr>
          <w:rFonts w:ascii="Arial" w:cs="Arial" w:hAnsi="Arial"/>
          <w:sz w:val="22"/>
        </w:rPr>
        <w:t>Amélioration continue, Méthodes et</w:t>
      </w:r>
    </w:p>
    <w:p w14:paraId="4B09C069" w14:textId="56538CDF" w:rsidP="0053600D" w:rsidR="0053600D" w:rsidRDefault="006E0C0A">
      <w:pPr>
        <w:jc w:val="both"/>
        <w:rPr>
          <w:rFonts w:ascii="Arial" w:cs="Arial" w:hAnsi="Arial"/>
          <w:sz w:val="22"/>
        </w:rPr>
      </w:pPr>
      <w:r>
        <w:rPr>
          <w:rFonts w:ascii="Arial" w:cs="Arial" w:hAnsi="Arial"/>
          <w:sz w:val="22"/>
        </w:rPr>
        <w:t xml:space="preserve">Les services suivants seront partiellement fermés </w:t>
      </w:r>
      <w:r w:rsidRPr="006E0C0A">
        <w:rPr>
          <w:rFonts w:ascii="Arial" w:cs="Arial" w:hAnsi="Arial"/>
          <w:sz w:val="22"/>
        </w:rPr>
        <w:tab/>
      </w:r>
      <w:r>
        <w:rPr>
          <w:rFonts w:ascii="Arial" w:cs="Arial" w:hAnsi="Arial"/>
          <w:sz w:val="22"/>
        </w:rPr>
        <w:t xml:space="preserve">du vendredi 22 juillet 2022 au soir au lundi 08 août 2022 au matin : </w:t>
      </w:r>
      <w:r w:rsidRPr="006E0C0A">
        <w:rPr>
          <w:rFonts w:ascii="Arial" w:cs="Arial" w:hAnsi="Arial"/>
          <w:sz w:val="22"/>
        </w:rPr>
        <w:t xml:space="preserve">Réparations [MRO] à 50%, Magasin (Expéditions/Réception) et Qualité </w:t>
      </w:r>
      <w:r>
        <w:rPr>
          <w:rFonts w:ascii="Arial" w:cs="Arial" w:hAnsi="Arial"/>
          <w:sz w:val="22"/>
        </w:rPr>
        <w:t>avec un effectif minimum</w:t>
      </w:r>
      <w:r w:rsidRPr="006E0C0A">
        <w:rPr>
          <w:rFonts w:ascii="Arial" w:cs="Arial" w:hAnsi="Arial"/>
          <w:sz w:val="22"/>
        </w:rPr>
        <w:t>.</w:t>
      </w:r>
    </w:p>
    <w:p w14:paraId="59D38FE7" w14:textId="77777777" w:rsidP="0053600D" w:rsidR="008E6425" w:rsidRDefault="008E6425">
      <w:pPr>
        <w:jc w:val="both"/>
        <w:rPr>
          <w:rFonts w:ascii="Arial" w:cs="Arial" w:hAnsi="Arial"/>
          <w:sz w:val="22"/>
        </w:rPr>
      </w:pPr>
    </w:p>
    <w:p w14:paraId="5027547C" w14:textId="7EF2D773" w:rsidP="0053600D" w:rsidR="0053600D" w:rsidRDefault="0053600D">
      <w:pPr>
        <w:jc w:val="both"/>
        <w:rPr>
          <w:rFonts w:ascii="Arial" w:cs="Arial" w:hAnsi="Arial"/>
          <w:sz w:val="22"/>
        </w:rPr>
      </w:pPr>
      <w:r>
        <w:rPr>
          <w:rFonts w:ascii="Arial" w:cs="Arial" w:hAnsi="Arial"/>
          <w:sz w:val="22"/>
        </w:rPr>
        <w:t>Le personnel concerné par cette fermeture de l’établissement d’Auxerre pourra prendre au titre d’une 3</w:t>
      </w:r>
      <w:r w:rsidRPr="0053600D">
        <w:rPr>
          <w:rFonts w:ascii="Arial" w:cs="Arial" w:hAnsi="Arial"/>
          <w:sz w:val="22"/>
          <w:vertAlign w:val="superscript"/>
        </w:rPr>
        <w:t>ième</w:t>
      </w:r>
      <w:r>
        <w:rPr>
          <w:rFonts w:ascii="Arial" w:cs="Arial" w:hAnsi="Arial"/>
          <w:sz w:val="22"/>
        </w:rPr>
        <w:t xml:space="preserve"> semaine de congés payés :</w:t>
      </w:r>
    </w:p>
    <w:p w14:paraId="0FE0F8CF" w14:textId="623003AD" w:rsidP="0053600D" w:rsidR="0053600D" w:rsidRDefault="008E6425">
      <w:pPr>
        <w:pStyle w:val="Paragraphedeliste"/>
        <w:numPr>
          <w:ilvl w:val="0"/>
          <w:numId w:val="9"/>
        </w:numPr>
        <w:jc w:val="both"/>
        <w:rPr>
          <w:rFonts w:ascii="Arial" w:cs="Arial" w:hAnsi="Arial"/>
          <w:sz w:val="22"/>
        </w:rPr>
      </w:pPr>
      <w:r>
        <w:rPr>
          <w:rFonts w:ascii="Arial" w:cs="Arial" w:hAnsi="Arial"/>
          <w:sz w:val="22"/>
        </w:rPr>
        <w:t>soit la semaine précédant la fermeture du service</w:t>
      </w:r>
      <w:r w:rsidR="0053600D" w:rsidRPr="00D77FC5">
        <w:rPr>
          <w:rFonts w:ascii="Arial" w:cs="Arial" w:hAnsi="Arial"/>
          <w:sz w:val="22"/>
        </w:rPr>
        <w:t xml:space="preserve">, du lundi </w:t>
      </w:r>
      <w:r>
        <w:rPr>
          <w:rFonts w:ascii="Arial" w:cs="Arial" w:hAnsi="Arial"/>
          <w:sz w:val="22"/>
        </w:rPr>
        <w:t>18</w:t>
      </w:r>
      <w:r w:rsidR="0053600D" w:rsidRPr="00D77FC5">
        <w:rPr>
          <w:rFonts w:ascii="Arial" w:cs="Arial" w:hAnsi="Arial"/>
          <w:sz w:val="22"/>
        </w:rPr>
        <w:t xml:space="preserve"> juillet 202</w:t>
      </w:r>
      <w:r>
        <w:rPr>
          <w:rFonts w:ascii="Arial" w:cs="Arial" w:hAnsi="Arial"/>
          <w:sz w:val="22"/>
        </w:rPr>
        <w:t>2</w:t>
      </w:r>
      <w:r w:rsidR="0053600D" w:rsidRPr="00D77FC5">
        <w:rPr>
          <w:rFonts w:ascii="Arial" w:cs="Arial" w:hAnsi="Arial"/>
          <w:sz w:val="22"/>
        </w:rPr>
        <w:t xml:space="preserve"> inclus au vendredi </w:t>
      </w:r>
      <w:r>
        <w:rPr>
          <w:rFonts w:ascii="Arial" w:cs="Arial" w:hAnsi="Arial"/>
          <w:sz w:val="22"/>
        </w:rPr>
        <w:t>22</w:t>
      </w:r>
      <w:r w:rsidR="0053600D" w:rsidRPr="00D77FC5">
        <w:rPr>
          <w:rFonts w:ascii="Arial" w:cs="Arial" w:hAnsi="Arial"/>
          <w:sz w:val="22"/>
        </w:rPr>
        <w:t xml:space="preserve"> juillet 202</w:t>
      </w:r>
      <w:r>
        <w:rPr>
          <w:rFonts w:ascii="Arial" w:cs="Arial" w:hAnsi="Arial"/>
          <w:sz w:val="22"/>
        </w:rPr>
        <w:t>2</w:t>
      </w:r>
      <w:r w:rsidR="0053600D" w:rsidRPr="00D77FC5">
        <w:rPr>
          <w:rFonts w:ascii="Arial" w:cs="Arial" w:hAnsi="Arial"/>
          <w:sz w:val="22"/>
        </w:rPr>
        <w:t xml:space="preserve"> inclus</w:t>
      </w:r>
      <w:r w:rsidR="0053600D">
        <w:rPr>
          <w:rFonts w:ascii="Arial" w:cs="Arial" w:hAnsi="Arial"/>
          <w:sz w:val="22"/>
        </w:rPr>
        <w:t> ;</w:t>
      </w:r>
    </w:p>
    <w:p w14:paraId="44B5D5EC" w14:textId="4CE6EACD" w:rsidP="0053600D" w:rsidR="0053600D" w:rsidRDefault="008E6425">
      <w:pPr>
        <w:pStyle w:val="Paragraphedeliste"/>
        <w:numPr>
          <w:ilvl w:val="0"/>
          <w:numId w:val="9"/>
        </w:numPr>
        <w:jc w:val="both"/>
        <w:rPr>
          <w:rFonts w:ascii="Arial" w:cs="Arial" w:hAnsi="Arial"/>
          <w:sz w:val="22"/>
        </w:rPr>
      </w:pPr>
      <w:r>
        <w:rPr>
          <w:rFonts w:ascii="Arial" w:cs="Arial" w:hAnsi="Arial"/>
          <w:sz w:val="22"/>
        </w:rPr>
        <w:t>soit la semaine suivant la fermeture du service</w:t>
      </w:r>
      <w:r w:rsidR="0053600D">
        <w:rPr>
          <w:rFonts w:ascii="Arial" w:cs="Arial" w:hAnsi="Arial"/>
          <w:sz w:val="22"/>
        </w:rPr>
        <w:t xml:space="preserve">, du lundi </w:t>
      </w:r>
      <w:r>
        <w:rPr>
          <w:rFonts w:ascii="Arial" w:cs="Arial" w:hAnsi="Arial"/>
          <w:sz w:val="22"/>
        </w:rPr>
        <w:t>08</w:t>
      </w:r>
      <w:r w:rsidR="0053600D">
        <w:rPr>
          <w:rFonts w:ascii="Arial" w:cs="Arial" w:hAnsi="Arial"/>
          <w:sz w:val="22"/>
        </w:rPr>
        <w:t xml:space="preserve"> août 202</w:t>
      </w:r>
      <w:r>
        <w:rPr>
          <w:rFonts w:ascii="Arial" w:cs="Arial" w:hAnsi="Arial"/>
          <w:sz w:val="22"/>
        </w:rPr>
        <w:t>2</w:t>
      </w:r>
      <w:r w:rsidR="0053600D">
        <w:rPr>
          <w:rFonts w:ascii="Arial" w:cs="Arial" w:hAnsi="Arial"/>
          <w:sz w:val="22"/>
        </w:rPr>
        <w:t xml:space="preserve"> inclus au vendredi 1</w:t>
      </w:r>
      <w:r>
        <w:rPr>
          <w:rFonts w:ascii="Arial" w:cs="Arial" w:hAnsi="Arial"/>
          <w:sz w:val="22"/>
        </w:rPr>
        <w:t>2</w:t>
      </w:r>
      <w:r w:rsidR="0053600D">
        <w:rPr>
          <w:rFonts w:ascii="Arial" w:cs="Arial" w:hAnsi="Arial"/>
          <w:sz w:val="22"/>
        </w:rPr>
        <w:t xml:space="preserve"> août 202</w:t>
      </w:r>
      <w:r>
        <w:rPr>
          <w:rFonts w:ascii="Arial" w:cs="Arial" w:hAnsi="Arial"/>
          <w:sz w:val="22"/>
        </w:rPr>
        <w:t>2</w:t>
      </w:r>
      <w:r w:rsidR="0053600D">
        <w:rPr>
          <w:rFonts w:ascii="Arial" w:cs="Arial" w:hAnsi="Arial"/>
          <w:sz w:val="22"/>
        </w:rPr>
        <w:t xml:space="preserve"> inclus.</w:t>
      </w:r>
    </w:p>
    <w:p w14:paraId="0EDC8578" w14:textId="2493EC0E" w:rsidP="0053600D" w:rsidR="0053600D" w:rsidRDefault="0053600D" w:rsidRPr="00D77FC5">
      <w:pPr>
        <w:jc w:val="both"/>
        <w:rPr>
          <w:rFonts w:ascii="Arial" w:cs="Arial" w:hAnsi="Arial"/>
          <w:sz w:val="22"/>
        </w:rPr>
      </w:pPr>
      <w:r>
        <w:rPr>
          <w:rFonts w:ascii="Arial" w:cs="Arial" w:hAnsi="Arial"/>
          <w:sz w:val="22"/>
        </w:rPr>
        <w:t xml:space="preserve">Le choix de cette </w:t>
      </w:r>
      <w:r w:rsidR="008E6425">
        <w:rPr>
          <w:rFonts w:ascii="Arial" w:cs="Arial" w:hAnsi="Arial"/>
          <w:sz w:val="22"/>
        </w:rPr>
        <w:t>trois</w:t>
      </w:r>
      <w:r>
        <w:rPr>
          <w:rFonts w:ascii="Arial" w:cs="Arial" w:hAnsi="Arial"/>
          <w:sz w:val="22"/>
        </w:rPr>
        <w:t>ième semaine consécutive se fera en concertation avec le responsable de service afin d’assurer une continuité d’activité par le maintien de 50% du personnel.</w:t>
      </w:r>
    </w:p>
    <w:p w14:paraId="11E66CAE" w14:textId="77777777" w:rsidP="00F0735C" w:rsidR="0053600D" w:rsidRDefault="0053600D">
      <w:pPr>
        <w:jc w:val="both"/>
        <w:rPr>
          <w:rFonts w:ascii="Arial" w:cs="Arial" w:hAnsi="Arial"/>
          <w:sz w:val="22"/>
        </w:rPr>
      </w:pPr>
    </w:p>
    <w:p w14:paraId="59962CD8" w14:textId="130E3B4B" w:rsidP="00F0735C" w:rsidR="00F0735C" w:rsidRDefault="00F0735C">
      <w:pPr>
        <w:jc w:val="both"/>
        <w:rPr>
          <w:rFonts w:ascii="Arial" w:cs="Arial" w:hAnsi="Arial"/>
          <w:sz w:val="22"/>
        </w:rPr>
      </w:pPr>
      <w:r>
        <w:rPr>
          <w:rFonts w:ascii="Arial" w:cs="Arial" w:hAnsi="Arial"/>
          <w:sz w:val="22"/>
        </w:rPr>
        <w:t xml:space="preserve">Pour les personnels </w:t>
      </w:r>
      <w:r w:rsidR="008E6425">
        <w:rPr>
          <w:rFonts w:ascii="Arial" w:cs="Arial" w:hAnsi="Arial"/>
          <w:sz w:val="22"/>
        </w:rPr>
        <w:t xml:space="preserve">de La Courneuve et </w:t>
      </w:r>
      <w:r>
        <w:rPr>
          <w:rFonts w:ascii="Arial" w:cs="Arial" w:hAnsi="Arial"/>
          <w:sz w:val="22"/>
        </w:rPr>
        <w:t>des services non concernés par cette fermeture partielle de l’établissement d’Auxerre, le cadre législatif rappelé ci-dessus s’applique.</w:t>
      </w:r>
    </w:p>
    <w:p w14:paraId="714352BA" w14:textId="77777777" w:rsidP="00F0735C" w:rsidR="00F0735C" w:rsidRDefault="00F0735C" w:rsidRPr="00614DF6">
      <w:pPr>
        <w:jc w:val="both"/>
        <w:rPr>
          <w:rFonts w:ascii="Arial" w:cs="Arial" w:hAnsi="Arial"/>
          <w:sz w:val="22"/>
        </w:rPr>
      </w:pPr>
      <w:r>
        <w:rPr>
          <w:rFonts w:ascii="Arial" w:cs="Arial" w:hAnsi="Arial"/>
          <w:sz w:val="22"/>
        </w:rPr>
        <w:t>Dans ce cadre, le principe de présence pour une bonne organisation du travail est de 50% de présents.</w:t>
      </w:r>
    </w:p>
    <w:p w14:paraId="3EC997DD" w14:textId="77777777" w:rsidP="00F0735C" w:rsidR="00F0735C" w:rsidRDefault="00F0735C">
      <w:pPr>
        <w:rPr>
          <w:rFonts w:ascii="Arial" w:cs="Arial" w:hAnsi="Arial"/>
          <w:color w:val="000000"/>
        </w:rPr>
      </w:pPr>
    </w:p>
    <w:p w14:paraId="56D3E182" w14:textId="77777777" w:rsidP="00F0735C" w:rsidR="00F0735C" w:rsidRDefault="00F0735C" w:rsidRPr="00900AD7">
      <w:pPr>
        <w:jc w:val="both"/>
        <w:rPr>
          <w:rFonts w:ascii="Arial" w:cs="Arial" w:hAnsi="Arial"/>
          <w:sz w:val="22"/>
        </w:rPr>
      </w:pPr>
      <w:r w:rsidRPr="00900AD7">
        <w:rPr>
          <w:rFonts w:ascii="Arial" w:cs="Arial" w:hAnsi="Arial"/>
          <w:sz w:val="22"/>
          <w:szCs w:val="22"/>
        </w:rPr>
        <w:t xml:space="preserve">Pour l'ensemble des personnels, le fractionnement des congés payés principaux </w:t>
      </w:r>
      <w:r>
        <w:rPr>
          <w:rFonts w:ascii="Arial" w:cs="Arial" w:hAnsi="Arial"/>
          <w:sz w:val="22"/>
        </w:rPr>
        <w:t>par la prise éventuelle de la 4</w:t>
      </w:r>
      <w:r w:rsidRPr="00900AD7">
        <w:rPr>
          <w:rFonts w:ascii="Arial" w:cs="Arial" w:hAnsi="Arial"/>
          <w:sz w:val="22"/>
          <w:vertAlign w:val="superscript"/>
        </w:rPr>
        <w:t>ième</w:t>
      </w:r>
      <w:r>
        <w:rPr>
          <w:rFonts w:ascii="Arial" w:cs="Arial" w:hAnsi="Arial"/>
          <w:sz w:val="22"/>
        </w:rPr>
        <w:t xml:space="preserve"> semaine</w:t>
      </w:r>
      <w:r w:rsidRPr="00900AD7">
        <w:rPr>
          <w:rFonts w:ascii="Arial" w:cs="Arial" w:hAnsi="Arial"/>
          <w:sz w:val="22"/>
          <w:szCs w:val="22"/>
        </w:rPr>
        <w:t xml:space="preserve"> de congés en dehors de la période légale </w:t>
      </w:r>
      <w:r>
        <w:rPr>
          <w:rFonts w:ascii="Arial" w:cs="Arial" w:hAnsi="Arial"/>
          <w:sz w:val="22"/>
        </w:rPr>
        <w:t xml:space="preserve">précitée </w:t>
      </w:r>
      <w:r w:rsidRPr="00900AD7">
        <w:rPr>
          <w:rFonts w:ascii="Arial" w:cs="Arial" w:hAnsi="Arial"/>
          <w:sz w:val="22"/>
          <w:szCs w:val="22"/>
        </w:rPr>
        <w:t xml:space="preserve">impliquera </w:t>
      </w:r>
      <w:r>
        <w:rPr>
          <w:rFonts w:ascii="Arial" w:cs="Arial" w:hAnsi="Arial"/>
          <w:sz w:val="22"/>
        </w:rPr>
        <w:t xml:space="preserve">automatiquement </w:t>
      </w:r>
      <w:r w:rsidRPr="00900AD7">
        <w:rPr>
          <w:rFonts w:ascii="Arial" w:cs="Arial" w:hAnsi="Arial"/>
          <w:sz w:val="22"/>
          <w:szCs w:val="22"/>
        </w:rPr>
        <w:t>renonciation aux jours de</w:t>
      </w:r>
      <w:r>
        <w:rPr>
          <w:rFonts w:ascii="Arial" w:cs="Arial" w:hAnsi="Arial"/>
          <w:sz w:val="22"/>
        </w:rPr>
        <w:t xml:space="preserve"> fractionnement.</w:t>
      </w:r>
    </w:p>
    <w:p w14:paraId="01DD8229" w14:textId="15612B89" w:rsidP="00CC672A" w:rsidR="00F0735C" w:rsidRDefault="00F0735C" w:rsidRPr="00F0735C">
      <w:pPr>
        <w:pStyle w:val="Titre1"/>
      </w:pPr>
      <w:bookmarkStart w:id="10" w:name="_Toc95844441"/>
      <w:r w:rsidRPr="00F0735C">
        <w:lastRenderedPageBreak/>
        <w:t>Chapitre 2 - POLITIQUE SALARIALE</w:t>
      </w:r>
      <w:bookmarkEnd w:id="10"/>
    </w:p>
    <w:p w14:paraId="29D712AC" w14:textId="77777777" w:rsidP="00F0735C" w:rsidR="00F0735C" w:rsidRDefault="00F0735C">
      <w:pPr>
        <w:jc w:val="center"/>
        <w:rPr>
          <w:rFonts w:ascii="Arial" w:cs="Arial" w:hAnsi="Arial"/>
          <w:b/>
          <w:i/>
          <w:color w:val="000000"/>
        </w:rPr>
      </w:pPr>
    </w:p>
    <w:p w14:paraId="3AF417AB" w14:textId="77777777" w:rsidP="00F0735C" w:rsidR="00F0735C" w:rsidRDefault="00F0735C" w:rsidRPr="001822D4">
      <w:pPr>
        <w:jc w:val="center"/>
        <w:rPr>
          <w:rFonts w:ascii="Arial" w:cs="Arial" w:hAnsi="Arial"/>
          <w:b/>
          <w:i/>
          <w:color w:val="000000"/>
        </w:rPr>
      </w:pPr>
    </w:p>
    <w:p w14:paraId="413CDB08" w14:textId="0DFB0DD2" w:rsidP="00BB593E" w:rsidR="00F0735C" w:rsidRDefault="00F0735C" w:rsidRPr="00635E14">
      <w:pPr>
        <w:pStyle w:val="Titre20"/>
      </w:pPr>
      <w:bookmarkStart w:id="11" w:name="_Toc95844442"/>
      <w:r>
        <w:t xml:space="preserve">Article </w:t>
      </w:r>
      <w:r w:rsidR="00B22C49">
        <w:t>2.</w:t>
      </w:r>
      <w:r>
        <w:t>1 - Augmentation des salaires</w:t>
      </w:r>
      <w:bookmarkEnd w:id="11"/>
    </w:p>
    <w:p w14:paraId="0DA2E12B" w14:textId="77777777" w:rsidP="00F0735C" w:rsidR="00F0735C" w:rsidRDefault="00F0735C">
      <w:pPr>
        <w:rPr>
          <w:rFonts w:ascii="Arial" w:cs="Arial" w:hAnsi="Arial"/>
          <w:b/>
          <w:color w:val="000000"/>
        </w:rPr>
      </w:pPr>
    </w:p>
    <w:p w14:paraId="3CA4F4D4" w14:textId="278A89F2" w:rsidP="00F0735C" w:rsidR="00F0735C" w:rsidRDefault="00F0735C">
      <w:pPr>
        <w:jc w:val="both"/>
        <w:rPr>
          <w:rFonts w:ascii="Arial" w:cs="Arial" w:hAnsi="Arial"/>
          <w:color w:val="000000"/>
          <w:sz w:val="22"/>
        </w:rPr>
      </w:pPr>
      <w:r>
        <w:rPr>
          <w:rFonts w:ascii="Arial" w:cs="Arial" w:hAnsi="Arial"/>
          <w:color w:val="000000"/>
          <w:sz w:val="22"/>
        </w:rPr>
        <w:t xml:space="preserve">Les augmentations générales et les augmentations individuelles seront appliquées </w:t>
      </w:r>
      <w:r w:rsidR="006E0C0A">
        <w:rPr>
          <w:rFonts w:ascii="Arial" w:cs="Arial" w:hAnsi="Arial"/>
          <w:color w:val="000000"/>
          <w:sz w:val="22"/>
        </w:rPr>
        <w:t xml:space="preserve">rétroactivement </w:t>
      </w:r>
      <w:r>
        <w:rPr>
          <w:rFonts w:ascii="Arial" w:cs="Arial" w:hAnsi="Arial"/>
          <w:color w:val="000000"/>
          <w:sz w:val="22"/>
        </w:rPr>
        <w:t>au 1</w:t>
      </w:r>
      <w:r w:rsidRPr="006C1C0C">
        <w:rPr>
          <w:rFonts w:ascii="Arial" w:cs="Arial" w:hAnsi="Arial"/>
          <w:color w:val="000000"/>
          <w:sz w:val="22"/>
          <w:vertAlign w:val="superscript"/>
        </w:rPr>
        <w:t>er</w:t>
      </w:r>
      <w:r>
        <w:rPr>
          <w:rFonts w:ascii="Arial" w:cs="Arial" w:hAnsi="Arial"/>
          <w:color w:val="000000"/>
          <w:sz w:val="22"/>
        </w:rPr>
        <w:t xml:space="preserve"> janvier 202</w:t>
      </w:r>
      <w:r w:rsidR="006E0C0A">
        <w:rPr>
          <w:rFonts w:ascii="Arial" w:cs="Arial" w:hAnsi="Arial"/>
          <w:color w:val="000000"/>
          <w:sz w:val="22"/>
        </w:rPr>
        <w:t>2</w:t>
      </w:r>
      <w:r>
        <w:rPr>
          <w:rFonts w:ascii="Arial" w:cs="Arial" w:hAnsi="Arial"/>
          <w:color w:val="000000"/>
          <w:sz w:val="22"/>
        </w:rPr>
        <w:t>.</w:t>
      </w:r>
    </w:p>
    <w:p w14:paraId="1F514A6D" w14:textId="77777777" w:rsidP="00F0735C" w:rsidR="00F0735C" w:rsidRDefault="00F0735C">
      <w:pPr>
        <w:jc w:val="both"/>
        <w:rPr>
          <w:rFonts w:ascii="Arial" w:cs="Arial" w:hAnsi="Arial"/>
          <w:color w:val="000000"/>
          <w:sz w:val="22"/>
        </w:rPr>
      </w:pPr>
    </w:p>
    <w:p w14:paraId="1A9B465C" w14:textId="4318CBF8" w:rsidP="00FE5679" w:rsidR="00F0735C" w:rsidRDefault="00F0735C" w:rsidRPr="00304339">
      <w:pPr>
        <w:pStyle w:val="Titre30"/>
        <w:numPr>
          <w:ilvl w:val="2"/>
          <w:numId w:val="11"/>
        </w:numPr>
      </w:pPr>
      <w:bookmarkStart w:id="12" w:name="_Toc95844443"/>
      <w:r w:rsidRPr="00304339">
        <w:t xml:space="preserve">Personnel </w:t>
      </w:r>
      <w:r w:rsidRPr="00D258B6">
        <w:rPr>
          <w:b/>
        </w:rPr>
        <w:t>non cadre</w:t>
      </w:r>
      <w:bookmarkEnd w:id="12"/>
    </w:p>
    <w:p w14:paraId="24E2134E" w14:textId="6432B60F" w:rsidP="00F0735C" w:rsidR="00F0735C" w:rsidRDefault="00F0735C">
      <w:pPr>
        <w:jc w:val="both"/>
        <w:rPr>
          <w:rFonts w:ascii="Arial" w:cs="Arial" w:hAnsi="Arial"/>
          <w:color w:val="000000"/>
          <w:sz w:val="22"/>
        </w:rPr>
      </w:pPr>
      <w:r>
        <w:rPr>
          <w:rFonts w:ascii="Arial" w:cs="Arial" w:hAnsi="Arial"/>
          <w:color w:val="000000"/>
          <w:sz w:val="22"/>
        </w:rPr>
        <w:t xml:space="preserve">Augmentation générale : </w:t>
      </w:r>
      <w:r w:rsidR="006E0C0A">
        <w:rPr>
          <w:rFonts w:ascii="Arial" w:cs="Arial" w:hAnsi="Arial"/>
          <w:color w:val="000000"/>
          <w:sz w:val="22"/>
        </w:rPr>
        <w:t>1,4</w:t>
      </w:r>
      <w:r>
        <w:rPr>
          <w:rFonts w:ascii="Arial" w:cs="Arial" w:hAnsi="Arial"/>
          <w:color w:val="000000"/>
          <w:sz w:val="22"/>
        </w:rPr>
        <w:t xml:space="preserve"> </w:t>
      </w:r>
      <w:r w:rsidRPr="00304339">
        <w:rPr>
          <w:rFonts w:ascii="Arial" w:cs="Arial" w:hAnsi="Arial"/>
          <w:color w:val="000000"/>
          <w:sz w:val="22"/>
        </w:rPr>
        <w:t xml:space="preserve">% </w:t>
      </w:r>
    </w:p>
    <w:p w14:paraId="100B4F3C" w14:textId="77777777" w:rsidP="00F0735C" w:rsidR="00F0735C" w:rsidRDefault="00F0735C" w:rsidRPr="00304339">
      <w:pPr>
        <w:jc w:val="both"/>
        <w:rPr>
          <w:rFonts w:ascii="Arial" w:cs="Arial" w:hAnsi="Arial"/>
          <w:color w:val="000000"/>
          <w:sz w:val="22"/>
        </w:rPr>
      </w:pPr>
    </w:p>
    <w:p w14:paraId="1CEB779B" w14:textId="3ADB854C" w:rsidP="00F0735C" w:rsidR="00F0735C" w:rsidRDefault="00F0735C">
      <w:pPr>
        <w:jc w:val="both"/>
        <w:rPr>
          <w:rFonts w:ascii="Arial" w:cs="Arial" w:hAnsi="Arial"/>
          <w:color w:val="000000"/>
          <w:sz w:val="22"/>
        </w:rPr>
      </w:pPr>
      <w:r w:rsidRPr="00304339">
        <w:rPr>
          <w:rFonts w:ascii="Arial" w:cs="Arial" w:hAnsi="Arial"/>
          <w:color w:val="000000"/>
          <w:sz w:val="22"/>
        </w:rPr>
        <w:t>Augmentations in</w:t>
      </w:r>
      <w:r>
        <w:rPr>
          <w:rFonts w:ascii="Arial" w:cs="Arial" w:hAnsi="Arial"/>
          <w:color w:val="000000"/>
          <w:sz w:val="22"/>
        </w:rPr>
        <w:t xml:space="preserve">dividuelles : </w:t>
      </w:r>
      <w:r w:rsidR="006E0C0A">
        <w:rPr>
          <w:rFonts w:ascii="Arial" w:cs="Arial" w:hAnsi="Arial"/>
          <w:color w:val="000000"/>
          <w:sz w:val="22"/>
        </w:rPr>
        <w:t>1,2</w:t>
      </w:r>
      <w:r>
        <w:rPr>
          <w:rFonts w:ascii="Arial" w:cs="Arial" w:hAnsi="Arial"/>
          <w:color w:val="000000"/>
          <w:sz w:val="22"/>
        </w:rPr>
        <w:t xml:space="preserve"> %</w:t>
      </w:r>
    </w:p>
    <w:p w14:paraId="105841BD" w14:textId="77777777" w:rsidP="00F0735C" w:rsidR="00F0735C" w:rsidRDefault="00F0735C">
      <w:pPr>
        <w:jc w:val="both"/>
        <w:rPr>
          <w:rFonts w:ascii="Arial" w:cs="Arial" w:hAnsi="Arial"/>
          <w:color w:val="000000"/>
          <w:sz w:val="22"/>
        </w:rPr>
      </w:pPr>
    </w:p>
    <w:p w14:paraId="24DEADA1" w14:textId="66588D9D" w:rsidP="00F0735C" w:rsidR="00F0735C" w:rsidRDefault="00F0735C" w:rsidRPr="001A002A">
      <w:pPr>
        <w:jc w:val="both"/>
        <w:rPr>
          <w:rFonts w:ascii="Arial" w:cs="Arial" w:hAnsi="Arial"/>
          <w:i/>
          <w:color w:val="000000"/>
          <w:sz w:val="22"/>
        </w:rPr>
      </w:pPr>
      <w:r w:rsidRPr="001A002A">
        <w:rPr>
          <w:rFonts w:ascii="Arial" w:cs="Arial" w:hAnsi="Arial"/>
          <w:i/>
          <w:color w:val="000000"/>
          <w:sz w:val="22"/>
        </w:rPr>
        <w:t>Prime d’ancienneté (impact de son évolution) : 0,2</w:t>
      </w:r>
      <w:r w:rsidR="006E0C0A">
        <w:rPr>
          <w:rFonts w:ascii="Arial" w:cs="Arial" w:hAnsi="Arial"/>
          <w:i/>
          <w:color w:val="000000"/>
          <w:sz w:val="22"/>
        </w:rPr>
        <w:t>0</w:t>
      </w:r>
      <w:r w:rsidRPr="001A002A">
        <w:rPr>
          <w:rFonts w:ascii="Arial" w:cs="Arial" w:hAnsi="Arial"/>
          <w:i/>
          <w:color w:val="000000"/>
          <w:sz w:val="22"/>
        </w:rPr>
        <w:t>%</w:t>
      </w:r>
    </w:p>
    <w:p w14:paraId="0DB7B549" w14:textId="77777777" w:rsidP="00F0735C" w:rsidR="00F0735C" w:rsidRDefault="00F0735C">
      <w:pPr>
        <w:jc w:val="both"/>
        <w:rPr>
          <w:rFonts w:ascii="Arial" w:cs="Arial" w:hAnsi="Arial"/>
          <w:color w:val="000000"/>
          <w:sz w:val="22"/>
          <w:u w:val="single"/>
        </w:rPr>
      </w:pPr>
    </w:p>
    <w:p w14:paraId="5BB2630C" w14:textId="2242E63A" w:rsidP="00F0735C" w:rsidR="00F0735C" w:rsidRDefault="003361ED">
      <w:pPr>
        <w:jc w:val="both"/>
        <w:rPr>
          <w:rFonts w:ascii="Arial" w:cs="Arial" w:hAnsi="Arial"/>
          <w:color w:val="000000"/>
          <w:sz w:val="22"/>
        </w:rPr>
      </w:pPr>
      <w:r>
        <w:rPr>
          <w:rFonts w:ascii="Arial" w:cs="Arial" w:hAnsi="Arial"/>
          <w:color w:val="000000"/>
          <w:sz w:val="22"/>
        </w:rPr>
        <w:t>U</w:t>
      </w:r>
      <w:r w:rsidR="006E0C0A" w:rsidRPr="006E0C0A">
        <w:rPr>
          <w:rFonts w:ascii="Arial" w:cs="Arial" w:hAnsi="Arial"/>
          <w:color w:val="000000"/>
          <w:sz w:val="22"/>
        </w:rPr>
        <w:t xml:space="preserve">ne mesure plancher de 450 € bruts annuels </w:t>
      </w:r>
      <w:r>
        <w:rPr>
          <w:rFonts w:ascii="Arial" w:cs="Arial" w:hAnsi="Arial"/>
          <w:color w:val="000000"/>
          <w:sz w:val="22"/>
        </w:rPr>
        <w:t xml:space="preserve">sera garantie, </w:t>
      </w:r>
      <w:r w:rsidR="006E0C0A" w:rsidRPr="006E0C0A">
        <w:rPr>
          <w:rFonts w:ascii="Arial" w:cs="Arial" w:hAnsi="Arial"/>
          <w:color w:val="000000"/>
          <w:sz w:val="22"/>
        </w:rPr>
        <w:t>en cumul</w:t>
      </w:r>
      <w:r w:rsidR="006E0C0A">
        <w:rPr>
          <w:rFonts w:ascii="Arial" w:cs="Arial" w:hAnsi="Arial"/>
          <w:color w:val="000000"/>
          <w:sz w:val="22"/>
        </w:rPr>
        <w:t xml:space="preserve"> de l’ensemble de ces mesures</w:t>
      </w:r>
      <w:r>
        <w:rPr>
          <w:rFonts w:ascii="Arial" w:cs="Arial" w:hAnsi="Arial"/>
          <w:color w:val="000000"/>
          <w:sz w:val="22"/>
        </w:rPr>
        <w:t xml:space="preserve"> (augmentation générale + augmentation individuelle + prime d’ancienneté)</w:t>
      </w:r>
      <w:r w:rsidR="006E0C0A" w:rsidRPr="006E0C0A">
        <w:rPr>
          <w:rFonts w:ascii="Arial" w:cs="Arial" w:hAnsi="Arial"/>
          <w:color w:val="000000"/>
          <w:sz w:val="22"/>
        </w:rPr>
        <w:t xml:space="preserve">, </w:t>
      </w:r>
      <w:r>
        <w:rPr>
          <w:rFonts w:ascii="Arial" w:cs="Arial" w:hAnsi="Arial"/>
          <w:color w:val="000000"/>
          <w:sz w:val="22"/>
        </w:rPr>
        <w:t>lorsque</w:t>
      </w:r>
      <w:r w:rsidR="006E0C0A">
        <w:rPr>
          <w:rFonts w:ascii="Arial" w:cs="Arial" w:hAnsi="Arial"/>
          <w:color w:val="000000"/>
          <w:sz w:val="22"/>
        </w:rPr>
        <w:t xml:space="preserve"> sera appliquée </w:t>
      </w:r>
      <w:r w:rsidR="006E0C0A" w:rsidRPr="006E0C0A">
        <w:rPr>
          <w:rFonts w:ascii="Arial" w:cs="Arial" w:hAnsi="Arial"/>
          <w:color w:val="000000"/>
          <w:sz w:val="22"/>
        </w:rPr>
        <w:t>une augmentation individuelle.</w:t>
      </w:r>
    </w:p>
    <w:p w14:paraId="7B86F7F0" w14:textId="77777777" w:rsidP="00F0735C" w:rsidR="003361ED" w:rsidRDefault="003361ED">
      <w:pPr>
        <w:jc w:val="both"/>
        <w:rPr>
          <w:rFonts w:ascii="Arial" w:cs="Arial" w:hAnsi="Arial"/>
          <w:color w:val="000000"/>
          <w:sz w:val="22"/>
        </w:rPr>
      </w:pPr>
    </w:p>
    <w:p w14:paraId="02420661" w14:textId="7CF9A0E2" w:rsidP="003361ED" w:rsidR="003361ED" w:rsidRDefault="003361ED" w:rsidRPr="003361ED">
      <w:pPr>
        <w:jc w:val="both"/>
        <w:rPr>
          <w:rFonts w:ascii="Arial" w:cs="Arial" w:hAnsi="Arial"/>
          <w:color w:val="000000"/>
          <w:sz w:val="22"/>
        </w:rPr>
      </w:pPr>
      <w:r w:rsidRPr="003361ED">
        <w:rPr>
          <w:rFonts w:ascii="Arial" w:cs="Arial" w:hAnsi="Arial"/>
          <w:color w:val="000000"/>
          <w:sz w:val="22"/>
        </w:rPr>
        <w:t xml:space="preserve">Par ailleurs au titre de l’année 2022, une disposition est mise en œuvre pour majorer le montant total </w:t>
      </w:r>
      <w:r>
        <w:rPr>
          <w:rFonts w:ascii="Arial" w:cs="Arial" w:hAnsi="Arial"/>
          <w:color w:val="000000"/>
          <w:sz w:val="22"/>
        </w:rPr>
        <w:t>du versement annuel du</w:t>
      </w:r>
      <w:r w:rsidRPr="003361ED">
        <w:rPr>
          <w:rFonts w:ascii="Arial" w:cs="Arial" w:hAnsi="Arial"/>
          <w:color w:val="000000"/>
          <w:sz w:val="22"/>
        </w:rPr>
        <w:t xml:space="preserve"> 13ème mois</w:t>
      </w:r>
      <w:r>
        <w:rPr>
          <w:rFonts w:ascii="Arial" w:cs="Arial" w:hAnsi="Arial"/>
          <w:color w:val="000000"/>
          <w:sz w:val="22"/>
        </w:rPr>
        <w:t>,</w:t>
      </w:r>
      <w:r w:rsidRPr="003361ED">
        <w:rPr>
          <w:rFonts w:ascii="Arial" w:cs="Arial" w:hAnsi="Arial"/>
          <w:color w:val="000000"/>
          <w:sz w:val="22"/>
        </w:rPr>
        <w:t xml:space="preserve"> au bénéfice des collaborateurs remplissant au moins une des conditions suivantes :</w:t>
      </w:r>
    </w:p>
    <w:p w14:paraId="39FB6D43" w14:textId="177D34C0" w:rsidP="00E82775" w:rsidR="003361ED" w:rsidRDefault="003361ED" w:rsidRPr="00E82775">
      <w:pPr>
        <w:pStyle w:val="Paragraphedeliste"/>
        <w:numPr>
          <w:ilvl w:val="0"/>
          <w:numId w:val="20"/>
        </w:numPr>
        <w:jc w:val="both"/>
        <w:rPr>
          <w:rFonts w:ascii="Arial" w:cs="Arial" w:hAnsi="Arial"/>
          <w:color w:val="000000"/>
          <w:sz w:val="22"/>
        </w:rPr>
      </w:pPr>
      <w:r w:rsidRPr="00E82775">
        <w:rPr>
          <w:rFonts w:ascii="Arial" w:cs="Arial" w:hAnsi="Arial"/>
          <w:color w:val="000000"/>
          <w:sz w:val="22"/>
        </w:rPr>
        <w:t>Ayant une rémunération mensuelle de base pour un équivalent temps plein inférieure ou égale à 2300 euros mensuels bruts.</w:t>
      </w:r>
    </w:p>
    <w:p w14:paraId="7D9B7BC1" w14:textId="395D65EB" w:rsidP="00E82775" w:rsidR="003361ED" w:rsidRDefault="003361ED" w:rsidRPr="00E82775">
      <w:pPr>
        <w:pStyle w:val="Paragraphedeliste"/>
        <w:numPr>
          <w:ilvl w:val="0"/>
          <w:numId w:val="20"/>
        </w:numPr>
        <w:jc w:val="both"/>
        <w:rPr>
          <w:rFonts w:ascii="Arial" w:cs="Arial" w:hAnsi="Arial"/>
          <w:color w:val="000000"/>
          <w:sz w:val="22"/>
        </w:rPr>
      </w:pPr>
      <w:r w:rsidRPr="00E82775">
        <w:rPr>
          <w:rFonts w:ascii="Arial" w:cs="Arial" w:hAnsi="Arial"/>
          <w:color w:val="000000"/>
          <w:sz w:val="22"/>
        </w:rPr>
        <w:t>Ayant une rémunération comprise entre le minimum conventionnel de la catégorie et ce minimum majoré de 10 %.</w:t>
      </w:r>
    </w:p>
    <w:p w14:paraId="3E4B3C89" w14:textId="77777777" w:rsidP="003361ED" w:rsidR="003361ED" w:rsidRDefault="003361ED" w:rsidRPr="003361ED">
      <w:pPr>
        <w:ind w:left="708"/>
        <w:jc w:val="both"/>
        <w:rPr>
          <w:rFonts w:ascii="Arial" w:cs="Arial" w:hAnsi="Arial"/>
          <w:color w:val="000000"/>
          <w:sz w:val="22"/>
        </w:rPr>
      </w:pPr>
    </w:p>
    <w:p w14:paraId="03E2AD39" w14:textId="1F3EC7DE" w:rsidP="003361ED" w:rsidR="003361ED" w:rsidRDefault="003361ED" w:rsidRPr="003361ED">
      <w:pPr>
        <w:jc w:val="both"/>
        <w:rPr>
          <w:rFonts w:ascii="Arial" w:cs="Arial" w:hAnsi="Arial"/>
          <w:color w:val="000000"/>
          <w:sz w:val="22"/>
        </w:rPr>
      </w:pPr>
      <w:r w:rsidRPr="003361ED">
        <w:rPr>
          <w:rFonts w:ascii="Arial" w:cs="Arial" w:hAnsi="Arial"/>
          <w:color w:val="000000"/>
          <w:sz w:val="22"/>
        </w:rPr>
        <w:t xml:space="preserve">Les salariés concernés par l’une ou les deux conditions susvisées bénéficieront d’une majoration de 100 € brut </w:t>
      </w:r>
      <w:r>
        <w:rPr>
          <w:rFonts w:ascii="Arial" w:cs="Arial" w:hAnsi="Arial"/>
          <w:color w:val="000000"/>
          <w:sz w:val="22"/>
        </w:rPr>
        <w:t>du 13</w:t>
      </w:r>
      <w:r w:rsidRPr="003361ED">
        <w:rPr>
          <w:rFonts w:ascii="Arial" w:cs="Arial" w:hAnsi="Arial"/>
          <w:color w:val="000000"/>
          <w:sz w:val="22"/>
          <w:vertAlign w:val="superscript"/>
        </w:rPr>
        <w:t>ième</w:t>
      </w:r>
      <w:r>
        <w:rPr>
          <w:rFonts w:ascii="Arial" w:cs="Arial" w:hAnsi="Arial"/>
          <w:color w:val="000000"/>
          <w:sz w:val="22"/>
        </w:rPr>
        <w:t xml:space="preserve"> mois</w:t>
      </w:r>
      <w:r w:rsidRPr="003361ED">
        <w:rPr>
          <w:rFonts w:ascii="Arial" w:cs="Arial" w:hAnsi="Arial"/>
          <w:color w:val="000000"/>
          <w:sz w:val="22"/>
        </w:rPr>
        <w:t xml:space="preserve"> pour un temps plein, versée en </w:t>
      </w:r>
      <w:r>
        <w:rPr>
          <w:rFonts w:ascii="Arial" w:cs="Arial" w:hAnsi="Arial"/>
          <w:color w:val="000000"/>
          <w:sz w:val="22"/>
        </w:rPr>
        <w:t>nove</w:t>
      </w:r>
      <w:r w:rsidRPr="003361ED">
        <w:rPr>
          <w:rFonts w:ascii="Arial" w:cs="Arial" w:hAnsi="Arial"/>
          <w:color w:val="000000"/>
          <w:sz w:val="22"/>
        </w:rPr>
        <w:t>mbre 2022.</w:t>
      </w:r>
    </w:p>
    <w:p w14:paraId="658E9FAB" w14:textId="0543C927" w:rsidP="00FE5679" w:rsidR="00F0735C" w:rsidRDefault="00695905">
      <w:pPr>
        <w:pStyle w:val="Titre30"/>
      </w:pPr>
      <w:bookmarkStart w:id="13" w:name="_Toc95844444"/>
      <w:r>
        <w:t xml:space="preserve">2.1.2 </w:t>
      </w:r>
      <w:r w:rsidR="00FE5679">
        <w:t xml:space="preserve">   </w:t>
      </w:r>
      <w:r w:rsidR="00F0735C" w:rsidRPr="00304339">
        <w:t xml:space="preserve">Personnel </w:t>
      </w:r>
      <w:r w:rsidR="00F0735C" w:rsidRPr="00D258B6">
        <w:rPr>
          <w:b/>
        </w:rPr>
        <w:t>cadre</w:t>
      </w:r>
      <w:bookmarkEnd w:id="13"/>
      <w:r w:rsidR="00F0735C" w:rsidRPr="00304339">
        <w:t xml:space="preserve"> </w:t>
      </w:r>
    </w:p>
    <w:p w14:paraId="5BFD474F" w14:textId="2939E3BF" w:rsidP="00F0735C" w:rsidR="00F0735C" w:rsidRDefault="00F0735C">
      <w:pPr>
        <w:jc w:val="both"/>
        <w:rPr>
          <w:rFonts w:ascii="Arial" w:cs="Arial" w:hAnsi="Arial"/>
          <w:color w:val="000000"/>
          <w:sz w:val="22"/>
        </w:rPr>
      </w:pPr>
      <w:r>
        <w:rPr>
          <w:rFonts w:ascii="Arial" w:cs="Arial" w:hAnsi="Arial"/>
          <w:color w:val="000000"/>
          <w:sz w:val="22"/>
        </w:rPr>
        <w:t>Augmentations individuelles : 2,</w:t>
      </w:r>
      <w:r w:rsidR="003361ED">
        <w:rPr>
          <w:rFonts w:ascii="Arial" w:cs="Arial" w:hAnsi="Arial"/>
          <w:color w:val="000000"/>
          <w:sz w:val="22"/>
        </w:rPr>
        <w:t>8</w:t>
      </w:r>
      <w:r>
        <w:rPr>
          <w:rFonts w:ascii="Arial" w:cs="Arial" w:hAnsi="Arial"/>
          <w:color w:val="000000"/>
          <w:sz w:val="22"/>
        </w:rPr>
        <w:t xml:space="preserve">0 </w:t>
      </w:r>
      <w:r w:rsidRPr="00304339">
        <w:rPr>
          <w:rFonts w:ascii="Arial" w:cs="Arial" w:hAnsi="Arial"/>
          <w:color w:val="000000"/>
          <w:sz w:val="22"/>
        </w:rPr>
        <w:t>%</w:t>
      </w:r>
    </w:p>
    <w:p w14:paraId="1EA57C4A" w14:textId="77777777" w:rsidP="00F0735C" w:rsidR="00F0735C" w:rsidRDefault="00F0735C">
      <w:pPr>
        <w:jc w:val="both"/>
        <w:rPr>
          <w:rFonts w:ascii="Arial" w:cs="Arial" w:hAnsi="Arial"/>
          <w:color w:val="000000"/>
          <w:sz w:val="22"/>
        </w:rPr>
      </w:pPr>
    </w:p>
    <w:p w14:paraId="20E5306F" w14:textId="54D25293" w:rsidP="00FF105F" w:rsidR="00FF105F" w:rsidRDefault="00FF105F">
      <w:pPr>
        <w:jc w:val="both"/>
        <w:rPr>
          <w:rFonts w:ascii="Arial" w:cs="Arial" w:hAnsi="Arial"/>
          <w:color w:val="000000"/>
          <w:sz w:val="22"/>
          <w:szCs w:val="22"/>
        </w:rPr>
      </w:pPr>
      <w:r>
        <w:rPr>
          <w:rFonts w:ascii="Arial" w:cs="Arial" w:hAnsi="Arial"/>
          <w:color w:val="000000"/>
          <w:sz w:val="22"/>
          <w:szCs w:val="22"/>
        </w:rPr>
        <w:t xml:space="preserve">Il est précisé que les Cadres </w:t>
      </w:r>
      <w:r w:rsidR="0057731C">
        <w:rPr>
          <w:rFonts w:ascii="Arial" w:cs="Arial" w:hAnsi="Arial"/>
          <w:color w:val="000000"/>
          <w:sz w:val="22"/>
          <w:szCs w:val="22"/>
        </w:rPr>
        <w:t>qui bénéficieront d’une augmentation,</w:t>
      </w:r>
      <w:r>
        <w:rPr>
          <w:rFonts w:ascii="Arial" w:cs="Arial" w:hAnsi="Arial"/>
          <w:color w:val="000000"/>
          <w:sz w:val="22"/>
          <w:szCs w:val="22"/>
        </w:rPr>
        <w:t xml:space="preserve"> bénéficieront à minima d’une augmentation individuelle de 1</w:t>
      </w:r>
      <w:r w:rsidR="003361ED">
        <w:rPr>
          <w:rFonts w:ascii="Arial" w:cs="Arial" w:hAnsi="Arial"/>
          <w:color w:val="000000"/>
          <w:sz w:val="22"/>
          <w:szCs w:val="22"/>
        </w:rPr>
        <w:t>,4</w:t>
      </w:r>
      <w:r>
        <w:rPr>
          <w:rFonts w:ascii="Arial" w:cs="Arial" w:hAnsi="Arial"/>
          <w:color w:val="000000"/>
          <w:sz w:val="22"/>
          <w:szCs w:val="22"/>
        </w:rPr>
        <w:t>%.</w:t>
      </w:r>
    </w:p>
    <w:p w14:paraId="54574830" w14:textId="77777777" w:rsidP="00FF105F" w:rsidR="00E82775" w:rsidRDefault="00E82775">
      <w:pPr>
        <w:jc w:val="both"/>
        <w:rPr>
          <w:rFonts w:ascii="Arial" w:cs="Arial" w:hAnsi="Arial"/>
          <w:color w:val="000000"/>
          <w:sz w:val="22"/>
          <w:szCs w:val="22"/>
        </w:rPr>
      </w:pPr>
    </w:p>
    <w:p w14:paraId="70C048B4" w14:textId="44B7B0DF" w:rsidP="00EA0AF0" w:rsidR="00E82775" w:rsidRDefault="00E82775">
      <w:pPr>
        <w:jc w:val="both"/>
        <w:rPr>
          <w:rFonts w:ascii="Arial" w:cs="Arial" w:hAnsi="Arial"/>
          <w:color w:val="000000"/>
          <w:sz w:val="22"/>
          <w:szCs w:val="22"/>
        </w:rPr>
      </w:pPr>
      <w:r>
        <w:rPr>
          <w:rFonts w:ascii="Arial" w:cs="Arial" w:hAnsi="Arial"/>
          <w:color w:val="000000"/>
          <w:sz w:val="22"/>
          <w:szCs w:val="22"/>
        </w:rPr>
        <w:t>Par ailleurs, a</w:t>
      </w:r>
      <w:r w:rsidRPr="00E82775">
        <w:rPr>
          <w:rFonts w:ascii="Arial" w:cs="Arial" w:hAnsi="Arial"/>
          <w:color w:val="000000"/>
          <w:sz w:val="22"/>
          <w:szCs w:val="22"/>
        </w:rPr>
        <w:t xml:space="preserve">u titre de l’année 2022, une disposition est mise en œuvre pour majorer le montant total </w:t>
      </w:r>
      <w:r>
        <w:rPr>
          <w:rFonts w:ascii="Arial" w:cs="Arial" w:hAnsi="Arial"/>
          <w:color w:val="000000"/>
          <w:sz w:val="22"/>
        </w:rPr>
        <w:t>du versement annuel du</w:t>
      </w:r>
      <w:r w:rsidRPr="003361ED">
        <w:rPr>
          <w:rFonts w:ascii="Arial" w:cs="Arial" w:hAnsi="Arial"/>
          <w:color w:val="000000"/>
          <w:sz w:val="22"/>
        </w:rPr>
        <w:t xml:space="preserve"> 13ème mois</w:t>
      </w:r>
      <w:r>
        <w:rPr>
          <w:rFonts w:ascii="Arial" w:cs="Arial" w:hAnsi="Arial"/>
          <w:color w:val="000000"/>
          <w:sz w:val="22"/>
        </w:rPr>
        <w:t>,</w:t>
      </w:r>
      <w:r w:rsidRPr="00E82775">
        <w:rPr>
          <w:rFonts w:ascii="Arial" w:cs="Arial" w:hAnsi="Arial"/>
          <w:color w:val="000000"/>
          <w:sz w:val="22"/>
          <w:szCs w:val="22"/>
        </w:rPr>
        <w:t xml:space="preserve"> au bénéfice des ingénieurs et cadres des positions I et II, dont</w:t>
      </w:r>
      <w:r>
        <w:rPr>
          <w:rFonts w:ascii="Arial" w:cs="Arial" w:hAnsi="Arial"/>
          <w:color w:val="000000"/>
          <w:sz w:val="22"/>
          <w:szCs w:val="22"/>
        </w:rPr>
        <w:t> </w:t>
      </w:r>
      <w:r w:rsidRPr="00E82775">
        <w:rPr>
          <w:rFonts w:ascii="Arial" w:cs="Arial" w:hAnsi="Arial"/>
          <w:color w:val="000000"/>
          <w:sz w:val="22"/>
          <w:szCs w:val="22"/>
        </w:rPr>
        <w:t>la rémunération est comprise entre le minimum conventionnel de la catégorie et ce minimum majoré de 10 %.</w:t>
      </w:r>
    </w:p>
    <w:p w14:paraId="77803C5C" w14:textId="77777777" w:rsidP="00E82775" w:rsidR="00E82775" w:rsidRDefault="00E82775" w:rsidRPr="00E82775">
      <w:pPr>
        <w:jc w:val="both"/>
        <w:rPr>
          <w:rFonts w:ascii="Arial" w:cs="Arial" w:hAnsi="Arial"/>
          <w:color w:val="000000"/>
          <w:sz w:val="22"/>
          <w:szCs w:val="22"/>
        </w:rPr>
      </w:pPr>
    </w:p>
    <w:p w14:paraId="337949C2" w14:textId="42D0A363" w:rsidP="00E82775" w:rsidR="00E82775" w:rsidRDefault="00E82775">
      <w:pPr>
        <w:jc w:val="both"/>
        <w:rPr>
          <w:rFonts w:ascii="Arial" w:cs="Arial" w:hAnsi="Arial"/>
          <w:color w:val="000000"/>
          <w:sz w:val="22"/>
          <w:szCs w:val="22"/>
        </w:rPr>
      </w:pPr>
      <w:r w:rsidRPr="00E82775">
        <w:rPr>
          <w:rFonts w:ascii="Arial" w:cs="Arial" w:hAnsi="Arial"/>
          <w:color w:val="000000"/>
          <w:sz w:val="22"/>
          <w:szCs w:val="22"/>
        </w:rPr>
        <w:t xml:space="preserve">Les salariés concernés bénéficieront d’une majoration de 100 € brut de la prime semestrielle </w:t>
      </w:r>
      <w:r>
        <w:rPr>
          <w:rFonts w:ascii="Arial" w:cs="Arial" w:hAnsi="Arial"/>
          <w:color w:val="000000"/>
          <w:sz w:val="22"/>
          <w:szCs w:val="22"/>
        </w:rPr>
        <w:t>pour un temps plein, versée en nove</w:t>
      </w:r>
      <w:r w:rsidRPr="00E82775">
        <w:rPr>
          <w:rFonts w:ascii="Arial" w:cs="Arial" w:hAnsi="Arial"/>
          <w:color w:val="000000"/>
          <w:sz w:val="22"/>
          <w:szCs w:val="22"/>
        </w:rPr>
        <w:t>mbre 2022.</w:t>
      </w:r>
    </w:p>
    <w:p w14:paraId="4D9DED83" w14:textId="77777777" w:rsidP="00F0735C" w:rsidR="00F0735C" w:rsidRDefault="00F0735C">
      <w:pPr>
        <w:jc w:val="both"/>
        <w:rPr>
          <w:rFonts w:ascii="Arial" w:cs="Arial" w:hAnsi="Arial"/>
          <w:color w:val="000000"/>
          <w:sz w:val="22"/>
        </w:rPr>
      </w:pPr>
    </w:p>
    <w:p w14:paraId="0973F5F0" w14:textId="77777777" w:rsidP="00F0735C" w:rsidR="0035484A" w:rsidRDefault="0035484A">
      <w:pPr>
        <w:jc w:val="both"/>
        <w:rPr>
          <w:rFonts w:ascii="Arial" w:cs="Arial" w:hAnsi="Arial"/>
          <w:color w:val="000000"/>
          <w:sz w:val="22"/>
        </w:rPr>
      </w:pPr>
    </w:p>
    <w:p w14:paraId="229492A8" w14:textId="77777777" w:rsidP="00F0735C" w:rsidR="0035484A" w:rsidRDefault="0035484A">
      <w:pPr>
        <w:jc w:val="both"/>
        <w:rPr>
          <w:rFonts w:ascii="Arial" w:cs="Arial" w:hAnsi="Arial"/>
          <w:color w:val="000000"/>
          <w:sz w:val="22"/>
        </w:rPr>
      </w:pPr>
    </w:p>
    <w:p w14:paraId="38CAF898" w14:textId="77777777" w:rsidP="00F0735C" w:rsidR="0035484A" w:rsidRDefault="0035484A">
      <w:pPr>
        <w:jc w:val="both"/>
        <w:rPr>
          <w:rFonts w:ascii="Arial" w:cs="Arial" w:hAnsi="Arial"/>
          <w:color w:val="000000"/>
          <w:sz w:val="22"/>
        </w:rPr>
      </w:pPr>
    </w:p>
    <w:p w14:paraId="23A59753" w14:textId="6F8CA123" w:rsidP="00FE5679" w:rsidR="00F0735C" w:rsidRDefault="00695905" w:rsidRPr="001822D4">
      <w:pPr>
        <w:pStyle w:val="Titre30"/>
      </w:pPr>
      <w:bookmarkStart w:id="14" w:name="_Toc95844445"/>
      <w:r>
        <w:lastRenderedPageBreak/>
        <w:t>2.1.3</w:t>
      </w:r>
      <w:r w:rsidR="00F0735C">
        <w:t xml:space="preserve"> </w:t>
      </w:r>
      <w:r w:rsidR="0057731C" w:rsidRPr="0057731C">
        <w:t>Budget spécifique de 0,2%</w:t>
      </w:r>
      <w:bookmarkEnd w:id="14"/>
      <w:r w:rsidR="0057731C" w:rsidRPr="0057731C">
        <w:t xml:space="preserve"> </w:t>
      </w:r>
    </w:p>
    <w:p w14:paraId="191348D4" w14:textId="29ED9EEB" w:rsidP="00F0735C" w:rsidR="00F0735C" w:rsidRDefault="00F0735C">
      <w:pPr>
        <w:jc w:val="both"/>
        <w:rPr>
          <w:rFonts w:ascii="Arial" w:cs="Arial" w:hAnsi="Arial"/>
          <w:color w:val="000000"/>
          <w:sz w:val="22"/>
        </w:rPr>
      </w:pPr>
      <w:r>
        <w:rPr>
          <w:rFonts w:ascii="Arial" w:cs="Arial" w:hAnsi="Arial"/>
          <w:color w:val="000000"/>
          <w:sz w:val="22"/>
        </w:rPr>
        <w:t>En complément aux mesures salariales ci-d</w:t>
      </w:r>
      <w:r w:rsidR="00070418">
        <w:rPr>
          <w:rFonts w:ascii="Arial" w:cs="Arial" w:hAnsi="Arial"/>
          <w:color w:val="000000"/>
          <w:sz w:val="22"/>
        </w:rPr>
        <w:t>essus, i</w:t>
      </w:r>
      <w:r>
        <w:rPr>
          <w:rFonts w:ascii="Arial" w:cs="Arial" w:hAnsi="Arial"/>
          <w:color w:val="000000"/>
          <w:sz w:val="22"/>
        </w:rPr>
        <w:t>l est alloué un budget spécifique de 0,</w:t>
      </w:r>
      <w:r w:rsidR="0057731C">
        <w:rPr>
          <w:rFonts w:ascii="Arial" w:cs="Arial" w:hAnsi="Arial"/>
          <w:color w:val="000000"/>
          <w:sz w:val="22"/>
        </w:rPr>
        <w:t>20%.</w:t>
      </w:r>
      <w:r>
        <w:rPr>
          <w:rFonts w:ascii="Arial" w:cs="Arial" w:hAnsi="Arial"/>
          <w:color w:val="000000"/>
          <w:sz w:val="22"/>
        </w:rPr>
        <w:t xml:space="preserve"> Son application se fera au 1</w:t>
      </w:r>
      <w:r w:rsidRPr="00BE0C12">
        <w:rPr>
          <w:rFonts w:ascii="Arial" w:cs="Arial" w:hAnsi="Arial"/>
          <w:color w:val="000000"/>
          <w:sz w:val="22"/>
          <w:vertAlign w:val="superscript"/>
        </w:rPr>
        <w:t>er</w:t>
      </w:r>
      <w:r>
        <w:rPr>
          <w:rFonts w:ascii="Arial" w:cs="Arial" w:hAnsi="Arial"/>
          <w:color w:val="000000"/>
          <w:sz w:val="22"/>
        </w:rPr>
        <w:t xml:space="preserve"> j</w:t>
      </w:r>
      <w:r w:rsidR="0057731C">
        <w:rPr>
          <w:rFonts w:ascii="Arial" w:cs="Arial" w:hAnsi="Arial"/>
          <w:color w:val="000000"/>
          <w:sz w:val="22"/>
        </w:rPr>
        <w:t>uillet</w:t>
      </w:r>
      <w:r>
        <w:rPr>
          <w:rFonts w:ascii="Arial" w:cs="Arial" w:hAnsi="Arial"/>
          <w:color w:val="000000"/>
          <w:sz w:val="22"/>
        </w:rPr>
        <w:t xml:space="preserve"> 202</w:t>
      </w:r>
      <w:r w:rsidR="0057731C">
        <w:rPr>
          <w:rFonts w:ascii="Arial" w:cs="Arial" w:hAnsi="Arial"/>
          <w:color w:val="000000"/>
          <w:sz w:val="22"/>
        </w:rPr>
        <w:t>2</w:t>
      </w:r>
      <w:r>
        <w:rPr>
          <w:rFonts w:ascii="Arial" w:cs="Arial" w:hAnsi="Arial"/>
          <w:color w:val="000000"/>
          <w:sz w:val="22"/>
        </w:rPr>
        <w:t>.</w:t>
      </w:r>
    </w:p>
    <w:p w14:paraId="13DDBA45" w14:textId="77777777" w:rsidP="00F0735C" w:rsidR="00F0735C" w:rsidRDefault="00F0735C">
      <w:pPr>
        <w:jc w:val="both"/>
        <w:rPr>
          <w:rFonts w:ascii="Arial" w:cs="Arial" w:hAnsi="Arial"/>
          <w:color w:val="000000"/>
          <w:sz w:val="22"/>
        </w:rPr>
      </w:pPr>
    </w:p>
    <w:p w14:paraId="5108819E" w14:textId="75950732" w:rsidP="0057731C" w:rsidR="0057731C" w:rsidRDefault="0057731C" w:rsidRPr="0057731C">
      <w:pPr>
        <w:jc w:val="both"/>
        <w:rPr>
          <w:rFonts w:ascii="Arial" w:cs="Arial" w:hAnsi="Arial"/>
          <w:color w:val="000000"/>
          <w:sz w:val="22"/>
        </w:rPr>
      </w:pPr>
      <w:r>
        <w:rPr>
          <w:rFonts w:ascii="Arial" w:cs="Arial" w:hAnsi="Arial"/>
          <w:color w:val="000000"/>
          <w:sz w:val="22"/>
        </w:rPr>
        <w:t xml:space="preserve">Ce budget sera consacré </w:t>
      </w:r>
      <w:r w:rsidRPr="0057731C">
        <w:rPr>
          <w:rFonts w:ascii="Arial" w:cs="Arial" w:hAnsi="Arial"/>
          <w:color w:val="000000"/>
          <w:sz w:val="22"/>
        </w:rPr>
        <w:t>:</w:t>
      </w:r>
    </w:p>
    <w:p w14:paraId="20CF9C12" w14:textId="77777777" w:rsidP="0057731C" w:rsidR="0057731C" w:rsidRDefault="0057731C" w:rsidRPr="0057731C">
      <w:pPr>
        <w:pStyle w:val="Paragraphedeliste"/>
        <w:numPr>
          <w:ilvl w:val="0"/>
          <w:numId w:val="17"/>
        </w:numPr>
        <w:jc w:val="both"/>
        <w:rPr>
          <w:rFonts w:ascii="Arial" w:cs="Arial" w:hAnsi="Arial"/>
          <w:color w:val="000000"/>
          <w:sz w:val="22"/>
        </w:rPr>
      </w:pPr>
      <w:r>
        <w:rPr>
          <w:rFonts w:ascii="Arial" w:cs="Arial" w:hAnsi="Arial"/>
          <w:color w:val="000000"/>
          <w:sz w:val="22"/>
        </w:rPr>
        <w:t xml:space="preserve">A l’égalité Femmes / </w:t>
      </w:r>
      <w:r w:rsidRPr="0057731C">
        <w:rPr>
          <w:rFonts w:ascii="Arial" w:cs="Arial" w:hAnsi="Arial"/>
          <w:color w:val="000000"/>
          <w:sz w:val="22"/>
        </w:rPr>
        <w:t>Hommes,</w:t>
      </w:r>
    </w:p>
    <w:p w14:paraId="4E615C12" w14:textId="47C6F7EF" w:rsidP="0057731C" w:rsidR="0057731C" w:rsidRDefault="0057731C" w:rsidRPr="0057731C">
      <w:pPr>
        <w:pStyle w:val="Paragraphedeliste"/>
        <w:numPr>
          <w:ilvl w:val="0"/>
          <w:numId w:val="17"/>
        </w:numPr>
        <w:jc w:val="both"/>
        <w:rPr>
          <w:rFonts w:ascii="Arial" w:cs="Arial" w:hAnsi="Arial"/>
          <w:color w:val="000000"/>
          <w:sz w:val="22"/>
        </w:rPr>
      </w:pPr>
      <w:r w:rsidRPr="0057731C">
        <w:rPr>
          <w:rFonts w:ascii="Arial" w:cs="Arial" w:hAnsi="Arial"/>
          <w:color w:val="000000"/>
          <w:sz w:val="22"/>
        </w:rPr>
        <w:t>A l’accompagnement des promotions,</w:t>
      </w:r>
    </w:p>
    <w:p w14:paraId="4DD533B0" w14:textId="065460DF" w:rsidP="0057731C" w:rsidR="0057731C" w:rsidRDefault="0057731C" w:rsidRPr="0057731C">
      <w:pPr>
        <w:pStyle w:val="Paragraphedeliste"/>
        <w:numPr>
          <w:ilvl w:val="0"/>
          <w:numId w:val="17"/>
        </w:numPr>
        <w:jc w:val="both"/>
        <w:rPr>
          <w:rFonts w:ascii="Arial" w:cs="Arial" w:hAnsi="Arial"/>
          <w:color w:val="000000"/>
          <w:sz w:val="22"/>
        </w:rPr>
      </w:pPr>
      <w:r w:rsidRPr="0057731C">
        <w:rPr>
          <w:rFonts w:ascii="Arial" w:cs="Arial" w:hAnsi="Arial"/>
          <w:color w:val="000000"/>
          <w:sz w:val="22"/>
        </w:rPr>
        <w:t>Aux premiers niveaux de salaire</w:t>
      </w:r>
      <w:r>
        <w:rPr>
          <w:rFonts w:ascii="Arial" w:cs="Arial" w:hAnsi="Arial"/>
          <w:color w:val="000000"/>
          <w:sz w:val="22"/>
        </w:rPr>
        <w:t>,</w:t>
      </w:r>
    </w:p>
    <w:p w14:paraId="072CB2B2" w14:textId="0CB86D06" w:rsidP="0057731C" w:rsidR="0057731C" w:rsidRDefault="0057731C" w:rsidRPr="0057731C">
      <w:pPr>
        <w:pStyle w:val="Paragraphedeliste"/>
        <w:numPr>
          <w:ilvl w:val="0"/>
          <w:numId w:val="17"/>
        </w:numPr>
        <w:jc w:val="both"/>
        <w:rPr>
          <w:rFonts w:ascii="Arial" w:cs="Arial" w:hAnsi="Arial"/>
          <w:color w:val="000000"/>
          <w:sz w:val="22"/>
        </w:rPr>
      </w:pPr>
      <w:r w:rsidRPr="0057731C">
        <w:rPr>
          <w:rFonts w:ascii="Arial" w:cs="Arial" w:hAnsi="Arial"/>
          <w:color w:val="000000"/>
          <w:sz w:val="22"/>
        </w:rPr>
        <w:t>A la valorisation de missions de transmission du savoir.</w:t>
      </w:r>
    </w:p>
    <w:p w14:paraId="58CFFC47" w14:textId="77777777" w:rsidP="0057731C" w:rsidR="0057731C" w:rsidRDefault="0057731C" w:rsidRPr="0057731C">
      <w:pPr>
        <w:jc w:val="both"/>
        <w:rPr>
          <w:rFonts w:ascii="Arial" w:cs="Arial" w:hAnsi="Arial"/>
          <w:color w:val="000000"/>
          <w:sz w:val="22"/>
        </w:rPr>
      </w:pPr>
    </w:p>
    <w:p w14:paraId="6E16493F" w14:textId="3E0E10AD" w:rsidP="0057731C" w:rsidR="00BB593E" w:rsidRDefault="0057731C">
      <w:pPr>
        <w:jc w:val="both"/>
        <w:rPr>
          <w:rFonts w:ascii="Arial" w:cs="Arial" w:hAnsi="Arial"/>
          <w:color w:val="000000"/>
          <w:sz w:val="22"/>
        </w:rPr>
      </w:pPr>
      <w:r w:rsidRPr="0057731C">
        <w:rPr>
          <w:rFonts w:ascii="Arial" w:cs="Arial" w:hAnsi="Arial"/>
          <w:color w:val="000000"/>
          <w:sz w:val="22"/>
        </w:rPr>
        <w:t>Une priorité sera donnée aux évolutions de rémunération et de carrière des jeunes.</w:t>
      </w:r>
    </w:p>
    <w:p w14:paraId="6804E467" w14:textId="77777777" w:rsidP="00F0735C" w:rsidR="00BB593E" w:rsidRDefault="00BB593E">
      <w:pPr>
        <w:jc w:val="both"/>
        <w:rPr>
          <w:rFonts w:ascii="Arial" w:cs="Arial" w:hAnsi="Arial"/>
          <w:color w:val="000000"/>
          <w:sz w:val="22"/>
        </w:rPr>
      </w:pPr>
    </w:p>
    <w:p w14:paraId="1EBB40A0" w14:textId="77777777" w:rsidP="00F0735C" w:rsidR="00BB593E" w:rsidRDefault="00BB593E">
      <w:pPr>
        <w:jc w:val="both"/>
        <w:rPr>
          <w:rFonts w:ascii="Arial" w:cs="Arial" w:hAnsi="Arial"/>
          <w:color w:val="000000"/>
          <w:sz w:val="22"/>
        </w:rPr>
      </w:pPr>
    </w:p>
    <w:p w14:paraId="6073F98B" w14:textId="65711914" w:rsidP="00BB593E" w:rsidR="00F0735C" w:rsidRDefault="00F0735C" w:rsidRPr="001822D4">
      <w:pPr>
        <w:pStyle w:val="Titre20"/>
      </w:pPr>
      <w:bookmarkStart w:id="15" w:name="_Toc95844446"/>
      <w:r>
        <w:t xml:space="preserve">Article </w:t>
      </w:r>
      <w:r w:rsidR="00695905">
        <w:t>2.2</w:t>
      </w:r>
      <w:r>
        <w:t xml:space="preserve"> - Autres mesures</w:t>
      </w:r>
      <w:r w:rsidR="009652B6">
        <w:t xml:space="preserve"> salariales </w:t>
      </w:r>
      <w:r w:rsidR="0035484A">
        <w:t>et</w:t>
      </w:r>
      <w:r w:rsidR="009652B6">
        <w:t xml:space="preserve"> sociales</w:t>
      </w:r>
      <w:bookmarkEnd w:id="15"/>
    </w:p>
    <w:p w14:paraId="5C39298E" w14:textId="77777777" w:rsidP="00F0735C" w:rsidR="00F0735C" w:rsidRDefault="00F0735C">
      <w:pPr>
        <w:ind w:left="360"/>
        <w:jc w:val="both"/>
        <w:rPr>
          <w:rFonts w:ascii="Arial" w:hAnsi="Arial"/>
          <w:sz w:val="22"/>
        </w:rPr>
      </w:pPr>
    </w:p>
    <w:p w14:paraId="1BA87328" w14:textId="77777777" w:rsidP="00FE5679" w:rsidR="009652B6" w:rsidRDefault="00695905">
      <w:pPr>
        <w:pStyle w:val="Titre30"/>
      </w:pPr>
      <w:bookmarkStart w:id="16" w:name="_Toc95844447"/>
      <w:r>
        <w:t xml:space="preserve">2.2.1 </w:t>
      </w:r>
      <w:r w:rsidR="009652B6">
        <w:t>Revalorisation des frais de repas en déplacement</w:t>
      </w:r>
      <w:bookmarkEnd w:id="16"/>
    </w:p>
    <w:p w14:paraId="3B13C75F" w14:textId="63338EE6" w:rsidP="0035484A" w:rsidR="009652B6" w:rsidRDefault="009652B6" w:rsidRPr="0035484A">
      <w:pPr>
        <w:rPr>
          <w:rFonts w:ascii="Arial" w:hAnsi="Arial"/>
          <w:sz w:val="22"/>
        </w:rPr>
      </w:pPr>
      <w:r w:rsidRPr="0035484A">
        <w:rPr>
          <w:rFonts w:ascii="Arial" w:hAnsi="Arial"/>
          <w:sz w:val="22"/>
        </w:rPr>
        <w:t>Les indemnités de remboursement des repas évoluent de 20 € à 25 € pour un repas soit 50 € pour 2 repas par jour, à compter du 1er mars 2022.</w:t>
      </w:r>
    </w:p>
    <w:p w14:paraId="17FC012F" w14:textId="25AE42FB" w:rsidP="00FE5679" w:rsidR="00F0735C" w:rsidRDefault="009652B6">
      <w:pPr>
        <w:pStyle w:val="Titre30"/>
      </w:pPr>
      <w:bookmarkStart w:id="17" w:name="_Toc95844448"/>
      <w:r>
        <w:t xml:space="preserve">2.2.2 </w:t>
      </w:r>
      <w:r w:rsidR="00B22C49">
        <w:t>Tickets restaurants</w:t>
      </w:r>
      <w:r w:rsidR="00F0735C">
        <w:t xml:space="preserve"> : </w:t>
      </w:r>
      <w:r w:rsidR="00EA0AF0">
        <w:t>revalorisation à 8,50 €</w:t>
      </w:r>
      <w:bookmarkEnd w:id="17"/>
    </w:p>
    <w:p w14:paraId="4FE42EB0" w14:textId="60514E41" w:rsidP="00F0735C" w:rsidR="00EA0AF0" w:rsidRDefault="00F0735C">
      <w:pPr>
        <w:jc w:val="both"/>
        <w:rPr>
          <w:rFonts w:ascii="Arial" w:hAnsi="Arial"/>
          <w:sz w:val="22"/>
        </w:rPr>
      </w:pPr>
      <w:r>
        <w:rPr>
          <w:rFonts w:ascii="Arial" w:hAnsi="Arial"/>
          <w:sz w:val="22"/>
        </w:rPr>
        <w:t xml:space="preserve">La </w:t>
      </w:r>
      <w:r w:rsidR="00EA0AF0">
        <w:rPr>
          <w:rFonts w:ascii="Arial" w:hAnsi="Arial"/>
          <w:sz w:val="22"/>
        </w:rPr>
        <w:t>valeur faciale du ticket restaurant est revalorisée de 6,25% et est ainsi portée à 8,50 € au 1</w:t>
      </w:r>
      <w:r w:rsidR="00EA0AF0" w:rsidRPr="00EA0AF0">
        <w:rPr>
          <w:rFonts w:ascii="Arial" w:hAnsi="Arial"/>
          <w:sz w:val="22"/>
          <w:vertAlign w:val="superscript"/>
        </w:rPr>
        <w:t>er</w:t>
      </w:r>
      <w:r w:rsidR="00EA0AF0">
        <w:rPr>
          <w:rFonts w:ascii="Arial" w:hAnsi="Arial"/>
          <w:sz w:val="22"/>
        </w:rPr>
        <w:t xml:space="preserve"> </w:t>
      </w:r>
      <w:r w:rsidR="00213B62">
        <w:rPr>
          <w:rFonts w:ascii="Arial" w:hAnsi="Arial"/>
          <w:sz w:val="22"/>
        </w:rPr>
        <w:t>avril</w:t>
      </w:r>
      <w:r w:rsidR="00EA0AF0">
        <w:rPr>
          <w:rFonts w:ascii="Arial" w:hAnsi="Arial"/>
          <w:sz w:val="22"/>
        </w:rPr>
        <w:t xml:space="preserve"> 2022. </w:t>
      </w:r>
    </w:p>
    <w:p w14:paraId="4D1E158B" w14:textId="77777777" w:rsidP="00F0735C" w:rsidR="00EA0AF0" w:rsidRDefault="00EA0AF0">
      <w:pPr>
        <w:jc w:val="both"/>
        <w:rPr>
          <w:rFonts w:ascii="Arial" w:hAnsi="Arial"/>
          <w:sz w:val="22"/>
        </w:rPr>
      </w:pPr>
    </w:p>
    <w:p w14:paraId="3E5B76EE" w14:textId="7FDFF099" w:rsidP="00F0735C" w:rsidR="00EA0AF0" w:rsidRDefault="00EA0AF0">
      <w:pPr>
        <w:jc w:val="both"/>
        <w:rPr>
          <w:rFonts w:ascii="Arial" w:hAnsi="Arial"/>
          <w:sz w:val="22"/>
        </w:rPr>
      </w:pPr>
      <w:r>
        <w:rPr>
          <w:rFonts w:ascii="Arial" w:hAnsi="Arial"/>
          <w:sz w:val="22"/>
        </w:rPr>
        <w:t>La répartition du financement reste à 60% pour la part employeur et 40% pour la part salariale.</w:t>
      </w:r>
    </w:p>
    <w:p w14:paraId="34665F58" w14:textId="77777777" w:rsidP="00F0735C" w:rsidR="00EA0AF0" w:rsidRDefault="00EA0AF0">
      <w:pPr>
        <w:jc w:val="both"/>
        <w:rPr>
          <w:rFonts w:ascii="Arial" w:hAnsi="Arial"/>
          <w:sz w:val="22"/>
        </w:rPr>
      </w:pPr>
    </w:p>
    <w:p w14:paraId="34179589" w14:textId="1367D5A1" w:rsidP="00FE5679" w:rsidR="00F0735C" w:rsidRDefault="009652B6" w:rsidRPr="003F00AF">
      <w:pPr>
        <w:pStyle w:val="Titre30"/>
      </w:pPr>
      <w:bookmarkStart w:id="18" w:name="_Toc95844449"/>
      <w:r>
        <w:t>2.2.3</w:t>
      </w:r>
      <w:r w:rsidR="00FE5679">
        <w:t xml:space="preserve"> </w:t>
      </w:r>
      <w:r w:rsidR="00213B62">
        <w:t>Elargissement et revalorisation de la prime de sujétion</w:t>
      </w:r>
      <w:bookmarkEnd w:id="18"/>
      <w:r w:rsidR="00213B62">
        <w:t xml:space="preserve"> </w:t>
      </w:r>
    </w:p>
    <w:p w14:paraId="38808A53" w14:textId="77777777" w:rsidP="00F0735C" w:rsidR="00213B62" w:rsidRDefault="00F0735C">
      <w:pPr>
        <w:jc w:val="both"/>
        <w:rPr>
          <w:rFonts w:ascii="Arial" w:hAnsi="Arial"/>
          <w:sz w:val="22"/>
        </w:rPr>
      </w:pPr>
      <w:r>
        <w:rPr>
          <w:rFonts w:ascii="Arial" w:hAnsi="Arial"/>
          <w:sz w:val="22"/>
        </w:rPr>
        <w:t>L</w:t>
      </w:r>
      <w:r w:rsidR="00213B62">
        <w:rPr>
          <w:rFonts w:ascii="Arial" w:hAnsi="Arial"/>
          <w:sz w:val="22"/>
        </w:rPr>
        <w:t xml:space="preserve">’attribution de la prime de sujétion est élargie au personnel du Traitement Thermique, dont le poste nécessite le port quotidien et fortement contraignant d’équipements de protection individuelle. </w:t>
      </w:r>
    </w:p>
    <w:p w14:paraId="6929ED6E" w14:textId="77777777" w:rsidP="00F0735C" w:rsidR="00213B62" w:rsidRDefault="00213B62">
      <w:pPr>
        <w:jc w:val="both"/>
        <w:rPr>
          <w:rFonts w:ascii="Arial" w:hAnsi="Arial"/>
          <w:sz w:val="22"/>
        </w:rPr>
      </w:pPr>
    </w:p>
    <w:p w14:paraId="07D084DC" w14:textId="36475238" w:rsidP="00F0735C" w:rsidR="00F0735C" w:rsidRDefault="00213B62">
      <w:pPr>
        <w:jc w:val="both"/>
        <w:rPr>
          <w:rFonts w:ascii="Arial" w:hAnsi="Arial"/>
          <w:sz w:val="22"/>
        </w:rPr>
      </w:pPr>
      <w:r>
        <w:rPr>
          <w:rFonts w:ascii="Arial" w:hAnsi="Arial"/>
          <w:sz w:val="22"/>
        </w:rPr>
        <w:t>Son montant mensuel est revalorisé de 66,66% et porté à 150 € bruts mensuels.</w:t>
      </w:r>
    </w:p>
    <w:p w14:paraId="6585B3F7" w14:textId="77777777" w:rsidP="00F0735C" w:rsidR="00F0735C" w:rsidRDefault="00F0735C">
      <w:pPr>
        <w:jc w:val="both"/>
        <w:rPr>
          <w:rFonts w:ascii="Arial" w:hAnsi="Arial"/>
          <w:sz w:val="22"/>
        </w:rPr>
      </w:pPr>
    </w:p>
    <w:p w14:paraId="28B87830" w14:textId="7E428BBF" w:rsidP="00FE5679" w:rsidR="00F0735C" w:rsidRDefault="009652B6">
      <w:pPr>
        <w:pStyle w:val="Titre30"/>
      </w:pPr>
      <w:bookmarkStart w:id="19" w:name="_Toc95844450"/>
      <w:r>
        <w:t>2.2.4</w:t>
      </w:r>
      <w:r w:rsidR="00FE5679">
        <w:t xml:space="preserve"> </w:t>
      </w:r>
      <w:r w:rsidR="0078336A" w:rsidRPr="0078336A">
        <w:t>Mise en place du Chèque Emploi Service Universel (CESU)</w:t>
      </w:r>
      <w:bookmarkEnd w:id="19"/>
    </w:p>
    <w:p w14:paraId="159FD9F1" w14:textId="2143BB89" w:rsidP="0078336A" w:rsidR="0078336A" w:rsidRDefault="0078336A" w:rsidRPr="0078336A">
      <w:pPr>
        <w:pStyle w:val="Titre4"/>
        <w:tabs>
          <w:tab w:pos="709" w:val="left"/>
        </w:tabs>
        <w:spacing w:after="240" w:before="0"/>
        <w:jc w:val="both"/>
        <w:rPr>
          <w:rFonts w:ascii="Arial" w:cs="Times New Roman" w:eastAsia="Times New Roman" w:hAnsi="Arial"/>
          <w:i w:val="0"/>
          <w:iCs w:val="0"/>
          <w:color w:val="auto"/>
          <w:sz w:val="22"/>
        </w:rPr>
      </w:pPr>
      <w:r>
        <w:rPr>
          <w:rFonts w:ascii="Arial" w:cs="Times New Roman" w:eastAsia="Times New Roman" w:hAnsi="Arial"/>
          <w:i w:val="0"/>
          <w:iCs w:val="0"/>
          <w:color w:val="auto"/>
          <w:sz w:val="22"/>
        </w:rPr>
        <w:t>A</w:t>
      </w:r>
      <w:r w:rsidRPr="0078336A">
        <w:rPr>
          <w:rFonts w:ascii="Arial" w:cs="Times New Roman" w:eastAsia="Times New Roman" w:hAnsi="Arial"/>
          <w:i w:val="0"/>
          <w:iCs w:val="0"/>
          <w:color w:val="auto"/>
          <w:sz w:val="22"/>
        </w:rPr>
        <w:t xml:space="preserve">fin de favoriser la meilleure contribution de chacun au succès de l’entreprise, tout en veillant au bon équilibre vie personnelle/vie professionnelle, l’entreprise </w:t>
      </w:r>
      <w:r>
        <w:rPr>
          <w:rFonts w:ascii="Arial" w:cs="Times New Roman" w:eastAsia="Times New Roman" w:hAnsi="Arial"/>
          <w:i w:val="0"/>
          <w:iCs w:val="0"/>
          <w:color w:val="auto"/>
          <w:sz w:val="22"/>
        </w:rPr>
        <w:t xml:space="preserve">met en place </w:t>
      </w:r>
      <w:r w:rsidRPr="0078336A">
        <w:rPr>
          <w:rFonts w:ascii="Arial" w:cs="Times New Roman" w:eastAsia="Times New Roman" w:hAnsi="Arial"/>
          <w:i w:val="0"/>
          <w:iCs w:val="0"/>
          <w:color w:val="auto"/>
          <w:sz w:val="22"/>
        </w:rPr>
        <w:t>des actions volontaristes de soutien à destination de ses salariés en s’appuyant sur le dispositif du CESU.</w:t>
      </w:r>
    </w:p>
    <w:p w14:paraId="30793C5A" w14:textId="1C67534D" w:rsidP="00A33FFF" w:rsidR="0078336A" w:rsidRDefault="009652B6" w:rsidRPr="00E3073A">
      <w:pPr>
        <w:pStyle w:val="Titre4"/>
        <w:tabs>
          <w:tab w:pos="709" w:val="left"/>
        </w:tabs>
        <w:spacing w:after="240" w:before="0"/>
        <w:ind w:left="1416"/>
        <w:jc w:val="both"/>
        <w:rPr>
          <w:rFonts w:ascii="Tahoma" w:cs="Tahoma" w:hAnsi="Tahoma"/>
          <w:sz w:val="22"/>
        </w:rPr>
      </w:pPr>
      <w:r>
        <w:rPr>
          <w:rFonts w:ascii="Tahoma" w:cs="Tahoma" w:hAnsi="Tahoma"/>
          <w:sz w:val="22"/>
        </w:rPr>
        <w:t>2.2.4</w:t>
      </w:r>
      <w:r w:rsidR="0078336A" w:rsidRPr="00E3073A">
        <w:rPr>
          <w:rFonts w:ascii="Tahoma" w:cs="Tahoma" w:hAnsi="Tahoma"/>
          <w:sz w:val="22"/>
        </w:rPr>
        <w:t>.1. Définition du CESU</w:t>
      </w:r>
    </w:p>
    <w:p w14:paraId="360D0FE1" w14:textId="3842B07C" w:rsidP="0078336A" w:rsidR="0078336A" w:rsidRDefault="0078336A" w:rsidRPr="0078336A">
      <w:pPr>
        <w:jc w:val="both"/>
        <w:rPr>
          <w:rFonts w:ascii="Arial" w:hAnsi="Arial"/>
          <w:sz w:val="22"/>
        </w:rPr>
      </w:pPr>
      <w:r w:rsidRPr="0078336A">
        <w:rPr>
          <w:rFonts w:ascii="Arial" w:hAnsi="Arial"/>
          <w:sz w:val="22"/>
        </w:rPr>
        <w:t xml:space="preserve">Le chèque emploi service universel (CESU) est un titre de paiement nominatif, permettant notamment de rémunérer </w:t>
      </w:r>
      <w:r>
        <w:rPr>
          <w:rFonts w:ascii="Arial" w:hAnsi="Arial"/>
          <w:sz w:val="22"/>
        </w:rPr>
        <w:t>des services à la personne</w:t>
      </w:r>
      <w:r w:rsidRPr="0078336A">
        <w:rPr>
          <w:rFonts w:ascii="Arial" w:hAnsi="Arial"/>
          <w:sz w:val="22"/>
        </w:rPr>
        <w:t>.</w:t>
      </w:r>
    </w:p>
    <w:p w14:paraId="2E26F3A5" w14:textId="77777777" w:rsidP="0078336A" w:rsidR="0078336A" w:rsidRDefault="0078336A" w:rsidRPr="004E1747">
      <w:pPr>
        <w:autoSpaceDE w:val="0"/>
        <w:autoSpaceDN w:val="0"/>
        <w:adjustRightInd w:val="0"/>
        <w:jc w:val="both"/>
        <w:rPr>
          <w:rFonts w:ascii="Helv" w:cs="Helv" w:hAnsi="Helv"/>
          <w:color w:val="000000"/>
          <w:sz w:val="20"/>
          <w:szCs w:val="20"/>
        </w:rPr>
      </w:pPr>
    </w:p>
    <w:p w14:paraId="3FB2C1E7" w14:textId="77777777" w:rsidR="00070418" w:rsidRDefault="00070418">
      <w:pPr>
        <w:rPr>
          <w:rFonts w:ascii="Tahoma" w:cs="Tahoma" w:eastAsiaTheme="majorEastAsia" w:hAnsi="Tahoma"/>
          <w:i/>
          <w:iCs/>
          <w:color w:themeColor="accent1" w:themeShade="BF" w:val="365F91"/>
          <w:sz w:val="22"/>
        </w:rPr>
      </w:pPr>
      <w:bookmarkStart w:id="20" w:name="_Toc33624204"/>
      <w:r>
        <w:rPr>
          <w:rFonts w:ascii="Tahoma" w:cs="Tahoma" w:hAnsi="Tahoma"/>
          <w:sz w:val="22"/>
        </w:rPr>
        <w:br w:type="page"/>
      </w:r>
    </w:p>
    <w:p w14:paraId="275DD0AB" w14:textId="02E5A9E1" w:rsidP="00A33FFF" w:rsidR="0078336A" w:rsidRDefault="009652B6" w:rsidRPr="00E3073A">
      <w:pPr>
        <w:pStyle w:val="Titre4"/>
        <w:tabs>
          <w:tab w:pos="709" w:val="left"/>
        </w:tabs>
        <w:spacing w:after="240" w:before="0"/>
        <w:ind w:left="1416"/>
        <w:jc w:val="both"/>
        <w:rPr>
          <w:rFonts w:ascii="Tahoma" w:cs="Tahoma" w:hAnsi="Tahoma"/>
          <w:sz w:val="22"/>
        </w:rPr>
      </w:pPr>
      <w:r>
        <w:rPr>
          <w:rFonts w:ascii="Tahoma" w:cs="Tahoma" w:hAnsi="Tahoma"/>
          <w:sz w:val="22"/>
        </w:rPr>
        <w:lastRenderedPageBreak/>
        <w:t>2.2.4</w:t>
      </w:r>
      <w:r w:rsidR="0078336A" w:rsidRPr="00E3073A">
        <w:rPr>
          <w:rFonts w:ascii="Tahoma" w:cs="Tahoma" w:hAnsi="Tahoma"/>
          <w:sz w:val="22"/>
        </w:rPr>
        <w:t>.2. Modalité de mise en œuvre</w:t>
      </w:r>
      <w:bookmarkEnd w:id="20"/>
    </w:p>
    <w:p w14:paraId="5FBCCD20" w14:textId="77777777" w:rsidP="0078336A" w:rsidR="00E3073A" w:rsidRDefault="0078336A">
      <w:pPr>
        <w:jc w:val="both"/>
        <w:rPr>
          <w:rFonts w:ascii="Arial" w:hAnsi="Arial"/>
          <w:sz w:val="22"/>
        </w:rPr>
      </w:pPr>
      <w:r w:rsidRPr="0078336A">
        <w:rPr>
          <w:rFonts w:ascii="Arial" w:hAnsi="Arial"/>
          <w:sz w:val="22"/>
        </w:rPr>
        <w:t>Ce dispositif est mis en place pour</w:t>
      </w:r>
      <w:r w:rsidR="00E3073A">
        <w:rPr>
          <w:rFonts w:ascii="Arial" w:hAnsi="Arial"/>
          <w:sz w:val="22"/>
        </w:rPr>
        <w:t> :</w:t>
      </w:r>
    </w:p>
    <w:p w14:paraId="218F1EC2" w14:textId="52135639" w:rsidP="00E3073A" w:rsidR="00E3073A" w:rsidRDefault="00E3073A" w:rsidRPr="00E3073A">
      <w:pPr>
        <w:pStyle w:val="Paragraphedeliste"/>
        <w:numPr>
          <w:ilvl w:val="0"/>
          <w:numId w:val="21"/>
        </w:numPr>
        <w:jc w:val="both"/>
        <w:rPr>
          <w:rFonts w:ascii="Arial" w:hAnsi="Arial"/>
          <w:sz w:val="22"/>
        </w:rPr>
      </w:pPr>
      <w:r w:rsidRPr="00E3073A">
        <w:rPr>
          <w:rFonts w:ascii="Arial" w:hAnsi="Arial"/>
          <w:sz w:val="22"/>
        </w:rPr>
        <w:t>les services d’aides à la personne au profit des salariés souffrant d’un handicap et des salariés dont le conjoint souffre d’un handicap,</w:t>
      </w:r>
    </w:p>
    <w:p w14:paraId="0A9BC32F" w14:textId="4ADFA94A" w:rsidP="00E3073A" w:rsidR="00E3073A" w:rsidRDefault="00E3073A" w:rsidRPr="00E3073A">
      <w:pPr>
        <w:pStyle w:val="Paragraphedeliste"/>
        <w:numPr>
          <w:ilvl w:val="0"/>
          <w:numId w:val="21"/>
        </w:numPr>
        <w:jc w:val="both"/>
        <w:rPr>
          <w:rFonts w:ascii="Arial" w:hAnsi="Arial"/>
          <w:sz w:val="22"/>
        </w:rPr>
      </w:pPr>
      <w:r w:rsidRPr="00E3073A">
        <w:rPr>
          <w:rFonts w:ascii="Arial" w:hAnsi="Arial"/>
          <w:sz w:val="22"/>
        </w:rPr>
        <w:t>les salariés aidant un parent (père ou mère) qui se trouve en situation de handicap, d’invalidité ou qui bénéficie de l’allocation personnalisée d’autonomie (APA),</w:t>
      </w:r>
    </w:p>
    <w:p w14:paraId="149B9939" w14:textId="016E5AE5" w:rsidP="00E3073A" w:rsidR="00E3073A" w:rsidRDefault="00E3073A" w:rsidRPr="00E3073A">
      <w:pPr>
        <w:pStyle w:val="Paragraphedeliste"/>
        <w:numPr>
          <w:ilvl w:val="0"/>
          <w:numId w:val="21"/>
        </w:numPr>
        <w:jc w:val="both"/>
        <w:rPr>
          <w:rFonts w:ascii="Arial" w:hAnsi="Arial"/>
          <w:sz w:val="22"/>
        </w:rPr>
      </w:pPr>
      <w:r w:rsidRPr="00E3073A">
        <w:rPr>
          <w:rFonts w:ascii="Arial" w:hAnsi="Arial"/>
          <w:sz w:val="22"/>
        </w:rPr>
        <w:t>les services d’aide à la personne au profit des parents d’enfants handicapés sans limite d’âge,</w:t>
      </w:r>
    </w:p>
    <w:p w14:paraId="691F2A71" w14:textId="77777777" w:rsidP="00E3073A" w:rsidR="00E3073A" w:rsidRDefault="00E3073A" w:rsidRPr="00E3073A">
      <w:pPr>
        <w:pStyle w:val="Paragraphedeliste"/>
        <w:numPr>
          <w:ilvl w:val="0"/>
          <w:numId w:val="21"/>
        </w:numPr>
        <w:jc w:val="both"/>
        <w:rPr>
          <w:rFonts w:ascii="Arial" w:hAnsi="Arial"/>
          <w:sz w:val="22"/>
        </w:rPr>
      </w:pPr>
      <w:r w:rsidRPr="00E3073A">
        <w:rPr>
          <w:rFonts w:ascii="Arial" w:hAnsi="Arial"/>
          <w:sz w:val="22"/>
        </w:rPr>
        <w:t>les parents dont les enfants se trouvent en situation de handicap ou atteints d’une maladie grave/orpheline.</w:t>
      </w:r>
      <w:r w:rsidR="0078336A" w:rsidRPr="00E3073A">
        <w:rPr>
          <w:rFonts w:ascii="Arial" w:hAnsi="Arial"/>
          <w:sz w:val="22"/>
        </w:rPr>
        <w:t xml:space="preserve">la garde des enfants de salariés, jusqu’à l’âge de 3 ans inclus. </w:t>
      </w:r>
    </w:p>
    <w:p w14:paraId="45217C5C" w14:textId="77777777" w:rsidP="00E3073A" w:rsidR="00E3073A" w:rsidRDefault="00E3073A">
      <w:pPr>
        <w:jc w:val="both"/>
        <w:rPr>
          <w:rFonts w:ascii="Arial" w:hAnsi="Arial"/>
          <w:sz w:val="22"/>
        </w:rPr>
      </w:pPr>
    </w:p>
    <w:p w14:paraId="551AEDC9" w14:textId="3E704CA9" w:rsidP="00E3073A" w:rsidR="0078336A" w:rsidRDefault="0078336A" w:rsidRPr="0078336A">
      <w:pPr>
        <w:jc w:val="both"/>
        <w:rPr>
          <w:rFonts w:ascii="Arial" w:hAnsi="Arial"/>
          <w:sz w:val="22"/>
        </w:rPr>
      </w:pPr>
      <w:r w:rsidRPr="0078336A">
        <w:rPr>
          <w:rFonts w:ascii="Arial" w:hAnsi="Arial"/>
          <w:sz w:val="22"/>
        </w:rPr>
        <w:t>Le montant est plafonné à 1</w:t>
      </w:r>
      <w:r w:rsidR="00B52F00">
        <w:rPr>
          <w:rFonts w:ascii="Arial" w:hAnsi="Arial"/>
          <w:sz w:val="22"/>
        </w:rPr>
        <w:t>2</w:t>
      </w:r>
      <w:r w:rsidRPr="0078336A">
        <w:rPr>
          <w:rFonts w:ascii="Arial" w:hAnsi="Arial"/>
          <w:sz w:val="22"/>
        </w:rPr>
        <w:t>00</w:t>
      </w:r>
      <w:r w:rsidR="00A33FFF">
        <w:rPr>
          <w:rFonts w:ascii="Arial" w:hAnsi="Arial"/>
          <w:sz w:val="22"/>
        </w:rPr>
        <w:t xml:space="preserve"> </w:t>
      </w:r>
      <w:r w:rsidRPr="0078336A">
        <w:rPr>
          <w:rFonts w:ascii="Arial" w:hAnsi="Arial"/>
          <w:sz w:val="22"/>
        </w:rPr>
        <w:t xml:space="preserve">€ annuel et financé à hauteur de 50% par l’employeur, soit </w:t>
      </w:r>
      <w:r w:rsidR="00B52F00">
        <w:rPr>
          <w:rFonts w:ascii="Arial" w:hAnsi="Arial"/>
          <w:sz w:val="22"/>
        </w:rPr>
        <w:t>60</w:t>
      </w:r>
      <w:r w:rsidRPr="0078336A">
        <w:rPr>
          <w:rFonts w:ascii="Arial" w:hAnsi="Arial"/>
          <w:sz w:val="22"/>
        </w:rPr>
        <w:t>0</w:t>
      </w:r>
      <w:r w:rsidR="00A33FFF">
        <w:rPr>
          <w:rFonts w:ascii="Arial" w:hAnsi="Arial"/>
          <w:sz w:val="22"/>
        </w:rPr>
        <w:t xml:space="preserve"> </w:t>
      </w:r>
      <w:r w:rsidRPr="0078336A">
        <w:rPr>
          <w:rFonts w:ascii="Arial" w:hAnsi="Arial"/>
          <w:sz w:val="22"/>
        </w:rPr>
        <w:t>€ annuels.</w:t>
      </w:r>
    </w:p>
    <w:p w14:paraId="052124AB" w14:textId="77777777" w:rsidP="0078336A" w:rsidR="0078336A" w:rsidRDefault="0078336A" w:rsidRPr="0078336A">
      <w:pPr>
        <w:jc w:val="both"/>
        <w:rPr>
          <w:rFonts w:ascii="Arial" w:hAnsi="Arial"/>
          <w:sz w:val="22"/>
        </w:rPr>
      </w:pPr>
    </w:p>
    <w:p w14:paraId="63887622" w14:textId="2AC115F3" w:rsidP="0078336A" w:rsidR="0078336A" w:rsidRDefault="0078336A" w:rsidRPr="0078336A">
      <w:pPr>
        <w:jc w:val="both"/>
        <w:rPr>
          <w:rFonts w:ascii="Arial" w:hAnsi="Arial"/>
          <w:sz w:val="22"/>
        </w:rPr>
      </w:pPr>
      <w:r w:rsidRPr="0078336A">
        <w:rPr>
          <w:rFonts w:ascii="Arial" w:hAnsi="Arial"/>
          <w:sz w:val="22"/>
        </w:rPr>
        <w:t>Cette mesure prendra effet  à compter du mois d’avril 202</w:t>
      </w:r>
      <w:r w:rsidR="00B52F00">
        <w:rPr>
          <w:rFonts w:ascii="Arial" w:hAnsi="Arial"/>
          <w:sz w:val="22"/>
        </w:rPr>
        <w:t>2</w:t>
      </w:r>
      <w:r w:rsidRPr="0078336A">
        <w:rPr>
          <w:rFonts w:ascii="Arial" w:hAnsi="Arial"/>
          <w:sz w:val="22"/>
        </w:rPr>
        <w:t>.</w:t>
      </w:r>
    </w:p>
    <w:p w14:paraId="1BC0545B" w14:textId="77777777" w:rsidP="00F0735C" w:rsidR="00F0735C" w:rsidRDefault="00F0735C" w:rsidRPr="00AC5810">
      <w:pPr>
        <w:jc w:val="both"/>
        <w:rPr>
          <w:rFonts w:ascii="Arial" w:hAnsi="Arial"/>
          <w:b/>
          <w:sz w:val="22"/>
        </w:rPr>
      </w:pPr>
    </w:p>
    <w:p w14:paraId="231EFBC7" w14:textId="40945505" w:rsidP="00FE5679" w:rsidR="00FE5679" w:rsidRDefault="009652B6">
      <w:pPr>
        <w:pStyle w:val="Titre30"/>
      </w:pPr>
      <w:bookmarkStart w:id="21" w:name="_Toc95844451"/>
      <w:r>
        <w:t>2.2.5</w:t>
      </w:r>
      <w:r w:rsidR="00FE5679">
        <w:t xml:space="preserve"> </w:t>
      </w:r>
      <w:r w:rsidR="003B75B4" w:rsidRPr="003B75B4">
        <w:t>Mesure en faveur d’une mobilité écoresponsable des salariés</w:t>
      </w:r>
      <w:bookmarkEnd w:id="21"/>
    </w:p>
    <w:p w14:paraId="272EDB28" w14:textId="1C10F446" w:rsidP="003B75B4" w:rsidR="00F0735C" w:rsidRDefault="003B75B4">
      <w:pPr>
        <w:jc w:val="both"/>
        <w:rPr>
          <w:rFonts w:ascii="Arial" w:hAnsi="Arial"/>
          <w:sz w:val="22"/>
        </w:rPr>
      </w:pPr>
      <w:r w:rsidRPr="003B75B4">
        <w:rPr>
          <w:rFonts w:ascii="Arial" w:hAnsi="Arial"/>
          <w:sz w:val="22"/>
        </w:rPr>
        <w:t>La loi du 24 décembre 2019 d’orientation des mobilités réforme le cadre général des politiques de mobilités en intégrant des enjeux environnementaux. Les partie</w:t>
      </w:r>
      <w:r>
        <w:rPr>
          <w:rFonts w:ascii="Arial" w:hAnsi="Arial"/>
          <w:sz w:val="22"/>
        </w:rPr>
        <w:t>s signataires du présent accord</w:t>
      </w:r>
      <w:r w:rsidRPr="003B75B4">
        <w:rPr>
          <w:rFonts w:ascii="Arial" w:hAnsi="Arial"/>
          <w:sz w:val="22"/>
        </w:rPr>
        <w:t xml:space="preserve"> ont souhaité poursuivre en 2022 leurs actions en faveur de cette démarche.</w:t>
      </w:r>
    </w:p>
    <w:p w14:paraId="5F593C4F" w14:textId="77777777" w:rsidP="003B75B4" w:rsidR="003B75B4" w:rsidRDefault="003B75B4">
      <w:pPr>
        <w:jc w:val="both"/>
        <w:rPr>
          <w:rFonts w:ascii="Arial" w:hAnsi="Arial"/>
          <w:sz w:val="22"/>
        </w:rPr>
      </w:pPr>
    </w:p>
    <w:p w14:paraId="095FFBDE" w14:textId="540DDEDE" w:rsidP="003B75B4" w:rsidR="003B75B4" w:rsidRDefault="003B75B4">
      <w:pPr>
        <w:jc w:val="both"/>
        <w:rPr>
          <w:rFonts w:ascii="Arial" w:hAnsi="Arial"/>
          <w:sz w:val="22"/>
        </w:rPr>
      </w:pPr>
      <w:r>
        <w:rPr>
          <w:rFonts w:ascii="Arial" w:hAnsi="Arial"/>
          <w:sz w:val="22"/>
        </w:rPr>
        <w:t xml:space="preserve">Ainsi, dans </w:t>
      </w:r>
      <w:r w:rsidRPr="003B75B4">
        <w:rPr>
          <w:rFonts w:ascii="Arial" w:hAnsi="Arial"/>
          <w:sz w:val="22"/>
        </w:rPr>
        <w:t xml:space="preserve">un contexte de développement de l’utilisation de véhicules électriques, les parties conviennent de la </w:t>
      </w:r>
      <w:r>
        <w:rPr>
          <w:rFonts w:ascii="Arial" w:hAnsi="Arial"/>
          <w:sz w:val="22"/>
        </w:rPr>
        <w:t xml:space="preserve">mise en œuvre </w:t>
      </w:r>
      <w:r w:rsidRPr="003B75B4">
        <w:rPr>
          <w:rFonts w:ascii="Arial" w:hAnsi="Arial"/>
          <w:sz w:val="22"/>
        </w:rPr>
        <w:t>pour l’année 2022 de la prise en charge par l’entreprise d’une partie des frais exposés par le salarié qui se déplace entre sa résidence habituelle et son lieu de travail avec un véhicule automobile électrique ou hybride rechargeable. Cette prise en charge des frais liés à l’alimentation du véhicule, est fixée à la somme forfaitaire de 35 € par mois.</w:t>
      </w:r>
    </w:p>
    <w:p w14:paraId="7326A9A2" w14:textId="2CFE69C7" w:rsidP="00FE5679" w:rsidR="00FE5679" w:rsidRDefault="009652B6">
      <w:pPr>
        <w:pStyle w:val="Titre30"/>
      </w:pPr>
      <w:bookmarkStart w:id="22" w:name="_Toc95844452"/>
      <w:r>
        <w:t>2.2.6</w:t>
      </w:r>
      <w:r w:rsidR="00FE5679">
        <w:t xml:space="preserve"> </w:t>
      </w:r>
      <w:r w:rsidR="003B75B4" w:rsidRPr="003B75B4">
        <w:t>Télétravail - Accompagnement des télétravailleurs occasionnels et exceptionnels</w:t>
      </w:r>
      <w:bookmarkEnd w:id="22"/>
    </w:p>
    <w:p w14:paraId="35F710EA" w14:textId="77777777" w:rsidP="003B75B4" w:rsidR="003B75B4" w:rsidRDefault="003B75B4">
      <w:pPr>
        <w:jc w:val="both"/>
        <w:rPr>
          <w:rFonts w:ascii="Arial" w:hAnsi="Arial"/>
          <w:sz w:val="22"/>
        </w:rPr>
      </w:pPr>
      <w:r w:rsidRPr="003B75B4">
        <w:rPr>
          <w:rFonts w:ascii="Arial" w:hAnsi="Arial"/>
          <w:sz w:val="22"/>
        </w:rPr>
        <w:t>Les parties conviennent d’étendre le bénéfice du versement de l’indemnité forfaitaire au titre des frais occasionnés à l’occasion du télétravail (notamment frais de connexion internet), aux dispositifs de télétravail occasionnel et de télétravail exceptionnel, selon les mêmes modalités que celles prévues par l’accord relatif au télétravail en vigueur dans l’entreprise pour l’exercice du télétravail régulier.</w:t>
      </w:r>
    </w:p>
    <w:p w14:paraId="16C69F97" w14:textId="77777777" w:rsidP="003B75B4" w:rsidR="003B75B4" w:rsidRDefault="003B75B4" w:rsidRPr="003B75B4">
      <w:pPr>
        <w:jc w:val="both"/>
        <w:rPr>
          <w:rFonts w:ascii="Arial" w:hAnsi="Arial"/>
          <w:sz w:val="22"/>
        </w:rPr>
      </w:pPr>
    </w:p>
    <w:p w14:paraId="6250B1DB" w14:textId="64145034" w:rsidP="003B75B4" w:rsidR="003B75B4" w:rsidRDefault="003B75B4">
      <w:pPr>
        <w:jc w:val="both"/>
        <w:rPr>
          <w:rFonts w:ascii="Arial" w:hAnsi="Arial"/>
          <w:sz w:val="22"/>
        </w:rPr>
      </w:pPr>
      <w:r w:rsidRPr="003B75B4">
        <w:rPr>
          <w:rFonts w:ascii="Arial" w:hAnsi="Arial"/>
          <w:sz w:val="22"/>
        </w:rPr>
        <w:t xml:space="preserve">Il est convenu que cette mesure s’appliquera avec effet </w:t>
      </w:r>
      <w:r w:rsidR="00D37B20">
        <w:rPr>
          <w:rFonts w:ascii="Arial" w:hAnsi="Arial"/>
          <w:sz w:val="22"/>
        </w:rPr>
        <w:t>à la date de signature du présent accord</w:t>
      </w:r>
      <w:r w:rsidRPr="003B75B4">
        <w:rPr>
          <w:rFonts w:ascii="Arial" w:hAnsi="Arial"/>
          <w:sz w:val="22"/>
        </w:rPr>
        <w:t>.</w:t>
      </w:r>
    </w:p>
    <w:p w14:paraId="7A55CBCE" w14:textId="77777777" w:rsidP="003B75B4" w:rsidR="00D37B20" w:rsidRDefault="00D37B20" w:rsidRPr="003B75B4">
      <w:pPr>
        <w:jc w:val="both"/>
        <w:rPr>
          <w:rFonts w:ascii="Arial" w:hAnsi="Arial"/>
          <w:sz w:val="22"/>
        </w:rPr>
      </w:pPr>
    </w:p>
    <w:p w14:paraId="0919A098" w14:textId="77777777" w:rsidR="00070418" w:rsidRDefault="00070418">
      <w:pPr>
        <w:rPr>
          <w:rFonts w:ascii="Arial" w:hAnsi="Arial"/>
          <w:sz w:val="22"/>
        </w:rPr>
      </w:pPr>
      <w:r>
        <w:rPr>
          <w:rFonts w:ascii="Arial" w:hAnsi="Arial"/>
          <w:sz w:val="22"/>
        </w:rPr>
        <w:br w:type="page"/>
      </w:r>
    </w:p>
    <w:p w14:paraId="282E26D9" w14:textId="2F3E6E49" w:rsidP="003B75B4" w:rsidR="00F0735C" w:rsidRDefault="003B75B4" w:rsidRPr="007A5E4E">
      <w:pPr>
        <w:jc w:val="both"/>
        <w:rPr>
          <w:rFonts w:ascii="Arial" w:hAnsi="Arial"/>
          <w:sz w:val="22"/>
        </w:rPr>
      </w:pPr>
      <w:r w:rsidRPr="003B75B4">
        <w:rPr>
          <w:rFonts w:ascii="Arial" w:hAnsi="Arial"/>
          <w:sz w:val="22"/>
        </w:rPr>
        <w:lastRenderedPageBreak/>
        <w:t>Pour rappel, l’indemnité forfaitaire est la suivante :</w:t>
      </w:r>
    </w:p>
    <w:p w14:paraId="0D9513CC" w14:textId="77777777" w:rsidP="00F0735C" w:rsidR="00F0735C" w:rsidRDefault="00F0735C">
      <w:pPr>
        <w:jc w:val="both"/>
        <w:rPr>
          <w:rFonts w:ascii="Arial" w:hAnsi="Arial"/>
          <w:sz w:val="22"/>
        </w:rPr>
      </w:pPr>
      <w:r w:rsidRPr="007A5E4E">
        <w:rPr>
          <w:rFonts w:ascii="Arial" w:hAnsi="Arial"/>
          <w:sz w:val="22"/>
        </w:rPr>
        <w:t xml:space="preserve"> </w:t>
      </w:r>
    </w:p>
    <w:tbl>
      <w:tblPr>
        <w:tblW w:type="dxa" w:w="8332"/>
        <w:jc w:val="center"/>
        <w:tblCellMar>
          <w:left w:type="dxa" w:w="0"/>
          <w:right w:type="dxa" w:w="0"/>
        </w:tblCellMar>
        <w:tblLook w:firstColumn="0" w:firstRow="1" w:lastColumn="0" w:lastRow="0" w:noHBand="0" w:noVBand="1" w:val="0420"/>
      </w:tblPr>
      <w:tblGrid>
        <w:gridCol w:w="118"/>
        <w:gridCol w:w="2947"/>
        <w:gridCol w:w="1160"/>
        <w:gridCol w:w="1905"/>
        <w:gridCol w:w="2202"/>
      </w:tblGrid>
      <w:tr w14:paraId="08463A49" w14:textId="77777777" w:rsidR="00D37B20" w:rsidRPr="00333541" w:rsidTr="009652B6">
        <w:trPr>
          <w:gridBefore w:val="1"/>
          <w:wBefore w:type="dxa" w:w="118"/>
          <w:trHeight w:val="369"/>
          <w:jc w:val="center"/>
        </w:trPr>
        <w:tc>
          <w:tcPr>
            <w:tcW w:type="dxa" w:w="4107"/>
            <w:gridSpan w:val="2"/>
            <w:tcBorders>
              <w:top w:color="FFFFFF" w:space="0" w:sz="8" w:val="single"/>
              <w:left w:color="FFFFFF" w:space="0" w:sz="8" w:val="single"/>
              <w:bottom w:color="FFFFFF" w:space="0" w:sz="24" w:val="single"/>
              <w:right w:color="FFFFFF" w:space="0" w:sz="8" w:val="single"/>
            </w:tcBorders>
            <w:shd w:color="auto" w:fill="002060" w:val="clear"/>
            <w:tcMar>
              <w:top w:type="dxa" w:w="72"/>
              <w:left w:type="dxa" w:w="144"/>
              <w:bottom w:type="dxa" w:w="72"/>
              <w:right w:type="dxa" w:w="144"/>
            </w:tcMar>
            <w:vAlign w:val="center"/>
            <w:hideMark/>
          </w:tcPr>
          <w:p w14:paraId="5E1787BC" w14:textId="77777777" w:rsidP="00D37B20" w:rsidR="00D37B20" w:rsidRDefault="00D37B20" w:rsidRPr="00333541">
            <w:pPr>
              <w:jc w:val="center"/>
              <w:rPr>
                <w:rFonts w:ascii="Arial" w:cs="Arial" w:hAnsi="Arial"/>
                <w:sz w:val="22"/>
                <w:szCs w:val="22"/>
              </w:rPr>
            </w:pPr>
            <w:r w:rsidRPr="00333541">
              <w:rPr>
                <w:rFonts w:ascii="Arial" w:cs="Arial" w:hAnsi="Arial"/>
                <w:b/>
                <w:bCs/>
                <w:sz w:val="22"/>
                <w:szCs w:val="22"/>
              </w:rPr>
              <w:t>Nombre de jours en télétravail par mois</w:t>
            </w:r>
          </w:p>
        </w:tc>
        <w:tc>
          <w:tcPr>
            <w:tcW w:type="dxa" w:w="4107"/>
            <w:gridSpan w:val="2"/>
            <w:tcBorders>
              <w:top w:color="FFFFFF" w:space="0" w:sz="8" w:val="single"/>
              <w:left w:color="FFFFFF" w:space="0" w:sz="8" w:val="single"/>
              <w:bottom w:color="FFFFFF" w:space="0" w:sz="24" w:val="single"/>
              <w:right w:color="FFFFFF" w:space="0" w:sz="8" w:val="single"/>
            </w:tcBorders>
            <w:shd w:color="auto" w:fill="002060" w:val="clear"/>
            <w:tcMar>
              <w:top w:type="dxa" w:w="72"/>
              <w:left w:type="dxa" w:w="144"/>
              <w:bottom w:type="dxa" w:w="72"/>
              <w:right w:type="dxa" w:w="144"/>
            </w:tcMar>
            <w:vAlign w:val="center"/>
            <w:hideMark/>
          </w:tcPr>
          <w:p w14:paraId="47BF12EF" w14:textId="77777777" w:rsidP="00D37B20" w:rsidR="00D37B20" w:rsidRDefault="00D37B20" w:rsidRPr="00333541">
            <w:pPr>
              <w:jc w:val="center"/>
              <w:rPr>
                <w:rFonts w:ascii="Arial" w:cs="Arial" w:hAnsi="Arial"/>
                <w:sz w:val="22"/>
                <w:szCs w:val="22"/>
              </w:rPr>
            </w:pPr>
            <w:r w:rsidRPr="00333541">
              <w:rPr>
                <w:rFonts w:ascii="Arial" w:cs="Arial" w:hAnsi="Arial"/>
                <w:b/>
                <w:bCs/>
                <w:sz w:val="22"/>
                <w:szCs w:val="22"/>
              </w:rPr>
              <w:t>Indemnité forfaitaire par mois</w:t>
            </w:r>
          </w:p>
        </w:tc>
      </w:tr>
      <w:tr w14:paraId="302A9221" w14:textId="77777777" w:rsidR="00D37B20" w:rsidRPr="00333541" w:rsidTr="009652B6">
        <w:trPr>
          <w:gridBefore w:val="1"/>
          <w:wBefore w:type="dxa" w:w="118"/>
          <w:trHeight w:val="369"/>
          <w:jc w:val="center"/>
        </w:trPr>
        <w:tc>
          <w:tcPr>
            <w:tcW w:type="dxa" w:w="4107"/>
            <w:gridSpan w:val="2"/>
            <w:tcBorders>
              <w:top w:color="FFFFFF" w:space="0" w:sz="24" w:val="single"/>
              <w:left w:color="FFFFFF" w:space="0" w:sz="8" w:val="single"/>
              <w:bottom w:color="FFFFFF" w:space="0" w:sz="8" w:val="single"/>
              <w:right w:color="FFFFFF" w:space="0" w:sz="8" w:val="single"/>
            </w:tcBorders>
            <w:shd w:color="auto" w:fill="CBCCD2" w:val="clear"/>
            <w:tcMar>
              <w:top w:type="dxa" w:w="72"/>
              <w:left w:type="dxa" w:w="144"/>
              <w:bottom w:type="dxa" w:w="72"/>
              <w:right w:type="dxa" w:w="144"/>
            </w:tcMar>
            <w:vAlign w:val="center"/>
            <w:hideMark/>
          </w:tcPr>
          <w:p w14:paraId="0936C5BC" w14:textId="1C7F351E" w:rsidP="00D37B20" w:rsidR="00D37B20" w:rsidRDefault="00D37B20" w:rsidRPr="00333541">
            <w:pPr>
              <w:jc w:val="center"/>
              <w:rPr>
                <w:rFonts w:ascii="Arial" w:cs="Arial" w:hAnsi="Arial"/>
                <w:sz w:val="22"/>
                <w:szCs w:val="22"/>
              </w:rPr>
            </w:pPr>
            <w:r>
              <w:rPr>
                <w:rFonts w:ascii="Arial" w:cs="Arial" w:hAnsi="Arial"/>
                <w:sz w:val="22"/>
                <w:szCs w:val="22"/>
              </w:rPr>
              <w:t xml:space="preserve">1 </w:t>
            </w:r>
            <w:r w:rsidRPr="00333541">
              <w:rPr>
                <w:rFonts w:ascii="Arial" w:cs="Arial" w:hAnsi="Arial"/>
                <w:sz w:val="22"/>
                <w:szCs w:val="22"/>
              </w:rPr>
              <w:t>jour / mois</w:t>
            </w:r>
          </w:p>
        </w:tc>
        <w:tc>
          <w:tcPr>
            <w:tcW w:type="dxa" w:w="4107"/>
            <w:gridSpan w:val="2"/>
            <w:tcBorders>
              <w:top w:color="FFFFFF" w:space="0" w:sz="24" w:val="single"/>
              <w:left w:color="FFFFFF" w:space="0" w:sz="8" w:val="single"/>
              <w:bottom w:color="FFFFFF" w:space="0" w:sz="8" w:val="single"/>
              <w:right w:color="FFFFFF" w:space="0" w:sz="8" w:val="single"/>
            </w:tcBorders>
            <w:shd w:color="auto" w:fill="CBCCD2" w:val="clear"/>
            <w:tcMar>
              <w:top w:type="dxa" w:w="72"/>
              <w:left w:type="dxa" w:w="144"/>
              <w:bottom w:type="dxa" w:w="72"/>
              <w:right w:type="dxa" w:w="144"/>
            </w:tcMar>
            <w:vAlign w:val="center"/>
            <w:hideMark/>
          </w:tcPr>
          <w:p w14:paraId="154C6E27" w14:textId="1955E168" w:rsidP="00D37B20" w:rsidR="00D37B20" w:rsidRDefault="00D37B20" w:rsidRPr="00333541">
            <w:pPr>
              <w:jc w:val="center"/>
              <w:rPr>
                <w:rFonts w:ascii="Arial" w:cs="Arial" w:hAnsi="Arial"/>
                <w:sz w:val="22"/>
                <w:szCs w:val="22"/>
              </w:rPr>
            </w:pPr>
            <w:r>
              <w:rPr>
                <w:rFonts w:ascii="Arial" w:cs="Arial" w:hAnsi="Arial"/>
                <w:sz w:val="22"/>
                <w:szCs w:val="22"/>
              </w:rPr>
              <w:t>2,50</w:t>
            </w:r>
            <w:r w:rsidRPr="00333541">
              <w:rPr>
                <w:rFonts w:ascii="Arial" w:cs="Arial" w:hAnsi="Arial"/>
                <w:sz w:val="22"/>
                <w:szCs w:val="22"/>
              </w:rPr>
              <w:t xml:space="preserve"> euros</w:t>
            </w:r>
          </w:p>
        </w:tc>
      </w:tr>
      <w:tr w14:paraId="68DE9881" w14:textId="77777777" w:rsidR="00D37B20" w:rsidRPr="00333541" w:rsidTr="009652B6">
        <w:trPr>
          <w:gridBefore w:val="1"/>
          <w:wBefore w:type="dxa" w:w="118"/>
          <w:trHeight w:val="369"/>
          <w:jc w:val="center"/>
        </w:trPr>
        <w:tc>
          <w:tcPr>
            <w:tcW w:type="dxa" w:w="4107"/>
            <w:gridSpan w:val="2"/>
            <w:tcBorders>
              <w:top w:color="FFFFFF" w:space="0" w:sz="8" w:val="single"/>
              <w:left w:color="FFFFFF" w:space="0" w:sz="8" w:val="single"/>
              <w:bottom w:color="FFFFFF" w:space="0" w:sz="8" w:val="single"/>
              <w:right w:color="FFFFFF" w:space="0" w:sz="8" w:val="single"/>
            </w:tcBorders>
            <w:shd w:color="auto" w:fill="E7E7EA" w:val="clear"/>
            <w:tcMar>
              <w:top w:type="dxa" w:w="72"/>
              <w:left w:type="dxa" w:w="144"/>
              <w:bottom w:type="dxa" w:w="72"/>
              <w:right w:type="dxa" w:w="144"/>
            </w:tcMar>
            <w:vAlign w:val="center"/>
            <w:hideMark/>
          </w:tcPr>
          <w:p w14:paraId="6C34CC29" w14:textId="00CB0F22" w:rsidP="00D37B20" w:rsidR="00D37B20" w:rsidRDefault="00D37B20" w:rsidRPr="00333541">
            <w:pPr>
              <w:jc w:val="center"/>
              <w:rPr>
                <w:rFonts w:ascii="Arial" w:cs="Arial" w:hAnsi="Arial"/>
                <w:sz w:val="22"/>
                <w:szCs w:val="22"/>
              </w:rPr>
            </w:pPr>
            <w:r>
              <w:rPr>
                <w:rFonts w:ascii="Arial" w:cs="Arial" w:hAnsi="Arial"/>
                <w:sz w:val="22"/>
                <w:szCs w:val="22"/>
              </w:rPr>
              <w:t>2</w:t>
            </w:r>
            <w:r w:rsidRPr="00333541">
              <w:rPr>
                <w:rFonts w:ascii="Arial" w:cs="Arial" w:hAnsi="Arial"/>
                <w:sz w:val="22"/>
                <w:szCs w:val="22"/>
              </w:rPr>
              <w:t xml:space="preserve"> jours / mois</w:t>
            </w:r>
          </w:p>
        </w:tc>
        <w:tc>
          <w:tcPr>
            <w:tcW w:type="dxa" w:w="4107"/>
            <w:gridSpan w:val="2"/>
            <w:tcBorders>
              <w:top w:color="FFFFFF" w:space="0" w:sz="8" w:val="single"/>
              <w:left w:color="FFFFFF" w:space="0" w:sz="8" w:val="single"/>
              <w:bottom w:color="FFFFFF" w:space="0" w:sz="8" w:val="single"/>
              <w:right w:color="FFFFFF" w:space="0" w:sz="8" w:val="single"/>
            </w:tcBorders>
            <w:shd w:color="auto" w:fill="E7E7EA" w:val="clear"/>
            <w:tcMar>
              <w:top w:type="dxa" w:w="72"/>
              <w:left w:type="dxa" w:w="144"/>
              <w:bottom w:type="dxa" w:w="72"/>
              <w:right w:type="dxa" w:w="144"/>
            </w:tcMar>
            <w:vAlign w:val="center"/>
            <w:hideMark/>
          </w:tcPr>
          <w:p w14:paraId="4089285F" w14:textId="09103FA8" w:rsidP="00D37B20" w:rsidR="00D37B20" w:rsidRDefault="00D37B20" w:rsidRPr="00333541">
            <w:pPr>
              <w:jc w:val="center"/>
              <w:rPr>
                <w:rFonts w:ascii="Arial" w:cs="Arial" w:hAnsi="Arial"/>
                <w:sz w:val="22"/>
                <w:szCs w:val="22"/>
              </w:rPr>
            </w:pPr>
            <w:r w:rsidRPr="00333541">
              <w:rPr>
                <w:rFonts w:ascii="Arial" w:cs="Arial" w:hAnsi="Arial"/>
                <w:sz w:val="22"/>
                <w:szCs w:val="22"/>
              </w:rPr>
              <w:t>5 euros</w:t>
            </w:r>
          </w:p>
        </w:tc>
      </w:tr>
      <w:tr w14:paraId="7F71D253" w14:textId="77777777" w:rsidR="00D37B20" w:rsidRPr="00333541" w:rsidTr="009652B6">
        <w:trPr>
          <w:gridBefore w:val="1"/>
          <w:wBefore w:type="dxa" w:w="118"/>
          <w:trHeight w:val="369"/>
          <w:jc w:val="center"/>
        </w:trPr>
        <w:tc>
          <w:tcPr>
            <w:tcW w:type="dxa" w:w="4107"/>
            <w:gridSpan w:val="2"/>
            <w:tcBorders>
              <w:top w:color="FFFFFF" w:space="0" w:sz="8" w:val="single"/>
              <w:left w:color="FFFFFF" w:space="0" w:sz="8" w:val="single"/>
              <w:bottom w:color="FFFFFF" w:space="0" w:sz="8" w:val="single"/>
              <w:right w:color="FFFFFF" w:space="0" w:sz="8" w:val="single"/>
            </w:tcBorders>
            <w:shd w:color="auto" w:fill="E7E7EA" w:val="clear"/>
            <w:tcMar>
              <w:top w:type="dxa" w:w="72"/>
              <w:left w:type="dxa" w:w="144"/>
              <w:bottom w:type="dxa" w:w="72"/>
              <w:right w:type="dxa" w:w="144"/>
            </w:tcMar>
            <w:vAlign w:val="center"/>
          </w:tcPr>
          <w:p w14:paraId="51A3B8F1" w14:textId="13B84F19" w:rsidP="00D37B20" w:rsidR="00D37B20" w:rsidRDefault="00D37B20" w:rsidRPr="00333541">
            <w:pPr>
              <w:jc w:val="center"/>
              <w:rPr>
                <w:rFonts w:ascii="Arial" w:cs="Arial" w:hAnsi="Arial"/>
                <w:sz w:val="22"/>
                <w:szCs w:val="22"/>
              </w:rPr>
            </w:pPr>
            <w:r>
              <w:rPr>
                <w:rFonts w:ascii="Arial" w:cs="Arial" w:hAnsi="Arial"/>
                <w:sz w:val="22"/>
                <w:szCs w:val="22"/>
              </w:rPr>
              <w:t>3</w:t>
            </w:r>
            <w:r w:rsidRPr="00333541">
              <w:rPr>
                <w:rFonts w:ascii="Arial" w:cs="Arial" w:hAnsi="Arial"/>
                <w:sz w:val="22"/>
                <w:szCs w:val="22"/>
              </w:rPr>
              <w:t xml:space="preserve"> jours / mois</w:t>
            </w:r>
          </w:p>
        </w:tc>
        <w:tc>
          <w:tcPr>
            <w:tcW w:type="dxa" w:w="4107"/>
            <w:gridSpan w:val="2"/>
            <w:tcBorders>
              <w:top w:color="FFFFFF" w:space="0" w:sz="8" w:val="single"/>
              <w:left w:color="FFFFFF" w:space="0" w:sz="8" w:val="single"/>
              <w:bottom w:color="FFFFFF" w:space="0" w:sz="8" w:val="single"/>
              <w:right w:color="FFFFFF" w:space="0" w:sz="8" w:val="single"/>
            </w:tcBorders>
            <w:shd w:color="auto" w:fill="E7E7EA" w:val="clear"/>
            <w:tcMar>
              <w:top w:type="dxa" w:w="72"/>
              <w:left w:type="dxa" w:w="144"/>
              <w:bottom w:type="dxa" w:w="72"/>
              <w:right w:type="dxa" w:w="144"/>
            </w:tcMar>
            <w:vAlign w:val="center"/>
          </w:tcPr>
          <w:p w14:paraId="10FAC55A" w14:textId="20BF3765" w:rsidP="00D37B20" w:rsidR="00D37B20" w:rsidRDefault="00D37B20" w:rsidRPr="00333541">
            <w:pPr>
              <w:jc w:val="center"/>
              <w:rPr>
                <w:rFonts w:ascii="Arial" w:cs="Arial" w:hAnsi="Arial"/>
                <w:sz w:val="22"/>
                <w:szCs w:val="22"/>
              </w:rPr>
            </w:pPr>
            <w:r>
              <w:rPr>
                <w:rFonts w:ascii="Arial" w:cs="Arial" w:hAnsi="Arial"/>
                <w:sz w:val="22"/>
                <w:szCs w:val="22"/>
              </w:rPr>
              <w:t>7,50 euros</w:t>
            </w:r>
          </w:p>
        </w:tc>
      </w:tr>
      <w:tr w14:paraId="22365B86" w14:textId="77777777" w:rsidR="00D37B20" w:rsidRPr="00333541" w:rsidTr="009652B6">
        <w:trPr>
          <w:gridBefore w:val="1"/>
          <w:wBefore w:type="dxa" w:w="118"/>
          <w:trHeight w:val="369"/>
          <w:jc w:val="center"/>
        </w:trPr>
        <w:tc>
          <w:tcPr>
            <w:tcW w:type="dxa" w:w="4107"/>
            <w:gridSpan w:val="2"/>
            <w:tcBorders>
              <w:top w:color="FFFFFF" w:space="0" w:sz="8" w:val="single"/>
              <w:left w:color="FFFFFF" w:space="0" w:sz="8" w:val="single"/>
              <w:bottom w:color="FFFFFF" w:space="0" w:sz="8" w:val="single"/>
              <w:right w:color="FFFFFF" w:space="0" w:sz="8" w:val="single"/>
            </w:tcBorders>
            <w:shd w:color="auto" w:fill="E7E7EA" w:val="clear"/>
            <w:tcMar>
              <w:top w:type="dxa" w:w="72"/>
              <w:left w:type="dxa" w:w="144"/>
              <w:bottom w:type="dxa" w:w="72"/>
              <w:right w:type="dxa" w:w="144"/>
            </w:tcMar>
            <w:vAlign w:val="center"/>
          </w:tcPr>
          <w:p w14:paraId="6CDAFFC3" w14:textId="68C945E8" w:rsidP="00D37B20" w:rsidR="00D37B20" w:rsidRDefault="00D37B20" w:rsidRPr="00333541">
            <w:pPr>
              <w:jc w:val="center"/>
              <w:rPr>
                <w:rFonts w:ascii="Arial" w:cs="Arial" w:hAnsi="Arial"/>
                <w:sz w:val="22"/>
                <w:szCs w:val="22"/>
              </w:rPr>
            </w:pPr>
            <w:r w:rsidRPr="00333541">
              <w:rPr>
                <w:rFonts w:ascii="Arial" w:cs="Arial" w:hAnsi="Arial"/>
                <w:sz w:val="22"/>
                <w:szCs w:val="22"/>
              </w:rPr>
              <w:t>4 jours / mois</w:t>
            </w:r>
          </w:p>
        </w:tc>
        <w:tc>
          <w:tcPr>
            <w:tcW w:type="dxa" w:w="4107"/>
            <w:gridSpan w:val="2"/>
            <w:tcBorders>
              <w:top w:color="FFFFFF" w:space="0" w:sz="8" w:val="single"/>
              <w:left w:color="FFFFFF" w:space="0" w:sz="8" w:val="single"/>
              <w:bottom w:color="FFFFFF" w:space="0" w:sz="8" w:val="single"/>
              <w:right w:color="FFFFFF" w:space="0" w:sz="8" w:val="single"/>
            </w:tcBorders>
            <w:shd w:color="auto" w:fill="E7E7EA" w:val="clear"/>
            <w:tcMar>
              <w:top w:type="dxa" w:w="72"/>
              <w:left w:type="dxa" w:w="144"/>
              <w:bottom w:type="dxa" w:w="72"/>
              <w:right w:type="dxa" w:w="144"/>
            </w:tcMar>
            <w:vAlign w:val="center"/>
          </w:tcPr>
          <w:p w14:paraId="2892C904" w14:textId="0C8BCCA5" w:rsidP="00D37B20" w:rsidR="00D37B20" w:rsidRDefault="00D37B20" w:rsidRPr="00333541">
            <w:pPr>
              <w:jc w:val="center"/>
              <w:rPr>
                <w:rFonts w:ascii="Arial" w:cs="Arial" w:hAnsi="Arial"/>
                <w:sz w:val="22"/>
                <w:szCs w:val="22"/>
              </w:rPr>
            </w:pPr>
            <w:r>
              <w:rPr>
                <w:rFonts w:ascii="Arial" w:cs="Arial" w:hAnsi="Arial"/>
                <w:sz w:val="22"/>
                <w:szCs w:val="22"/>
              </w:rPr>
              <w:t>10 euros</w:t>
            </w:r>
          </w:p>
        </w:tc>
      </w:tr>
      <w:tr w14:paraId="3EB60A5E" w14:textId="77777777" w:rsidR="00D37B20" w:rsidRPr="00333541" w:rsidTr="009652B6">
        <w:trPr>
          <w:gridBefore w:val="1"/>
          <w:wBefore w:type="dxa" w:w="118"/>
          <w:trHeight w:val="369"/>
          <w:jc w:val="center"/>
        </w:trPr>
        <w:tc>
          <w:tcPr>
            <w:tcW w:type="dxa" w:w="4107"/>
            <w:gridSpan w:val="2"/>
            <w:tcBorders>
              <w:top w:color="FFFFFF" w:space="0" w:sz="8" w:val="single"/>
              <w:left w:color="FFFFFF" w:space="0" w:sz="8" w:val="single"/>
              <w:bottom w:color="FFFFFF" w:space="0" w:sz="8" w:val="single"/>
              <w:right w:color="FFFFFF" w:space="0" w:sz="8" w:val="single"/>
            </w:tcBorders>
            <w:shd w:color="auto" w:fill="E7E7EA" w:val="clear"/>
            <w:tcMar>
              <w:top w:type="dxa" w:w="72"/>
              <w:left w:type="dxa" w:w="144"/>
              <w:bottom w:type="dxa" w:w="72"/>
              <w:right w:type="dxa" w:w="144"/>
            </w:tcMar>
            <w:vAlign w:val="center"/>
          </w:tcPr>
          <w:p w14:paraId="4690DF34" w14:textId="5004BB2B" w:rsidP="00D37B20" w:rsidR="00D37B20" w:rsidRDefault="00D37B20" w:rsidRPr="00333541">
            <w:pPr>
              <w:jc w:val="center"/>
              <w:rPr>
                <w:rFonts w:ascii="Arial" w:cs="Arial" w:hAnsi="Arial"/>
                <w:sz w:val="22"/>
                <w:szCs w:val="22"/>
              </w:rPr>
            </w:pPr>
            <w:r w:rsidRPr="00333541">
              <w:rPr>
                <w:rFonts w:ascii="Arial" w:cs="Arial" w:hAnsi="Arial"/>
                <w:sz w:val="22"/>
                <w:szCs w:val="22"/>
              </w:rPr>
              <w:t>5 jours / mois</w:t>
            </w:r>
          </w:p>
        </w:tc>
        <w:tc>
          <w:tcPr>
            <w:tcW w:type="dxa" w:w="4107"/>
            <w:gridSpan w:val="2"/>
            <w:tcBorders>
              <w:top w:color="FFFFFF" w:space="0" w:sz="8" w:val="single"/>
              <w:left w:color="FFFFFF" w:space="0" w:sz="8" w:val="single"/>
              <w:bottom w:color="FFFFFF" w:space="0" w:sz="8" w:val="single"/>
              <w:right w:color="FFFFFF" w:space="0" w:sz="8" w:val="single"/>
            </w:tcBorders>
            <w:shd w:color="auto" w:fill="E7E7EA" w:val="clear"/>
            <w:tcMar>
              <w:top w:type="dxa" w:w="72"/>
              <w:left w:type="dxa" w:w="144"/>
              <w:bottom w:type="dxa" w:w="72"/>
              <w:right w:type="dxa" w:w="144"/>
            </w:tcMar>
            <w:vAlign w:val="center"/>
          </w:tcPr>
          <w:p w14:paraId="3ECFA33C" w14:textId="608D3357" w:rsidP="00D37B20" w:rsidR="00D37B20" w:rsidRDefault="00D37B20" w:rsidRPr="00333541">
            <w:pPr>
              <w:jc w:val="center"/>
              <w:rPr>
                <w:rFonts w:ascii="Arial" w:cs="Arial" w:hAnsi="Arial"/>
                <w:sz w:val="22"/>
                <w:szCs w:val="22"/>
              </w:rPr>
            </w:pPr>
            <w:r w:rsidRPr="00333541">
              <w:rPr>
                <w:rFonts w:ascii="Arial" w:cs="Arial" w:hAnsi="Arial"/>
                <w:sz w:val="22"/>
                <w:szCs w:val="22"/>
              </w:rPr>
              <w:t>12,5 euros</w:t>
            </w:r>
          </w:p>
        </w:tc>
      </w:tr>
      <w:tr w14:paraId="092A338C" w14:textId="77777777" w:rsidR="00D37B20" w:rsidRPr="00333541" w:rsidTr="009652B6">
        <w:trPr>
          <w:gridBefore w:val="1"/>
          <w:wBefore w:type="dxa" w:w="118"/>
          <w:trHeight w:val="369"/>
          <w:jc w:val="center"/>
        </w:trPr>
        <w:tc>
          <w:tcPr>
            <w:tcW w:type="dxa" w:w="4107"/>
            <w:gridSpan w:val="2"/>
            <w:tcBorders>
              <w:top w:color="FFFFFF" w:space="0" w:sz="8" w:val="single"/>
              <w:left w:color="FFFFFF" w:space="0" w:sz="8" w:val="single"/>
              <w:bottom w:color="FFFFFF" w:space="0" w:sz="8" w:val="single"/>
              <w:right w:color="FFFFFF" w:space="0" w:sz="8" w:val="single"/>
            </w:tcBorders>
            <w:shd w:color="auto" w:fill="CBCCD2" w:val="clear"/>
            <w:tcMar>
              <w:top w:type="dxa" w:w="72"/>
              <w:left w:type="dxa" w:w="144"/>
              <w:bottom w:type="dxa" w:w="72"/>
              <w:right w:type="dxa" w:w="144"/>
            </w:tcMar>
            <w:vAlign w:val="center"/>
            <w:hideMark/>
          </w:tcPr>
          <w:p w14:paraId="3E8D7E74" w14:textId="77777777" w:rsidP="00D37B20" w:rsidR="00D37B20" w:rsidRDefault="00D37B20" w:rsidRPr="00333541">
            <w:pPr>
              <w:jc w:val="center"/>
              <w:rPr>
                <w:rFonts w:ascii="Arial" w:cs="Arial" w:hAnsi="Arial"/>
                <w:sz w:val="22"/>
                <w:szCs w:val="22"/>
              </w:rPr>
            </w:pPr>
            <w:r w:rsidRPr="00333541">
              <w:rPr>
                <w:rFonts w:ascii="Arial" w:cs="Arial" w:hAnsi="Arial"/>
                <w:sz w:val="22"/>
                <w:szCs w:val="22"/>
              </w:rPr>
              <w:t>6 jours / mois</w:t>
            </w:r>
          </w:p>
        </w:tc>
        <w:tc>
          <w:tcPr>
            <w:tcW w:type="dxa" w:w="4107"/>
            <w:gridSpan w:val="2"/>
            <w:tcBorders>
              <w:top w:color="FFFFFF" w:space="0" w:sz="8" w:val="single"/>
              <w:left w:color="FFFFFF" w:space="0" w:sz="8" w:val="single"/>
              <w:bottom w:color="FFFFFF" w:space="0" w:sz="8" w:val="single"/>
              <w:right w:color="FFFFFF" w:space="0" w:sz="8" w:val="single"/>
            </w:tcBorders>
            <w:shd w:color="auto" w:fill="CBCCD2" w:val="clear"/>
            <w:tcMar>
              <w:top w:type="dxa" w:w="72"/>
              <w:left w:type="dxa" w:w="144"/>
              <w:bottom w:type="dxa" w:w="72"/>
              <w:right w:type="dxa" w:w="144"/>
            </w:tcMar>
            <w:vAlign w:val="center"/>
            <w:hideMark/>
          </w:tcPr>
          <w:p w14:paraId="55391011" w14:textId="77777777" w:rsidP="00D37B20" w:rsidR="00D37B20" w:rsidRDefault="00D37B20" w:rsidRPr="00333541">
            <w:pPr>
              <w:jc w:val="center"/>
              <w:rPr>
                <w:rFonts w:ascii="Arial" w:cs="Arial" w:hAnsi="Arial"/>
                <w:sz w:val="22"/>
                <w:szCs w:val="22"/>
              </w:rPr>
            </w:pPr>
            <w:r w:rsidRPr="00333541">
              <w:rPr>
                <w:rFonts w:ascii="Arial" w:cs="Arial" w:hAnsi="Arial"/>
                <w:sz w:val="22"/>
                <w:szCs w:val="22"/>
              </w:rPr>
              <w:t>15 euros</w:t>
            </w:r>
          </w:p>
        </w:tc>
      </w:tr>
      <w:tr w14:paraId="46A912FD" w14:textId="77777777" w:rsidR="00D37B20" w:rsidRPr="00333541" w:rsidTr="009652B6">
        <w:trPr>
          <w:gridBefore w:val="1"/>
          <w:wBefore w:type="dxa" w:w="118"/>
          <w:trHeight w:val="369"/>
          <w:jc w:val="center"/>
        </w:trPr>
        <w:tc>
          <w:tcPr>
            <w:tcW w:type="dxa" w:w="4107"/>
            <w:gridSpan w:val="2"/>
            <w:tcBorders>
              <w:top w:color="FFFFFF" w:space="0" w:sz="8" w:val="single"/>
              <w:left w:color="FFFFFF" w:space="0" w:sz="8" w:val="single"/>
              <w:bottom w:color="FFFFFF" w:space="0" w:sz="8" w:val="single"/>
              <w:right w:color="FFFFFF" w:space="0" w:sz="8" w:val="single"/>
            </w:tcBorders>
            <w:shd w:color="auto" w:fill="E7E7EA" w:val="clear"/>
            <w:tcMar>
              <w:top w:type="dxa" w:w="72"/>
              <w:left w:type="dxa" w:w="144"/>
              <w:bottom w:type="dxa" w:w="72"/>
              <w:right w:type="dxa" w:w="144"/>
            </w:tcMar>
            <w:vAlign w:val="center"/>
            <w:hideMark/>
          </w:tcPr>
          <w:p w14:paraId="33082D65" w14:textId="77777777" w:rsidP="00D37B20" w:rsidR="00D37B20" w:rsidRDefault="00D37B20" w:rsidRPr="00333541">
            <w:pPr>
              <w:jc w:val="center"/>
              <w:rPr>
                <w:rFonts w:ascii="Arial" w:cs="Arial" w:hAnsi="Arial"/>
                <w:sz w:val="22"/>
                <w:szCs w:val="22"/>
              </w:rPr>
            </w:pPr>
            <w:r w:rsidRPr="00333541">
              <w:rPr>
                <w:rFonts w:ascii="Arial" w:cs="Arial" w:hAnsi="Arial"/>
                <w:sz w:val="22"/>
                <w:szCs w:val="22"/>
              </w:rPr>
              <w:t>7 jours / mois</w:t>
            </w:r>
          </w:p>
        </w:tc>
        <w:tc>
          <w:tcPr>
            <w:tcW w:type="dxa" w:w="4107"/>
            <w:gridSpan w:val="2"/>
            <w:tcBorders>
              <w:top w:color="FFFFFF" w:space="0" w:sz="8" w:val="single"/>
              <w:left w:color="FFFFFF" w:space="0" w:sz="8" w:val="single"/>
              <w:bottom w:color="FFFFFF" w:space="0" w:sz="8" w:val="single"/>
              <w:right w:color="FFFFFF" w:space="0" w:sz="8" w:val="single"/>
            </w:tcBorders>
            <w:shd w:color="auto" w:fill="E7E7EA" w:val="clear"/>
            <w:tcMar>
              <w:top w:type="dxa" w:w="72"/>
              <w:left w:type="dxa" w:w="144"/>
              <w:bottom w:type="dxa" w:w="72"/>
              <w:right w:type="dxa" w:w="144"/>
            </w:tcMar>
            <w:vAlign w:val="center"/>
            <w:hideMark/>
          </w:tcPr>
          <w:p w14:paraId="5BC2439F" w14:textId="77777777" w:rsidP="00D37B20" w:rsidR="00D37B20" w:rsidRDefault="00D37B20" w:rsidRPr="00333541">
            <w:pPr>
              <w:jc w:val="center"/>
              <w:rPr>
                <w:rFonts w:ascii="Arial" w:cs="Arial" w:hAnsi="Arial"/>
                <w:sz w:val="22"/>
                <w:szCs w:val="22"/>
              </w:rPr>
            </w:pPr>
            <w:r w:rsidRPr="00333541">
              <w:rPr>
                <w:rFonts w:ascii="Arial" w:cs="Arial" w:hAnsi="Arial"/>
                <w:sz w:val="22"/>
                <w:szCs w:val="22"/>
              </w:rPr>
              <w:t>17,5 euros</w:t>
            </w:r>
          </w:p>
        </w:tc>
      </w:tr>
      <w:tr w14:paraId="3F3CC98A" w14:textId="77777777" w:rsidR="00D37B20" w:rsidRPr="00333541" w:rsidTr="009652B6">
        <w:trPr>
          <w:gridBefore w:val="1"/>
          <w:wBefore w:type="dxa" w:w="118"/>
          <w:trHeight w:val="369"/>
          <w:jc w:val="center"/>
        </w:trPr>
        <w:tc>
          <w:tcPr>
            <w:tcW w:type="dxa" w:w="4107"/>
            <w:gridSpan w:val="2"/>
            <w:tcBorders>
              <w:top w:color="FFFFFF" w:space="0" w:sz="8" w:val="single"/>
              <w:left w:color="FFFFFF" w:space="0" w:sz="8" w:val="single"/>
              <w:bottom w:color="FFFFFF" w:space="0" w:sz="8" w:val="single"/>
              <w:right w:color="FFFFFF" w:space="0" w:sz="8" w:val="single"/>
            </w:tcBorders>
            <w:shd w:color="auto" w:fill="CBCCD2" w:val="clear"/>
            <w:tcMar>
              <w:top w:type="dxa" w:w="72"/>
              <w:left w:type="dxa" w:w="144"/>
              <w:bottom w:type="dxa" w:w="72"/>
              <w:right w:type="dxa" w:w="144"/>
            </w:tcMar>
            <w:vAlign w:val="center"/>
            <w:hideMark/>
          </w:tcPr>
          <w:p w14:paraId="5F4A40C9" w14:textId="77777777" w:rsidP="00D37B20" w:rsidR="00D37B20" w:rsidRDefault="00D37B20" w:rsidRPr="00333541">
            <w:pPr>
              <w:jc w:val="center"/>
              <w:rPr>
                <w:rFonts w:ascii="Arial" w:cs="Arial" w:hAnsi="Arial"/>
                <w:sz w:val="22"/>
                <w:szCs w:val="22"/>
              </w:rPr>
            </w:pPr>
            <w:r w:rsidRPr="00333541">
              <w:rPr>
                <w:rFonts w:ascii="Arial" w:cs="Arial" w:hAnsi="Arial"/>
                <w:sz w:val="22"/>
                <w:szCs w:val="22"/>
              </w:rPr>
              <w:t>8 jours / mois</w:t>
            </w:r>
          </w:p>
        </w:tc>
        <w:tc>
          <w:tcPr>
            <w:tcW w:type="dxa" w:w="4107"/>
            <w:gridSpan w:val="2"/>
            <w:tcBorders>
              <w:top w:color="FFFFFF" w:space="0" w:sz="8" w:val="single"/>
              <w:left w:color="FFFFFF" w:space="0" w:sz="8" w:val="single"/>
              <w:bottom w:color="FFFFFF" w:space="0" w:sz="8" w:val="single"/>
              <w:right w:color="FFFFFF" w:space="0" w:sz="8" w:val="single"/>
            </w:tcBorders>
            <w:shd w:color="auto" w:fill="CBCCD2" w:val="clear"/>
            <w:tcMar>
              <w:top w:type="dxa" w:w="72"/>
              <w:left w:type="dxa" w:w="144"/>
              <w:bottom w:type="dxa" w:w="72"/>
              <w:right w:type="dxa" w:w="144"/>
            </w:tcMar>
            <w:vAlign w:val="center"/>
            <w:hideMark/>
          </w:tcPr>
          <w:p w14:paraId="3EA446CC" w14:textId="77777777" w:rsidP="00D37B20" w:rsidR="00D37B20" w:rsidRDefault="00D37B20" w:rsidRPr="00333541">
            <w:pPr>
              <w:jc w:val="center"/>
              <w:rPr>
                <w:rFonts w:ascii="Arial" w:cs="Arial" w:hAnsi="Arial"/>
                <w:sz w:val="22"/>
                <w:szCs w:val="22"/>
              </w:rPr>
            </w:pPr>
            <w:r w:rsidRPr="00333541">
              <w:rPr>
                <w:rFonts w:ascii="Arial" w:cs="Arial" w:hAnsi="Arial"/>
                <w:sz w:val="22"/>
                <w:szCs w:val="22"/>
              </w:rPr>
              <w:t>20 euros</w:t>
            </w:r>
          </w:p>
        </w:tc>
      </w:tr>
      <w:tr w14:paraId="51DD06EB" w14:textId="77777777" w:rsidR="00D37B20" w:rsidTr="009652B6">
        <w:tblPrEx>
          <w:jc w:val="left"/>
          <w:tblBorders>
            <w:top w:val="nil"/>
            <w:left w:val="nil"/>
            <w:bottom w:val="nil"/>
            <w:right w:val="nil"/>
          </w:tblBorders>
          <w:tblCellMar>
            <w:left w:type="dxa" w:w="108"/>
            <w:right w:type="dxa" w:w="108"/>
          </w:tblCellMar>
          <w:tblLook w:firstColumn="0" w:firstRow="0" w:lastColumn="0" w:lastRow="0" w:noHBand="0" w:noVBand="0" w:val="0000"/>
        </w:tblPrEx>
        <w:trPr>
          <w:gridAfter w:val="1"/>
          <w:wAfter w:type="dxa" w:w="2202"/>
          <w:trHeight w:val="312"/>
        </w:trPr>
        <w:tc>
          <w:tcPr>
            <w:tcW w:type="dxa" w:w="3065"/>
            <w:gridSpan w:val="2"/>
          </w:tcPr>
          <w:p w14:paraId="4584DEA3" w14:textId="65A78551" w:rsidR="00D37B20" w:rsidRDefault="00D37B20">
            <w:pPr>
              <w:pStyle w:val="Default"/>
              <w:rPr>
                <w:sz w:val="20"/>
                <w:szCs w:val="20"/>
              </w:rPr>
            </w:pPr>
          </w:p>
        </w:tc>
        <w:tc>
          <w:tcPr>
            <w:tcW w:type="dxa" w:w="3065"/>
            <w:gridSpan w:val="2"/>
          </w:tcPr>
          <w:p w14:paraId="155DFDC4" w14:textId="36F810C1" w:rsidR="00D37B20" w:rsidRDefault="00D37B20">
            <w:pPr>
              <w:pStyle w:val="Default"/>
              <w:rPr>
                <w:sz w:val="20"/>
                <w:szCs w:val="20"/>
              </w:rPr>
            </w:pPr>
          </w:p>
        </w:tc>
      </w:tr>
      <w:tr w14:paraId="1B3F146B" w14:textId="77777777" w:rsidR="00D37B20" w:rsidTr="009652B6">
        <w:tblPrEx>
          <w:jc w:val="left"/>
          <w:tblBorders>
            <w:top w:val="nil"/>
            <w:left w:val="nil"/>
            <w:bottom w:val="nil"/>
            <w:right w:val="nil"/>
          </w:tblBorders>
          <w:tblCellMar>
            <w:left w:type="dxa" w:w="108"/>
            <w:right w:type="dxa" w:w="108"/>
          </w:tblCellMar>
          <w:tblLook w:firstColumn="0" w:firstRow="0" w:lastColumn="0" w:lastRow="0" w:noHBand="0" w:noVBand="0" w:val="0000"/>
        </w:tblPrEx>
        <w:trPr>
          <w:gridAfter w:val="1"/>
          <w:wAfter w:type="dxa" w:w="2202"/>
          <w:trHeight w:val="93"/>
        </w:trPr>
        <w:tc>
          <w:tcPr>
            <w:tcW w:type="dxa" w:w="3065"/>
            <w:gridSpan w:val="2"/>
          </w:tcPr>
          <w:p w14:paraId="275F407C" w14:textId="641A99B9" w:rsidR="00D37B20" w:rsidRDefault="00D37B20">
            <w:pPr>
              <w:pStyle w:val="Default"/>
              <w:rPr>
                <w:sz w:val="20"/>
                <w:szCs w:val="20"/>
              </w:rPr>
            </w:pPr>
          </w:p>
        </w:tc>
        <w:tc>
          <w:tcPr>
            <w:tcW w:type="dxa" w:w="3065"/>
            <w:gridSpan w:val="2"/>
          </w:tcPr>
          <w:p w14:paraId="0C39AA18" w14:textId="66B26005" w:rsidR="00D37B20" w:rsidRDefault="00D37B20">
            <w:pPr>
              <w:pStyle w:val="Default"/>
              <w:rPr>
                <w:sz w:val="20"/>
                <w:szCs w:val="20"/>
              </w:rPr>
            </w:pPr>
          </w:p>
        </w:tc>
      </w:tr>
      <w:tr w14:paraId="3E739368" w14:textId="77777777" w:rsidR="00D37B20" w:rsidTr="009652B6">
        <w:tblPrEx>
          <w:jc w:val="left"/>
          <w:tblBorders>
            <w:top w:val="nil"/>
            <w:left w:val="nil"/>
            <w:bottom w:val="nil"/>
            <w:right w:val="nil"/>
          </w:tblBorders>
          <w:tblCellMar>
            <w:left w:type="dxa" w:w="108"/>
            <w:right w:type="dxa" w:w="108"/>
          </w:tblCellMar>
          <w:tblLook w:firstColumn="0" w:firstRow="0" w:lastColumn="0" w:lastRow="0" w:noHBand="0" w:noVBand="0" w:val="0000"/>
        </w:tblPrEx>
        <w:trPr>
          <w:gridAfter w:val="1"/>
          <w:wAfter w:type="dxa" w:w="2202"/>
          <w:trHeight w:val="93"/>
        </w:trPr>
        <w:tc>
          <w:tcPr>
            <w:tcW w:type="dxa" w:w="3065"/>
            <w:gridSpan w:val="2"/>
          </w:tcPr>
          <w:p w14:paraId="5DFEFB1A" w14:textId="648022FB" w:rsidR="00D37B20" w:rsidRDefault="00D37B20">
            <w:pPr>
              <w:pStyle w:val="Default"/>
              <w:rPr>
                <w:sz w:val="20"/>
                <w:szCs w:val="20"/>
              </w:rPr>
            </w:pPr>
          </w:p>
        </w:tc>
        <w:tc>
          <w:tcPr>
            <w:tcW w:type="dxa" w:w="3065"/>
            <w:gridSpan w:val="2"/>
          </w:tcPr>
          <w:p w14:paraId="19F3F10F" w14:textId="6B883C59" w:rsidR="00D37B20" w:rsidRDefault="00D37B20">
            <w:pPr>
              <w:pStyle w:val="Default"/>
              <w:rPr>
                <w:sz w:val="20"/>
                <w:szCs w:val="20"/>
              </w:rPr>
            </w:pPr>
          </w:p>
        </w:tc>
      </w:tr>
    </w:tbl>
    <w:p w14:paraId="62A9C5F7" w14:textId="799DF43E" w:rsidP="00CC672A" w:rsidR="00FE5679" w:rsidRDefault="00FE5679">
      <w:pPr>
        <w:pStyle w:val="Titre1"/>
      </w:pPr>
      <w:bookmarkStart w:id="23" w:name="_Toc95844453"/>
      <w:r w:rsidRPr="00F0735C">
        <w:t xml:space="preserve">Chapitre </w:t>
      </w:r>
      <w:r>
        <w:t>3</w:t>
      </w:r>
      <w:r w:rsidRPr="00F0735C">
        <w:t xml:space="preserve"> </w:t>
      </w:r>
      <w:r>
        <w:t>–</w:t>
      </w:r>
      <w:r w:rsidRPr="00F0735C">
        <w:t xml:space="preserve"> </w:t>
      </w:r>
      <w:r>
        <w:t>DISPOSITIONS FINALES</w:t>
      </w:r>
      <w:bookmarkEnd w:id="23"/>
    </w:p>
    <w:p w14:paraId="49815596" w14:textId="77777777" w:rsidP="00FE5679" w:rsidR="00FE5679" w:rsidRDefault="00FE5679" w:rsidRPr="00FE5679"/>
    <w:p w14:paraId="2B253F18" w14:textId="241E21F9" w:rsidP="00BB593E" w:rsidR="00F0735C" w:rsidRDefault="00FE5679">
      <w:pPr>
        <w:pStyle w:val="Titre20"/>
      </w:pPr>
      <w:bookmarkStart w:id="24" w:name="_Toc95844454"/>
      <w:r>
        <w:t>3.1 Champ d’application de l’accord</w:t>
      </w:r>
      <w:bookmarkEnd w:id="24"/>
    </w:p>
    <w:p w14:paraId="4EF24838" w14:textId="77777777" w:rsidP="00F0735C" w:rsidR="00F0735C" w:rsidRDefault="00F0735C">
      <w:pPr>
        <w:ind w:left="360"/>
        <w:jc w:val="both"/>
        <w:rPr>
          <w:rFonts w:ascii="Arial" w:hAnsi="Arial"/>
          <w:sz w:val="22"/>
        </w:rPr>
      </w:pPr>
    </w:p>
    <w:p w14:paraId="3FC977A4" w14:textId="08E5EEF6" w:rsidP="00F0735C" w:rsidR="00F0735C" w:rsidRDefault="00F0735C">
      <w:pPr>
        <w:jc w:val="both"/>
        <w:rPr>
          <w:rFonts w:ascii="Arial" w:hAnsi="Arial"/>
          <w:sz w:val="22"/>
        </w:rPr>
      </w:pPr>
      <w:r w:rsidRPr="00F05BB7">
        <w:rPr>
          <w:rFonts w:ascii="Arial" w:hAnsi="Arial"/>
          <w:sz w:val="22"/>
        </w:rPr>
        <w:t xml:space="preserve">Le présent accord s’applique aux salariés de Safran Electronics &amp; Defense </w:t>
      </w:r>
      <w:r>
        <w:rPr>
          <w:rFonts w:ascii="Arial" w:hAnsi="Arial"/>
          <w:sz w:val="22"/>
        </w:rPr>
        <w:t xml:space="preserve">Actuation </w:t>
      </w:r>
      <w:r w:rsidRPr="00F05BB7">
        <w:rPr>
          <w:rFonts w:ascii="Arial" w:hAnsi="Arial"/>
          <w:sz w:val="22"/>
        </w:rPr>
        <w:t>inscrits à l’effectif au 31 décembre 20</w:t>
      </w:r>
      <w:r w:rsidR="00D428FC">
        <w:rPr>
          <w:rFonts w:ascii="Arial" w:hAnsi="Arial"/>
          <w:sz w:val="22"/>
        </w:rPr>
        <w:t>21</w:t>
      </w:r>
      <w:r w:rsidRPr="00F05BB7">
        <w:rPr>
          <w:rFonts w:ascii="Arial" w:hAnsi="Arial"/>
          <w:sz w:val="22"/>
        </w:rPr>
        <w:t xml:space="preserve"> et n’ayant pas une date de fin de contrat antérieure au 30 avril 20</w:t>
      </w:r>
      <w:r>
        <w:rPr>
          <w:rFonts w:ascii="Arial" w:hAnsi="Arial"/>
          <w:sz w:val="22"/>
        </w:rPr>
        <w:t>2</w:t>
      </w:r>
      <w:r w:rsidR="00D428FC">
        <w:rPr>
          <w:rFonts w:ascii="Arial" w:hAnsi="Arial"/>
          <w:sz w:val="22"/>
        </w:rPr>
        <w:t>2</w:t>
      </w:r>
      <w:r w:rsidRPr="00F05BB7">
        <w:rPr>
          <w:rFonts w:ascii="Arial" w:hAnsi="Arial"/>
          <w:sz w:val="22"/>
        </w:rPr>
        <w:t>.</w:t>
      </w:r>
    </w:p>
    <w:p w14:paraId="2EFFAC9D" w14:textId="77777777" w:rsidP="00F0735C" w:rsidR="00F0735C" w:rsidRDefault="00F0735C">
      <w:pPr>
        <w:jc w:val="both"/>
        <w:rPr>
          <w:rFonts w:ascii="Arial" w:hAnsi="Arial"/>
          <w:sz w:val="22"/>
        </w:rPr>
      </w:pPr>
    </w:p>
    <w:p w14:paraId="218DDB4E" w14:textId="77777777" w:rsidP="00F0735C" w:rsidR="00F0735C" w:rsidRDefault="00F0735C">
      <w:pPr>
        <w:jc w:val="both"/>
        <w:rPr>
          <w:rFonts w:ascii="Arial" w:hAnsi="Arial"/>
          <w:sz w:val="22"/>
        </w:rPr>
      </w:pPr>
    </w:p>
    <w:p w14:paraId="25E6138D" w14:textId="47EFDB58" w:rsidP="00BB593E" w:rsidR="00FE5679" w:rsidRDefault="00FE5679">
      <w:pPr>
        <w:pStyle w:val="Titre20"/>
      </w:pPr>
      <w:bookmarkStart w:id="25" w:name="_Toc95844455"/>
      <w:r>
        <w:t>3.2 Prise d’effet</w:t>
      </w:r>
      <w:bookmarkEnd w:id="25"/>
    </w:p>
    <w:p w14:paraId="09A1A90C" w14:textId="77777777" w:rsidP="00F0735C" w:rsidR="00F0735C" w:rsidRDefault="00F0735C">
      <w:pPr>
        <w:ind w:left="360"/>
        <w:jc w:val="both"/>
        <w:rPr>
          <w:rFonts w:ascii="Arial" w:hAnsi="Arial"/>
          <w:sz w:val="22"/>
        </w:rPr>
      </w:pPr>
    </w:p>
    <w:p w14:paraId="19DEF7B8" w14:textId="77777777" w:rsidP="00F0735C" w:rsidR="00F0735C" w:rsidRDefault="00F0735C">
      <w:pPr>
        <w:jc w:val="both"/>
        <w:rPr>
          <w:rFonts w:ascii="Arial" w:hAnsi="Arial"/>
          <w:sz w:val="22"/>
        </w:rPr>
      </w:pPr>
      <w:r w:rsidRPr="00F05BB7">
        <w:rPr>
          <w:rFonts w:ascii="Arial" w:hAnsi="Arial"/>
          <w:sz w:val="22"/>
        </w:rPr>
        <w:t xml:space="preserve">Le présent </w:t>
      </w:r>
      <w:r>
        <w:rPr>
          <w:rFonts w:ascii="Arial" w:hAnsi="Arial"/>
          <w:sz w:val="22"/>
        </w:rPr>
        <w:t xml:space="preserve">accord </w:t>
      </w:r>
      <w:r w:rsidRPr="00F05BB7">
        <w:rPr>
          <w:rFonts w:ascii="Arial" w:hAnsi="Arial"/>
          <w:sz w:val="22"/>
        </w:rPr>
        <w:t>prendra effet à compter de la date de signature.</w:t>
      </w:r>
    </w:p>
    <w:p w14:paraId="19D216D4" w14:textId="77777777" w:rsidP="00F0735C" w:rsidR="00F0735C" w:rsidRDefault="00F0735C">
      <w:pPr>
        <w:jc w:val="both"/>
        <w:rPr>
          <w:rFonts w:ascii="Arial" w:hAnsi="Arial"/>
          <w:sz w:val="22"/>
        </w:rPr>
      </w:pPr>
    </w:p>
    <w:p w14:paraId="2BC27359" w14:textId="77777777" w:rsidP="00F0735C" w:rsidR="00F0735C" w:rsidRDefault="00F0735C">
      <w:pPr>
        <w:jc w:val="both"/>
        <w:rPr>
          <w:rFonts w:ascii="Arial" w:hAnsi="Arial"/>
          <w:sz w:val="22"/>
        </w:rPr>
      </w:pPr>
    </w:p>
    <w:p w14:paraId="466D47C4" w14:textId="414EC3A8" w:rsidP="00CF5CA3" w:rsidR="00CF5CA3" w:rsidRDefault="00CF5CA3">
      <w:pPr>
        <w:pStyle w:val="Titre20"/>
      </w:pPr>
      <w:bookmarkStart w:id="26" w:name="_Toc95844456"/>
      <w:r>
        <w:t>3.3 Clause de rendez-vous</w:t>
      </w:r>
      <w:bookmarkEnd w:id="26"/>
    </w:p>
    <w:p w14:paraId="60A8D0D9" w14:textId="77777777" w:rsidP="00BB593E" w:rsidR="00CF5CA3" w:rsidRDefault="00CF5CA3">
      <w:pPr>
        <w:pStyle w:val="Titre20"/>
        <w:rPr>
          <w:rFonts w:ascii="Arial" w:cs="Times New Roman" w:eastAsia="Times New Roman" w:hAnsi="Arial"/>
          <w:color w:val="auto"/>
          <w:sz w:val="22"/>
          <w:szCs w:val="24"/>
          <w:u w:val="none"/>
        </w:rPr>
      </w:pPr>
    </w:p>
    <w:p w14:paraId="320B53E9" w14:textId="57F1733F" w:rsidP="0035484A" w:rsidR="00CF5CA3" w:rsidRDefault="00CF5CA3" w:rsidRPr="0035484A">
      <w:pPr>
        <w:jc w:val="both"/>
        <w:rPr>
          <w:rFonts w:ascii="Arial" w:hAnsi="Arial"/>
          <w:sz w:val="22"/>
        </w:rPr>
      </w:pPr>
      <w:r w:rsidRPr="0035484A">
        <w:rPr>
          <w:rFonts w:ascii="Arial" w:hAnsi="Arial"/>
          <w:sz w:val="22"/>
        </w:rPr>
        <w:t>Dans l’hypothèse où les dispositions encadrant l’évolution des rémunérations pour 2022 seraient amenées à évoluer, dans le cadre du suivi de l’accord de groupe de sortie de crise du 21 octobre 2021 (chapitre 9), les parties signataires du présent accord se rencontreront dans un délai raisonnable afin d’examiner l’opportunité d’adapter les dispositions du présent accord.</w:t>
      </w:r>
    </w:p>
    <w:p w14:paraId="64DF2C06" w14:textId="0BA9C402" w:rsidR="00070418" w:rsidRDefault="00070418">
      <w:pPr>
        <w:rPr>
          <w:rFonts w:asciiTheme="majorHAnsi" w:cs="Arial" w:eastAsiaTheme="majorEastAsia" w:hAnsiTheme="majorHAnsi"/>
          <w:color w:themeColor="accent1" w:themeShade="BF" w:val="365F91"/>
          <w:sz w:val="26"/>
          <w:szCs w:val="26"/>
          <w:u w:val="single"/>
        </w:rPr>
      </w:pPr>
      <w:r>
        <w:br w:type="page"/>
      </w:r>
    </w:p>
    <w:p w14:paraId="0470FBB7" w14:textId="046EBFAF" w:rsidP="00BB593E" w:rsidR="00FE5679" w:rsidRDefault="00FE5679">
      <w:pPr>
        <w:pStyle w:val="Titre20"/>
      </w:pPr>
      <w:bookmarkStart w:id="27" w:name="_Toc95844457"/>
      <w:r>
        <w:lastRenderedPageBreak/>
        <w:t>3.</w:t>
      </w:r>
      <w:r w:rsidR="00CF5CA3">
        <w:t>4</w:t>
      </w:r>
      <w:r>
        <w:t xml:space="preserve"> Révision et dénonciation</w:t>
      </w:r>
      <w:bookmarkEnd w:id="27"/>
    </w:p>
    <w:p w14:paraId="09733C66" w14:textId="77777777" w:rsidP="00F0735C" w:rsidR="00F0735C" w:rsidRDefault="00F0735C" w:rsidRPr="00F05BB7">
      <w:pPr>
        <w:jc w:val="both"/>
        <w:rPr>
          <w:rFonts w:ascii="Arial" w:hAnsi="Arial"/>
          <w:sz w:val="22"/>
        </w:rPr>
      </w:pPr>
    </w:p>
    <w:p w14:paraId="24E0D38C" w14:textId="77777777" w:rsidP="00F0735C" w:rsidR="00F0735C" w:rsidRDefault="00F0735C">
      <w:pPr>
        <w:jc w:val="both"/>
        <w:rPr>
          <w:rFonts w:ascii="Arial" w:hAnsi="Arial"/>
          <w:sz w:val="22"/>
        </w:rPr>
      </w:pPr>
      <w:r w:rsidRPr="00F05BB7">
        <w:rPr>
          <w:rFonts w:ascii="Arial" w:hAnsi="Arial"/>
          <w:sz w:val="22"/>
        </w:rPr>
        <w:t>Le présent accord pourra être révisé dans les conditions prévues aux articles L 2261-7 et L 2261-8 du Code du travail, la demande de révision devant être portée à la connaissance des autres parties signataires.</w:t>
      </w:r>
    </w:p>
    <w:p w14:paraId="60206811" w14:textId="77777777" w:rsidP="00F0735C" w:rsidR="00F0735C" w:rsidRDefault="00F0735C" w:rsidRPr="00F05BB7">
      <w:pPr>
        <w:jc w:val="both"/>
        <w:rPr>
          <w:rFonts w:ascii="Arial" w:hAnsi="Arial"/>
          <w:sz w:val="22"/>
        </w:rPr>
      </w:pPr>
    </w:p>
    <w:p w14:paraId="56453595" w14:textId="77777777" w:rsidP="00F0735C" w:rsidR="00F0735C" w:rsidRDefault="00F0735C" w:rsidRPr="00F05BB7">
      <w:pPr>
        <w:jc w:val="both"/>
        <w:rPr>
          <w:rFonts w:ascii="Arial" w:hAnsi="Arial"/>
          <w:sz w:val="22"/>
        </w:rPr>
      </w:pPr>
      <w:r w:rsidRPr="00F05BB7">
        <w:rPr>
          <w:rFonts w:ascii="Arial" w:hAnsi="Arial"/>
          <w:sz w:val="22"/>
        </w:rPr>
        <w:t>Cet accord peut être dénoncé dans les conditions prévues aux articles L 2261-9 à L 2261-14 du Code du travail. Dans ce cas, une nouvelle négociation devra s’engager, à la demande d’une des parties signataires, dans les trois mois qui suivent la date de la dénonciation.</w:t>
      </w:r>
    </w:p>
    <w:p w14:paraId="38257410" w14:textId="77777777" w:rsidP="00F0735C" w:rsidR="00F0735C" w:rsidRDefault="00F0735C" w:rsidRPr="00F05BB7">
      <w:pPr>
        <w:jc w:val="both"/>
        <w:rPr>
          <w:rFonts w:ascii="Arial" w:hAnsi="Arial"/>
          <w:sz w:val="22"/>
        </w:rPr>
      </w:pPr>
    </w:p>
    <w:p w14:paraId="0FE268FA" w14:textId="77777777" w:rsidP="00F0735C" w:rsidR="00F0735C" w:rsidRDefault="00F0735C" w:rsidRPr="000C0526">
      <w:pPr>
        <w:jc w:val="both"/>
        <w:rPr>
          <w:rFonts w:ascii="Arial" w:hAnsi="Arial"/>
          <w:sz w:val="22"/>
        </w:rPr>
      </w:pPr>
    </w:p>
    <w:p w14:paraId="7914B5A3" w14:textId="6A5F0DF3" w:rsidP="00CF5CA3" w:rsidR="00FE5679" w:rsidRDefault="00CF5CA3">
      <w:pPr>
        <w:pStyle w:val="Titre20"/>
      </w:pPr>
      <w:bookmarkStart w:id="28" w:name="_Toc95844458"/>
      <w:r>
        <w:t>3.5</w:t>
      </w:r>
      <w:r w:rsidR="00FE5679">
        <w:t xml:space="preserve"> Publication </w:t>
      </w:r>
      <w:r w:rsidR="00070418">
        <w:t>et d</w:t>
      </w:r>
      <w:r w:rsidR="00FE5679">
        <w:t>épôt de l’accord</w:t>
      </w:r>
      <w:bookmarkEnd w:id="28"/>
    </w:p>
    <w:p w14:paraId="0400A2CD" w14:textId="77777777" w:rsidP="00FE5679" w:rsidR="00FE5679" w:rsidRDefault="00FE5679">
      <w:pPr>
        <w:pStyle w:val="Corpsdetexte"/>
      </w:pPr>
    </w:p>
    <w:p w14:paraId="43C0974B" w14:textId="77777777" w:rsidP="00FE5679" w:rsidR="00FE5679" w:rsidRDefault="00FE5679">
      <w:pPr>
        <w:pStyle w:val="Corpsdetexte"/>
      </w:pPr>
      <w:r>
        <w:t xml:space="preserve">Le présent accord sera notifié à l’ensemble des organisations syndicales représentatives dans l’entreprise. </w:t>
      </w:r>
    </w:p>
    <w:p w14:paraId="4E790079" w14:textId="77777777" w:rsidP="00FE5679" w:rsidR="00FE5679" w:rsidRDefault="00FE5679">
      <w:pPr>
        <w:pStyle w:val="Corpsdetexte"/>
      </w:pPr>
    </w:p>
    <w:p w14:paraId="1313EED6" w14:textId="77777777" w:rsidP="00FE5679" w:rsidR="00FE5679" w:rsidRDefault="00FE5679">
      <w:pPr>
        <w:pStyle w:val="Corpsdetexte"/>
      </w:pPr>
      <w:r>
        <w:t>Le présent accord fera l’objet d’un dépôt dans les conditions prévues aux articles L. 2231-6 et D.2231-2 et suivants du Code du travail. Il sera déposé :</w:t>
      </w:r>
    </w:p>
    <w:p w14:paraId="7EBE4927" w14:textId="77777777" w:rsidP="00FE5679" w:rsidR="00FE5679" w:rsidRDefault="00FE5679">
      <w:pPr>
        <w:pStyle w:val="Corpsdetexte"/>
      </w:pPr>
    </w:p>
    <w:p w14:paraId="65094CF6" w14:textId="77777777" w:rsidP="00FE5679" w:rsidR="00FE5679" w:rsidRDefault="00FE5679">
      <w:pPr>
        <w:pStyle w:val="Corpsdetexte"/>
      </w:pPr>
      <w:r>
        <w:t>-</w:t>
      </w:r>
      <w:r>
        <w:tab/>
        <w:t>Sur la plateforme de téléprocédure «TéléAccords » accompagné des pièces prévues aux articles D. 2231-6 et D. 2231-7 du code du travail ;</w:t>
      </w:r>
    </w:p>
    <w:p w14:paraId="30DA5382" w14:textId="77777777" w:rsidP="00FE5679" w:rsidR="00FE5679" w:rsidRDefault="00FE5679">
      <w:pPr>
        <w:pStyle w:val="Corpsdetexte"/>
      </w:pPr>
    </w:p>
    <w:p w14:paraId="42C26969" w14:textId="77777777" w:rsidP="00FE5679" w:rsidR="00FE5679" w:rsidRDefault="00FE5679">
      <w:pPr>
        <w:pStyle w:val="Corpsdetexte"/>
      </w:pPr>
      <w:r>
        <w:t>-</w:t>
      </w:r>
      <w:r>
        <w:tab/>
        <w:t>Et en un exemplaire auprès du greffe du Conseil des Prud'hommes d’Auxerre dont relève le siège de l’entreprise.</w:t>
      </w:r>
    </w:p>
    <w:p w14:paraId="3752AA0D" w14:textId="77777777" w:rsidP="00FE5679" w:rsidR="00FE5679" w:rsidRDefault="00FE5679">
      <w:pPr>
        <w:pStyle w:val="Corpsdetexte"/>
      </w:pPr>
    </w:p>
    <w:p w14:paraId="79528471" w14:textId="77777777" w:rsidP="00FE5679" w:rsidR="00FE5679" w:rsidRDefault="00FE5679" w:rsidRPr="007F4437">
      <w:pPr>
        <w:ind w:left="1211"/>
        <w:jc w:val="both"/>
        <w:rPr>
          <w:rFonts w:ascii="Arial" w:cs="Arial" w:hAnsi="Arial"/>
          <w:sz w:val="22"/>
        </w:rPr>
      </w:pPr>
    </w:p>
    <w:p w14:paraId="6DAFED71" w14:textId="73ABC0F8" w:rsidP="00FE5679" w:rsidR="00FE5679" w:rsidRDefault="00FE5679">
      <w:pPr>
        <w:tabs>
          <w:tab w:pos="851" w:val="left"/>
          <w:tab w:pos="1418" w:val="left"/>
          <w:tab w:pos="1701" w:val="left"/>
          <w:tab w:pos="1985" w:val="left"/>
          <w:tab w:pos="2268" w:val="left"/>
          <w:tab w:pos="5954" w:val="left"/>
        </w:tabs>
        <w:jc w:val="right"/>
        <w:rPr>
          <w:rFonts w:ascii="Arial" w:hAnsi="Arial"/>
          <w:sz w:val="22"/>
        </w:rPr>
      </w:pPr>
      <w:r w:rsidRPr="007F4437">
        <w:rPr>
          <w:rFonts w:ascii="Arial" w:hAnsi="Arial"/>
          <w:sz w:val="22"/>
        </w:rPr>
        <w:t xml:space="preserve">Fait à Auxerre, </w:t>
      </w:r>
      <w:r>
        <w:rPr>
          <w:rFonts w:ascii="Arial" w:hAnsi="Arial"/>
          <w:sz w:val="22"/>
        </w:rPr>
        <w:t xml:space="preserve">le </w:t>
      </w:r>
      <w:r w:rsidR="00070418">
        <w:rPr>
          <w:rFonts w:ascii="Arial" w:hAnsi="Arial"/>
          <w:sz w:val="22"/>
        </w:rPr>
        <w:t>17 février 2022</w:t>
      </w:r>
    </w:p>
    <w:p w14:paraId="74EE9767" w14:textId="77777777" w:rsidP="00FE5679" w:rsidR="00E2433B" w:rsidRDefault="00E2433B">
      <w:pPr>
        <w:tabs>
          <w:tab w:pos="851" w:val="left"/>
          <w:tab w:pos="1418" w:val="left"/>
          <w:tab w:pos="1701" w:val="left"/>
          <w:tab w:pos="1985" w:val="left"/>
          <w:tab w:pos="2268" w:val="left"/>
          <w:tab w:pos="5954" w:val="left"/>
        </w:tabs>
        <w:jc w:val="right"/>
        <w:rPr>
          <w:rFonts w:ascii="Arial" w:hAnsi="Arial"/>
          <w:sz w:val="22"/>
        </w:rPr>
      </w:pPr>
    </w:p>
    <w:tbl>
      <w:tblPr>
        <w:tblW w:type="pct" w:w="5000"/>
        <w:tblCellMar>
          <w:left w:type="dxa" w:w="70"/>
          <w:right w:type="dxa" w:w="70"/>
        </w:tblCellMar>
        <w:tblLook w:firstColumn="0" w:firstRow="0" w:lastColumn="0" w:lastRow="0" w:noHBand="0" w:noVBand="0" w:val="0000"/>
      </w:tblPr>
      <w:tblGrid>
        <w:gridCol w:w="3140"/>
        <w:gridCol w:w="2992"/>
        <w:gridCol w:w="2894"/>
      </w:tblGrid>
      <w:tr w14:paraId="53BD41F4" w14:textId="77777777" w:rsidR="0035484A" w:rsidRPr="002C108B" w:rsidTr="008454EB">
        <w:trPr>
          <w:cantSplit/>
          <w:trHeight w:val="2753"/>
        </w:trPr>
        <w:tc>
          <w:tcPr>
            <w:tcW w:type="dxa" w:w="9026"/>
            <w:gridSpan w:val="3"/>
            <w:tcBorders>
              <w:top w:color="auto" w:space="0" w:sz="6" w:val="double"/>
              <w:left w:color="auto" w:space="0" w:sz="6" w:val="double"/>
              <w:bottom w:color="auto" w:space="0" w:sz="6" w:val="double"/>
              <w:right w:color="auto" w:space="0" w:sz="6" w:val="double"/>
            </w:tcBorders>
          </w:tcPr>
          <w:p w14:paraId="63EE9725" w14:textId="77777777" w:rsidP="008454EB" w:rsidR="0035484A" w:rsidRDefault="0035484A">
            <w:pPr>
              <w:jc w:val="center"/>
              <w:rPr>
                <w:rFonts w:ascii="Arial" w:hAnsi="Arial"/>
                <w:bCs/>
              </w:rPr>
            </w:pPr>
          </w:p>
          <w:p w14:paraId="532964D8" w14:textId="77777777" w:rsidP="008454EB" w:rsidR="0035484A" w:rsidRDefault="0035484A" w:rsidRPr="00D5592F">
            <w:pPr>
              <w:jc w:val="center"/>
              <w:rPr>
                <w:rFonts w:ascii="Arial" w:hAnsi="Arial"/>
                <w:bCs/>
              </w:rPr>
            </w:pPr>
            <w:r w:rsidRPr="00D5592F">
              <w:rPr>
                <w:rFonts w:ascii="Arial" w:hAnsi="Arial"/>
                <w:bCs/>
              </w:rPr>
              <w:t xml:space="preserve">Pour la Société </w:t>
            </w:r>
            <w:r>
              <w:rPr>
                <w:rFonts w:ascii="Arial" w:hAnsi="Arial"/>
                <w:bCs/>
              </w:rPr>
              <w:t>SAFRAN ELECTRONICS &amp; DEFENSE ACTUATION</w:t>
            </w:r>
          </w:p>
          <w:p w14:paraId="760E9CB7" w14:textId="77777777" w:rsidP="008454EB" w:rsidR="0035484A" w:rsidRDefault="0035484A">
            <w:pPr>
              <w:jc w:val="center"/>
              <w:rPr>
                <w:rFonts w:ascii="Arial" w:hAnsi="Arial"/>
                <w:b/>
              </w:rPr>
            </w:pPr>
          </w:p>
          <w:p w14:paraId="299F080D" w14:textId="77777777" w:rsidP="008454EB" w:rsidR="0035484A" w:rsidRDefault="0035484A">
            <w:pPr>
              <w:jc w:val="center"/>
              <w:rPr>
                <w:rFonts w:ascii="Arial" w:hAnsi="Arial"/>
                <w:b/>
              </w:rPr>
            </w:pPr>
          </w:p>
          <w:p w14:paraId="5504A008" w14:textId="77777777" w:rsidP="008454EB" w:rsidR="0035484A" w:rsidRDefault="0035484A">
            <w:pPr>
              <w:jc w:val="center"/>
              <w:rPr>
                <w:rFonts w:ascii="Arial" w:hAnsi="Arial"/>
                <w:b/>
              </w:rPr>
            </w:pPr>
          </w:p>
          <w:p w14:paraId="2D7C2D6C" w14:textId="77777777" w:rsidP="008454EB" w:rsidR="0035484A" w:rsidRDefault="0035484A">
            <w:pPr>
              <w:jc w:val="center"/>
              <w:rPr>
                <w:rFonts w:ascii="Arial" w:hAnsi="Arial"/>
                <w:b/>
              </w:rPr>
            </w:pPr>
          </w:p>
          <w:p w14:paraId="0FE74BE6" w14:textId="77777777" w:rsidP="008454EB" w:rsidR="0035484A" w:rsidRDefault="0035484A" w:rsidRPr="002C108B">
            <w:pPr>
              <w:jc w:val="center"/>
              <w:rPr>
                <w:rFonts w:ascii="Arial" w:hAnsi="Arial"/>
                <w:b/>
              </w:rPr>
            </w:pPr>
          </w:p>
          <w:p w14:paraId="37576ADB" w14:textId="7443C797" w:rsidP="008454EB" w:rsidR="0035484A" w:rsidRDefault="00AE49BE" w:rsidRPr="002C108B">
            <w:pPr>
              <w:jc w:val="center"/>
              <w:rPr>
                <w:rFonts w:ascii="Arial" w:hAnsi="Arial"/>
                <w:b/>
              </w:rPr>
            </w:pPr>
            <w:r>
              <w:rPr>
                <w:rFonts w:ascii="Arial" w:hAnsi="Arial"/>
                <w:b/>
              </w:rPr>
              <w:t xml:space="preserve">                          </w:t>
            </w:r>
          </w:p>
          <w:p w14:paraId="2FAB2528" w14:textId="77777777" w:rsidP="008454EB" w:rsidR="0035484A" w:rsidRDefault="0035484A" w:rsidRPr="002C108B">
            <w:pPr>
              <w:jc w:val="both"/>
              <w:rPr>
                <w:rFonts w:ascii="Arial" w:hAnsi="Arial"/>
                <w:b/>
              </w:rPr>
            </w:pPr>
          </w:p>
        </w:tc>
      </w:tr>
      <w:tr w14:paraId="4BE2CB7B" w14:textId="77777777" w:rsidR="0035484A" w:rsidRPr="002C108B" w:rsidTr="008454EB">
        <w:trPr>
          <w:cantSplit/>
          <w:trHeight w:val="2753"/>
        </w:trPr>
        <w:tc>
          <w:tcPr>
            <w:tcW w:type="dxa" w:w="3140"/>
            <w:tcBorders>
              <w:top w:color="auto" w:space="0" w:sz="6" w:val="double"/>
              <w:left w:color="auto" w:space="0" w:sz="6" w:val="double"/>
              <w:bottom w:color="auto" w:space="0" w:sz="6" w:val="double"/>
              <w:right w:color="auto" w:space="0" w:sz="6" w:val="double"/>
            </w:tcBorders>
          </w:tcPr>
          <w:p w14:paraId="1E97FFFD" w14:textId="77777777" w:rsidP="008454EB" w:rsidR="0035484A" w:rsidRDefault="0035484A">
            <w:pPr>
              <w:jc w:val="center"/>
              <w:rPr>
                <w:rFonts w:ascii="Arial" w:hAnsi="Arial"/>
                <w:b/>
              </w:rPr>
            </w:pPr>
          </w:p>
          <w:p w14:paraId="4844584A" w14:textId="77777777" w:rsidP="008454EB" w:rsidR="0035484A" w:rsidRDefault="0035484A" w:rsidRPr="0008071B">
            <w:pPr>
              <w:jc w:val="center"/>
              <w:rPr>
                <w:rFonts w:ascii="Arial" w:hAnsi="Arial"/>
                <w:b/>
              </w:rPr>
            </w:pPr>
            <w:r w:rsidRPr="0008071B">
              <w:rPr>
                <w:rFonts w:ascii="Arial" w:hAnsi="Arial"/>
                <w:b/>
              </w:rPr>
              <w:t>Pour la C.</w:t>
            </w:r>
            <w:r>
              <w:rPr>
                <w:rFonts w:ascii="Arial" w:hAnsi="Arial"/>
                <w:b/>
              </w:rPr>
              <w:t>F.D.</w:t>
            </w:r>
            <w:r w:rsidRPr="0008071B">
              <w:rPr>
                <w:rFonts w:ascii="Arial" w:hAnsi="Arial"/>
                <w:b/>
              </w:rPr>
              <w:t>T.</w:t>
            </w:r>
            <w:r w:rsidRPr="0008071B">
              <w:rPr>
                <w:rFonts w:ascii="Arial" w:hAnsi="Arial"/>
                <w:b/>
              </w:rPr>
              <w:cr/>
            </w:r>
          </w:p>
          <w:p w14:paraId="00FBDE63" w14:textId="77777777" w:rsidP="008454EB" w:rsidR="0035484A" w:rsidRDefault="0035484A" w:rsidRPr="0008071B">
            <w:pPr>
              <w:jc w:val="center"/>
              <w:rPr>
                <w:rFonts w:ascii="Arial" w:hAnsi="Arial"/>
                <w:b/>
              </w:rPr>
            </w:pPr>
          </w:p>
          <w:p w14:paraId="598F24B9" w14:textId="77777777" w:rsidP="008454EB" w:rsidR="0035484A" w:rsidRDefault="0035484A" w:rsidRPr="0008071B">
            <w:pPr>
              <w:jc w:val="center"/>
              <w:rPr>
                <w:rFonts w:ascii="Arial" w:hAnsi="Arial"/>
                <w:b/>
              </w:rPr>
            </w:pPr>
          </w:p>
          <w:p w14:paraId="6380C637" w14:textId="77777777" w:rsidP="008454EB" w:rsidR="0035484A" w:rsidRDefault="0035484A" w:rsidRPr="0008071B">
            <w:pPr>
              <w:jc w:val="center"/>
              <w:rPr>
                <w:rFonts w:ascii="Arial" w:hAnsi="Arial"/>
                <w:b/>
              </w:rPr>
            </w:pPr>
          </w:p>
          <w:p w14:paraId="5E411EB2" w14:textId="77777777" w:rsidP="008454EB" w:rsidR="0035484A" w:rsidRDefault="0035484A" w:rsidRPr="0008071B">
            <w:pPr>
              <w:jc w:val="center"/>
              <w:rPr>
                <w:rFonts w:ascii="Arial" w:hAnsi="Arial"/>
                <w:b/>
              </w:rPr>
            </w:pPr>
          </w:p>
          <w:p w14:paraId="03437007" w14:textId="77777777" w:rsidP="008454EB" w:rsidR="0035484A" w:rsidRDefault="0035484A" w:rsidRPr="0008071B">
            <w:pPr>
              <w:jc w:val="center"/>
              <w:rPr>
                <w:rFonts w:ascii="Arial" w:hAnsi="Arial"/>
                <w:b/>
              </w:rPr>
            </w:pPr>
          </w:p>
          <w:p w14:paraId="4D2D7C75" w14:textId="2A26549A" w:rsidP="008454EB" w:rsidR="0035484A" w:rsidRDefault="00AE49BE">
            <w:pPr>
              <w:jc w:val="center"/>
              <w:rPr>
                <w:rFonts w:ascii="Arial" w:hAnsi="Arial"/>
                <w:bCs/>
              </w:rPr>
            </w:pPr>
            <w:r>
              <w:rPr>
                <w:rFonts w:ascii="Arial" w:hAnsi="Arial"/>
                <w:b/>
                <w:sz w:val="22"/>
              </w:rPr>
              <w:t xml:space="preserve">                          </w:t>
            </w:r>
          </w:p>
        </w:tc>
        <w:tc>
          <w:tcPr>
            <w:tcW w:type="dxa" w:w="2992"/>
            <w:tcBorders>
              <w:top w:color="auto" w:space="0" w:sz="6" w:val="double"/>
              <w:left w:color="auto" w:space="0" w:sz="6" w:val="double"/>
              <w:bottom w:color="auto" w:space="0" w:sz="6" w:val="double"/>
              <w:right w:color="auto" w:space="0" w:sz="6" w:val="double"/>
            </w:tcBorders>
          </w:tcPr>
          <w:p w14:paraId="650C6C05" w14:textId="77777777" w:rsidP="008454EB" w:rsidR="0035484A" w:rsidRDefault="0035484A" w:rsidRPr="0008071B">
            <w:pPr>
              <w:jc w:val="center"/>
              <w:rPr>
                <w:rFonts w:ascii="Arial" w:hAnsi="Arial"/>
                <w:b/>
              </w:rPr>
            </w:pPr>
          </w:p>
          <w:p w14:paraId="2898F2A8" w14:textId="77777777" w:rsidP="008454EB" w:rsidR="0035484A" w:rsidRDefault="0035484A" w:rsidRPr="0008071B">
            <w:pPr>
              <w:jc w:val="center"/>
              <w:rPr>
                <w:rFonts w:ascii="Arial" w:hAnsi="Arial"/>
                <w:b/>
              </w:rPr>
            </w:pPr>
            <w:r w:rsidRPr="0008071B">
              <w:rPr>
                <w:rFonts w:ascii="Arial" w:hAnsi="Arial"/>
                <w:b/>
              </w:rPr>
              <w:t xml:space="preserve">Pour </w:t>
            </w:r>
            <w:smartTag w:element="PersonName" w:uri="urn:schemas-microsoft-com:office:smarttags">
              <w:smartTagPr>
                <w:attr w:name="ProductID" w:val="la C.G"/>
              </w:smartTagPr>
              <w:r w:rsidRPr="0008071B">
                <w:rPr>
                  <w:rFonts w:ascii="Arial" w:hAnsi="Arial"/>
                  <w:b/>
                </w:rPr>
                <w:t>la C.G</w:t>
              </w:r>
            </w:smartTag>
            <w:r w:rsidRPr="0008071B">
              <w:rPr>
                <w:rFonts w:ascii="Arial" w:hAnsi="Arial"/>
                <w:b/>
              </w:rPr>
              <w:t>.T.</w:t>
            </w:r>
            <w:r w:rsidRPr="0008071B">
              <w:rPr>
                <w:rFonts w:ascii="Arial" w:hAnsi="Arial"/>
                <w:b/>
              </w:rPr>
              <w:cr/>
            </w:r>
          </w:p>
          <w:p w14:paraId="0EA1CDA8" w14:textId="77777777" w:rsidP="008454EB" w:rsidR="0035484A" w:rsidRDefault="0035484A" w:rsidRPr="0008071B">
            <w:pPr>
              <w:jc w:val="center"/>
              <w:rPr>
                <w:rFonts w:ascii="Arial" w:hAnsi="Arial"/>
                <w:b/>
              </w:rPr>
            </w:pPr>
          </w:p>
          <w:p w14:paraId="705B6977" w14:textId="77777777" w:rsidP="008454EB" w:rsidR="0035484A" w:rsidRDefault="0035484A" w:rsidRPr="0008071B">
            <w:pPr>
              <w:jc w:val="center"/>
              <w:rPr>
                <w:rFonts w:ascii="Arial" w:hAnsi="Arial"/>
                <w:b/>
              </w:rPr>
            </w:pPr>
          </w:p>
          <w:p w14:paraId="7DE9E659" w14:textId="77777777" w:rsidP="008454EB" w:rsidR="0035484A" w:rsidRDefault="0035484A" w:rsidRPr="0008071B">
            <w:pPr>
              <w:jc w:val="center"/>
              <w:rPr>
                <w:rFonts w:ascii="Arial" w:hAnsi="Arial"/>
                <w:b/>
              </w:rPr>
            </w:pPr>
          </w:p>
          <w:p w14:paraId="1136E8BC" w14:textId="77777777" w:rsidP="008454EB" w:rsidR="0035484A" w:rsidRDefault="0035484A" w:rsidRPr="0008071B">
            <w:pPr>
              <w:jc w:val="center"/>
              <w:rPr>
                <w:rFonts w:ascii="Arial" w:hAnsi="Arial"/>
                <w:b/>
              </w:rPr>
            </w:pPr>
          </w:p>
          <w:p w14:paraId="028B2647" w14:textId="77777777" w:rsidP="008454EB" w:rsidR="0035484A" w:rsidRDefault="0035484A">
            <w:pPr>
              <w:jc w:val="center"/>
              <w:rPr>
                <w:rFonts w:ascii="Arial" w:hAnsi="Arial"/>
                <w:b/>
                <w:sz w:val="22"/>
              </w:rPr>
            </w:pPr>
          </w:p>
          <w:p w14:paraId="2F482B30" w14:textId="0382D3C3" w:rsidP="008454EB" w:rsidR="0035484A" w:rsidRDefault="00AE49BE">
            <w:pPr>
              <w:jc w:val="center"/>
              <w:rPr>
                <w:rFonts w:ascii="Arial" w:hAnsi="Arial"/>
                <w:bCs/>
              </w:rPr>
            </w:pPr>
            <w:r>
              <w:rPr>
                <w:rFonts w:ascii="Arial" w:hAnsi="Arial"/>
                <w:b/>
                <w:sz w:val="22"/>
              </w:rPr>
              <w:t xml:space="preserve">                          </w:t>
            </w:r>
          </w:p>
        </w:tc>
        <w:tc>
          <w:tcPr>
            <w:tcW w:type="dxa" w:w="2894"/>
            <w:tcBorders>
              <w:top w:color="auto" w:space="0" w:sz="6" w:val="double"/>
              <w:left w:color="auto" w:space="0" w:sz="6" w:val="double"/>
              <w:bottom w:color="auto" w:space="0" w:sz="6" w:val="double"/>
              <w:right w:color="auto" w:space="0" w:sz="6" w:val="double"/>
            </w:tcBorders>
          </w:tcPr>
          <w:p w14:paraId="7EADAF85" w14:textId="77777777" w:rsidP="008454EB" w:rsidR="0035484A" w:rsidRDefault="0035484A" w:rsidRPr="0008071B">
            <w:pPr>
              <w:ind w:left="1064"/>
              <w:jc w:val="center"/>
              <w:rPr>
                <w:rFonts w:ascii="Arial" w:hAnsi="Arial"/>
                <w:b/>
              </w:rPr>
            </w:pPr>
          </w:p>
          <w:p w14:paraId="6833856A" w14:textId="77777777" w:rsidP="008454EB" w:rsidR="0035484A" w:rsidRDefault="0035484A" w:rsidRPr="0008071B">
            <w:pPr>
              <w:jc w:val="center"/>
              <w:rPr>
                <w:rFonts w:ascii="Arial" w:hAnsi="Arial"/>
                <w:b/>
              </w:rPr>
            </w:pPr>
            <w:r w:rsidRPr="0008071B">
              <w:rPr>
                <w:rFonts w:ascii="Arial" w:hAnsi="Arial"/>
                <w:b/>
              </w:rPr>
              <w:t>Pour la C</w:t>
            </w:r>
            <w:r>
              <w:rPr>
                <w:rFonts w:ascii="Arial" w:hAnsi="Arial"/>
                <w:b/>
              </w:rPr>
              <w:t>FE</w:t>
            </w:r>
            <w:r w:rsidRPr="0008071B">
              <w:rPr>
                <w:rFonts w:ascii="Arial" w:hAnsi="Arial"/>
                <w:b/>
              </w:rPr>
              <w:t>-</w:t>
            </w:r>
            <w:r>
              <w:rPr>
                <w:rFonts w:ascii="Arial" w:hAnsi="Arial"/>
                <w:b/>
              </w:rPr>
              <w:t xml:space="preserve">CGC    </w:t>
            </w:r>
          </w:p>
          <w:p w14:paraId="1B921657" w14:textId="77777777" w:rsidP="008454EB" w:rsidR="0035484A" w:rsidRDefault="0035484A" w:rsidRPr="0008071B">
            <w:pPr>
              <w:ind w:left="1064"/>
              <w:jc w:val="center"/>
              <w:rPr>
                <w:rFonts w:ascii="Arial" w:hAnsi="Arial"/>
                <w:b/>
              </w:rPr>
            </w:pPr>
          </w:p>
          <w:p w14:paraId="4E6FD17C" w14:textId="77777777" w:rsidP="008454EB" w:rsidR="0035484A" w:rsidRDefault="0035484A" w:rsidRPr="0008071B">
            <w:pPr>
              <w:ind w:left="1064"/>
              <w:jc w:val="center"/>
              <w:rPr>
                <w:rFonts w:ascii="Arial" w:hAnsi="Arial"/>
                <w:b/>
              </w:rPr>
            </w:pPr>
          </w:p>
          <w:p w14:paraId="32C45FA2" w14:textId="77777777" w:rsidP="008454EB" w:rsidR="0035484A" w:rsidRDefault="0035484A" w:rsidRPr="0008071B">
            <w:pPr>
              <w:ind w:left="1064"/>
              <w:jc w:val="center"/>
              <w:rPr>
                <w:rFonts w:ascii="Arial" w:hAnsi="Arial"/>
                <w:b/>
              </w:rPr>
            </w:pPr>
          </w:p>
          <w:p w14:paraId="32959EAC" w14:textId="77777777" w:rsidP="008454EB" w:rsidR="0035484A" w:rsidRDefault="0035484A" w:rsidRPr="0008071B">
            <w:pPr>
              <w:ind w:left="1064"/>
              <w:jc w:val="center"/>
              <w:rPr>
                <w:rFonts w:ascii="Arial" w:hAnsi="Arial"/>
                <w:b/>
              </w:rPr>
            </w:pPr>
          </w:p>
          <w:p w14:paraId="30F4F7A4" w14:textId="77777777" w:rsidP="008454EB" w:rsidR="0035484A" w:rsidRDefault="0035484A" w:rsidRPr="0008071B">
            <w:pPr>
              <w:ind w:left="1064"/>
              <w:jc w:val="center"/>
              <w:rPr>
                <w:rFonts w:ascii="Arial" w:hAnsi="Arial"/>
                <w:b/>
              </w:rPr>
            </w:pPr>
          </w:p>
          <w:p w14:paraId="40CD092C" w14:textId="77777777" w:rsidP="008454EB" w:rsidR="0035484A" w:rsidRDefault="0035484A" w:rsidRPr="0008071B">
            <w:pPr>
              <w:ind w:left="1064"/>
              <w:jc w:val="center"/>
              <w:rPr>
                <w:rFonts w:ascii="Arial" w:hAnsi="Arial"/>
                <w:b/>
              </w:rPr>
            </w:pPr>
          </w:p>
          <w:p w14:paraId="14E5B87A" w14:textId="03DB998F" w:rsidP="008454EB" w:rsidR="0035484A" w:rsidRDefault="00AE49BE">
            <w:pPr>
              <w:jc w:val="center"/>
              <w:rPr>
                <w:rFonts w:ascii="Arial" w:hAnsi="Arial"/>
                <w:bCs/>
              </w:rPr>
            </w:pPr>
            <w:r>
              <w:rPr>
                <w:rFonts w:ascii="Arial" w:hAnsi="Arial"/>
                <w:b/>
                <w:sz w:val="22"/>
              </w:rPr>
              <w:t xml:space="preserve">                          </w:t>
            </w:r>
          </w:p>
        </w:tc>
      </w:tr>
    </w:tbl>
    <w:p w14:paraId="4CD35EF4" w14:textId="77777777" w:rsidP="00FE5679" w:rsidR="0035484A" w:rsidRDefault="0035484A">
      <w:pPr>
        <w:tabs>
          <w:tab w:pos="851" w:val="left"/>
          <w:tab w:pos="1418" w:val="left"/>
          <w:tab w:pos="1701" w:val="left"/>
          <w:tab w:pos="1985" w:val="left"/>
          <w:tab w:pos="2268" w:val="left"/>
          <w:tab w:pos="5954" w:val="left"/>
        </w:tabs>
        <w:jc w:val="right"/>
        <w:rPr>
          <w:rFonts w:ascii="Arial" w:hAnsi="Arial"/>
          <w:sz w:val="22"/>
        </w:rPr>
      </w:pPr>
    </w:p>
    <w:sectPr w:rsidR="0035484A" w:rsidSect="0071503E">
      <w:footerReference r:id="rId8" w:type="even"/>
      <w:footerReference r:id="rId9" w:type="default"/>
      <w:headerReference r:id="rId10" w:type="first"/>
      <w:footerReference r:id="rId11" w:type="first"/>
      <w:pgSz w:h="16838" w:w="11906"/>
      <w:pgMar w:bottom="1134" w:footer="567" w:gutter="0" w:header="57" w:left="1417" w:right="1417" w:top="226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4D7A6" w14:textId="77777777" w:rsidR="00F276F5" w:rsidRDefault="00F276F5">
      <w:r>
        <w:separator/>
      </w:r>
    </w:p>
  </w:endnote>
  <w:endnote w:type="continuationSeparator" w:id="0">
    <w:p w14:paraId="64868E77" w14:textId="77777777" w:rsidR="00F276F5" w:rsidRDefault="00F27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413D5322" w14:textId="77777777" w:rsidP="003E4F16" w:rsidR="00D37B20" w:rsidRDefault="00D37B20">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14:paraId="68AB11FF" w14:textId="77777777" w:rsidP="00CB20ED" w:rsidR="00D37B20" w:rsidRDefault="00D37B20">
    <w:pPr>
      <w:pStyle w:val="Pieddepage"/>
      <w:ind w:right="360"/>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3BEBCBD8" w14:textId="77777777" w:rsidP="003E4F16" w:rsidR="00D37B20" w:rsidRDefault="00D37B20">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E49BE">
      <w:rPr>
        <w:rStyle w:val="Numrodepage"/>
        <w:noProof/>
      </w:rPr>
      <w:t>10</w:t>
    </w:r>
    <w:r>
      <w:rPr>
        <w:rStyle w:val="Numrodepage"/>
      </w:rPr>
      <w:fldChar w:fldCharType="end"/>
    </w:r>
  </w:p>
  <w:p w14:paraId="5FF7EE17" w14:textId="77777777" w:rsidP="00CB20ED" w:rsidR="00D37B20" w:rsidRDefault="00D37B20">
    <w:pPr>
      <w:pStyle w:val="Pieddepage"/>
      <w:ind w:right="360"/>
    </w:pP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tbl>
    <w:tblPr>
      <w:tblStyle w:val="Grilledutableau"/>
      <w:tblpPr w:horzAnchor="page" w:tblpX="1135" w:tblpYSpec="bottom" w:vertAnchor="page"/>
      <w:tblW w:type="dxa" w:w="9727"/>
      <w:tblBorders>
        <w:top w:color="auto" w:space="0" w:sz="4" w:val="single"/>
        <w:left w:color="auto" w:space="0" w:sz="0" w:val="none"/>
        <w:bottom w:color="auto" w:space="0" w:sz="0" w:val="none"/>
        <w:right w:color="auto" w:space="0" w:sz="0" w:val="none"/>
        <w:insideH w:color="auto" w:space="0" w:sz="0" w:val="none"/>
        <w:insideV w:color="auto" w:space="0" w:sz="0" w:val="none"/>
      </w:tblBorders>
      <w:tblLayout w:type="fixed"/>
      <w:tblCellMar>
        <w:left w:type="dxa" w:w="0"/>
        <w:right w:type="dxa" w:w="0"/>
      </w:tblCellMar>
      <w:tblLook w:firstColumn="0" w:firstRow="0" w:lastColumn="0" w:lastRow="0" w:noHBand="1" w:noVBand="1" w:val="0600"/>
    </w:tblPr>
    <w:tblGrid>
      <w:gridCol w:w="6634"/>
      <w:gridCol w:w="61"/>
      <w:gridCol w:w="222"/>
      <w:gridCol w:w="63"/>
      <w:gridCol w:w="2659"/>
      <w:gridCol w:w="88"/>
    </w:tblGrid>
    <w:tr w14:paraId="5C94E130" w14:textId="77777777" w:rsidR="00D37B20" w:rsidRPr="004C3556" w:rsidTr="00D37B20">
      <w:trPr>
        <w:trHeight w:val="343"/>
      </w:trPr>
      <w:tc>
        <w:tcPr>
          <w:tcW w:type="dxa" w:w="6695"/>
          <w:gridSpan w:val="2"/>
          <w:tcBorders>
            <w:top w:val="nil"/>
          </w:tcBorders>
          <w:vAlign w:val="bottom"/>
        </w:tcPr>
        <w:p w14:paraId="2595AB28" w14:textId="77777777" w:rsidP="004C3556" w:rsidR="00D37B20" w:rsidRDefault="00D37B20" w:rsidRPr="004C3556">
          <w:pPr>
            <w:pStyle w:val="Titrepieddepage"/>
            <w:framePr w:hAnchor="text" w:vAnchor="margin" w:wrap="auto" w:xAlign="left" w:yAlign="inline"/>
            <w:rPr>
              <w:color w:val="auto"/>
            </w:rPr>
          </w:pPr>
          <w:r w:rsidRPr="004C3556">
            <w:rPr>
              <w:color w:val="auto"/>
            </w:rPr>
            <w:t>Safran Electronics &amp; Defense Actuation</w:t>
          </w:r>
        </w:p>
        <w:p w14:paraId="79D3EC5A" w14:textId="77777777" w:rsidP="004C3556" w:rsidR="00D37B20" w:rsidRDefault="00D37B20" w:rsidRPr="004C3556">
          <w:pPr>
            <w:pStyle w:val="Textegauchepieddepage"/>
            <w:framePr w:hAnchor="text" w:vAnchor="margin" w:wrap="auto" w:xAlign="left" w:yAlign="inline"/>
            <w:rPr>
              <w:color w:val="auto"/>
            </w:rPr>
          </w:pPr>
          <w:r w:rsidRPr="004C3556">
            <w:rPr>
              <w:rFonts w:asciiTheme="majorHAnsi" w:hAnsiTheme="majorHAnsi"/>
              <w:color w:val="auto"/>
            </w:rPr>
            <w:t>S.A.S. capital 8 224 808,40€ - RCS Auxerre 542 103 031</w:t>
          </w:r>
        </w:p>
        <w:p w14:paraId="521F3C32" w14:textId="77777777" w:rsidP="004C3556" w:rsidR="00D37B20" w:rsidRDefault="00D37B20" w:rsidRPr="004C3556">
          <w:pPr>
            <w:pStyle w:val="Textegauchepieddepage"/>
            <w:framePr w:hAnchor="text" w:vAnchor="margin" w:wrap="auto" w:xAlign="left" w:yAlign="inline"/>
            <w:rPr>
              <w:color w:val="auto"/>
            </w:rPr>
          </w:pPr>
          <w:r w:rsidRPr="004C3556">
            <w:rPr>
              <w:rFonts w:asciiTheme="majorHAnsi" w:hAnsiTheme="majorHAnsi"/>
              <w:color w:val="auto"/>
            </w:rPr>
            <w:t xml:space="preserve">41, rue Guynemer, 89000 AUXERRE - </w:t>
          </w:r>
          <w:r w:rsidRPr="004C3556">
            <w:rPr>
              <w:color w:val="auto"/>
            </w:rPr>
            <w:t>France</w:t>
          </w:r>
        </w:p>
        <w:p w14:paraId="13551B9D" w14:textId="77777777" w:rsidP="004C3556" w:rsidR="00D37B20" w:rsidRDefault="00D37B20" w:rsidRPr="004C3556">
          <w:pPr>
            <w:pStyle w:val="Textegauchepieddepage"/>
            <w:framePr w:hAnchor="text" w:vAnchor="margin" w:wrap="auto" w:xAlign="left" w:yAlign="inline"/>
            <w:rPr>
              <w:color w:val="auto"/>
            </w:rPr>
          </w:pPr>
          <w:r w:rsidRPr="004C3556">
            <w:rPr>
              <w:rFonts w:asciiTheme="majorHAnsi" w:hAnsiTheme="majorHAnsi"/>
              <w:color w:val="auto"/>
            </w:rPr>
            <w:t>TVA FR24 542 103 031 – APE 2711Z</w:t>
          </w:r>
        </w:p>
      </w:tc>
      <w:tc>
        <w:tcPr>
          <w:tcW w:type="dxa" w:w="285"/>
          <w:gridSpan w:val="2"/>
          <w:tcBorders>
            <w:top w:val="nil"/>
          </w:tcBorders>
        </w:tcPr>
        <w:p w14:paraId="43111A85" w14:textId="77777777" w:rsidP="004C3556" w:rsidR="00D37B20" w:rsidRDefault="00D37B20" w:rsidRPr="004C3556"/>
      </w:tc>
      <w:tc>
        <w:tcPr>
          <w:tcW w:type="dxa" w:w="2747"/>
          <w:gridSpan w:val="2"/>
          <w:tcBorders>
            <w:top w:val="nil"/>
          </w:tcBorders>
          <w:vAlign w:val="bottom"/>
        </w:tcPr>
        <w:p w14:paraId="02333AE9" w14:textId="77777777" w:rsidP="004C3556" w:rsidR="00D37B20" w:rsidRDefault="00D37B20" w:rsidRPr="004C3556">
          <w:pPr>
            <w:pStyle w:val="Textedroitepieddepage"/>
            <w:framePr w:hAnchor="text" w:vAnchor="margin" w:wrap="auto" w:xAlign="left" w:yAlign="inline"/>
            <w:rPr>
              <w:color w:val="auto"/>
            </w:rPr>
          </w:pPr>
          <w:r w:rsidRPr="004C3556">
            <w:rPr>
              <w:color w:val="auto"/>
            </w:rPr>
            <w:t>T +33 (0)3 86 94 52 00</w:t>
          </w:r>
        </w:p>
        <w:p w14:paraId="0267A0EA" w14:textId="77777777" w:rsidP="004C3556" w:rsidR="00D37B20" w:rsidRDefault="00D37B20" w:rsidRPr="004C3556">
          <w:pPr>
            <w:pStyle w:val="Textedroitepieddepage"/>
            <w:framePr w:hAnchor="text" w:vAnchor="margin" w:wrap="auto" w:xAlign="left" w:yAlign="inline"/>
            <w:rPr>
              <w:rStyle w:val="Textebold"/>
              <w:color w:val="auto"/>
            </w:rPr>
          </w:pPr>
          <w:r w:rsidRPr="004C3556">
            <w:rPr>
              <w:rStyle w:val="Textebold"/>
              <w:color w:val="auto"/>
            </w:rPr>
            <w:t>www.safran-electronics-defense.com</w:t>
          </w:r>
        </w:p>
      </w:tc>
    </w:tr>
    <w:tr w14:paraId="0C956DD4" w14:textId="77777777" w:rsidR="00D37B20" w:rsidRPr="004C3556" w:rsidTr="00D37B20">
      <w:trPr>
        <w:gridAfter w:val="1"/>
        <w:wAfter w:type="dxa" w:w="88"/>
        <w:trHeight w:val="340"/>
      </w:trPr>
      <w:tc>
        <w:tcPr>
          <w:tcW w:type="dxa" w:w="6634"/>
          <w:vAlign w:val="bottom"/>
        </w:tcPr>
        <w:p w14:paraId="568FD768" w14:textId="77777777" w:rsidP="004C3556" w:rsidR="00D37B20" w:rsidRDefault="00D37B20" w:rsidRPr="004C3556">
          <w:pPr>
            <w:pStyle w:val="Textegauchepieddepage"/>
            <w:framePr w:hAnchor="text" w:vAnchor="margin" w:wrap="auto" w:xAlign="left" w:yAlign="inline"/>
            <w:rPr>
              <w:color w:val="auto"/>
            </w:rPr>
          </w:pPr>
        </w:p>
        <w:p w14:paraId="67479555" w14:textId="77777777" w:rsidP="004C3556" w:rsidR="00D37B20" w:rsidRDefault="00D37B20" w:rsidRPr="004C3556">
          <w:pPr>
            <w:pStyle w:val="Textegauchepieddepage"/>
            <w:framePr w:hAnchor="text" w:vAnchor="margin" w:wrap="auto" w:xAlign="left" w:yAlign="inline"/>
            <w:rPr>
              <w:color w:val="auto"/>
            </w:rPr>
          </w:pPr>
        </w:p>
        <w:p w14:paraId="4038D4F1" w14:textId="77777777" w:rsidP="004C3556" w:rsidR="00D37B20" w:rsidRDefault="00D37B20" w:rsidRPr="004C3556">
          <w:pPr>
            <w:pStyle w:val="Textegauchepieddepage"/>
            <w:framePr w:hAnchor="text" w:vAnchor="margin" w:wrap="auto" w:xAlign="left" w:yAlign="inline"/>
            <w:rPr>
              <w:color w:val="auto"/>
            </w:rPr>
          </w:pPr>
        </w:p>
        <w:p w14:paraId="5F4DED14" w14:textId="77777777" w:rsidP="004C3556" w:rsidR="00D37B20" w:rsidRDefault="00D37B20" w:rsidRPr="004C3556">
          <w:pPr>
            <w:pStyle w:val="Textegauchepieddepage"/>
            <w:framePr w:hAnchor="text" w:vAnchor="margin" w:wrap="auto" w:xAlign="left" w:yAlign="inline"/>
            <w:rPr>
              <w:color w:val="auto"/>
            </w:rPr>
          </w:pPr>
        </w:p>
      </w:tc>
      <w:tc>
        <w:tcPr>
          <w:tcW w:type="dxa" w:w="283"/>
          <w:gridSpan w:val="2"/>
        </w:tcPr>
        <w:p w14:paraId="4B8CF5B3" w14:textId="77777777" w:rsidP="004C3556" w:rsidR="00D37B20" w:rsidRDefault="00D37B20" w:rsidRPr="004C3556"/>
      </w:tc>
      <w:tc>
        <w:tcPr>
          <w:tcW w:type="dxa" w:w="2722"/>
          <w:gridSpan w:val="2"/>
          <w:vAlign w:val="bottom"/>
        </w:tcPr>
        <w:p w14:paraId="79BAC145" w14:textId="77777777" w:rsidP="004C3556" w:rsidR="00D37B20" w:rsidRDefault="00D37B20" w:rsidRPr="004C3556">
          <w:pPr>
            <w:pStyle w:val="Textedroitepieddepage"/>
            <w:framePr w:hAnchor="text" w:vAnchor="margin" w:wrap="auto" w:xAlign="left" w:yAlign="inline"/>
            <w:rPr>
              <w:rStyle w:val="Textebold"/>
              <w:color w:val="auto"/>
            </w:rPr>
          </w:pPr>
        </w:p>
      </w:tc>
    </w:tr>
  </w:tbl>
  <w:p w14:paraId="349A7C0C" w14:textId="77777777" w:rsidR="00D37B20" w:rsidRDefault="00D37B20">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74A92419" w14:textId="77777777" w:rsidR="00F276F5" w:rsidRDefault="00F276F5">
      <w:r>
        <w:separator/>
      </w:r>
    </w:p>
  </w:footnote>
  <w:footnote w:id="0" w:type="continuationSeparator">
    <w:p w14:paraId="4172630F" w14:textId="77777777" w:rsidR="00F276F5" w:rsidRDefault="00F276F5">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4372C59" w14:textId="486A9F07" w:rsidP="0071503E" w:rsidR="00D37B20" w:rsidRDefault="00D37B20">
    <w:pPr>
      <w:pStyle w:val="En-tte"/>
      <w:tabs>
        <w:tab w:pos="4536" w:val="clear"/>
      </w:tabs>
      <w:ind w:left="6096"/>
    </w:pPr>
    <w:r>
      <w:rPr>
        <w:noProof/>
      </w:rPr>
      <w:drawing>
        <wp:inline distB="0" distL="0" distR="0" distT="0" wp14:anchorId="203527AA" wp14:editId="323F5B9B">
          <wp:extent cx="2702560" cy="1079500"/>
          <wp:effectExtent b="6350" l="0" r="2540" t="0"/>
          <wp:docPr descr="nacelles.png" id="8" name="Image 1"/>
          <wp:cNvGraphicFramePr/>
          <a:graphic xmlns:a="http://schemas.openxmlformats.org/drawingml/2006/main">
            <a:graphicData uri="http://schemas.openxmlformats.org/drawingml/2006/picture">
              <pic:pic xmlns:pic="http://schemas.openxmlformats.org/drawingml/2006/picture">
                <pic:nvPicPr>
                  <pic:cNvPr descr="nacelles.png" id="17" name="Image 1"/>
                  <pic:cNvPicPr/>
                </pic:nvPicPr>
                <pic:blipFill>
                  <a:blip r:embed="rId1"/>
                  <a:stretch>
                    <a:fillRect/>
                  </a:stretch>
                </pic:blipFill>
                <pic:spPr>
                  <a:xfrm>
                    <a:off x="0" y="0"/>
                    <a:ext cx="2702560" cy="1079500"/>
                  </a:xfrm>
                  <a:prstGeom prst="rect">
                    <a:avLst/>
                  </a:prstGeom>
                </pic:spPr>
              </pic:pic>
            </a:graphicData>
          </a:graphic>
        </wp:inline>
      </w:drawing>
    </w:r>
    <w:r>
      <w:rPr>
        <w:noProof/>
      </w:rPr>
      <w:drawing>
        <wp:anchor allowOverlap="1" behindDoc="1" distB="0" distL="114300" distR="114300" distT="0" layoutInCell="1" locked="0" relativeHeight="251659264" simplePos="0" wp14:anchorId="1353F37D" wp14:editId="16B0ACBF">
          <wp:simplePos x="0" y="0"/>
          <wp:positionH relativeFrom="page">
            <wp:posOffset>7807</wp:posOffset>
          </wp:positionH>
          <wp:positionV relativeFrom="page">
            <wp:posOffset>710</wp:posOffset>
          </wp:positionV>
          <wp:extent cx="3603050" cy="1260000"/>
          <wp:effectExtent b="0" l="19050" r="0" t="0"/>
          <wp:wrapNone/>
          <wp:docPr descr="logo_safran.png" id="9" name="Ima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afran.png"/>
                  <pic:cNvPicPr/>
                </pic:nvPicPr>
                <pic:blipFill>
                  <a:blip r:embed="rId2"/>
                  <a:stretch>
                    <a:fillRect/>
                  </a:stretch>
                </pic:blipFill>
                <pic:spPr>
                  <a:xfrm>
                    <a:off x="0" y="0"/>
                    <a:ext cx="3603050" cy="1260000"/>
                  </a:xfrm>
                  <a:prstGeom prst="rect">
                    <a:avLst/>
                  </a:prstGeom>
                </pic:spPr>
              </pic:pic>
            </a:graphicData>
          </a:graphic>
        </wp:anchor>
      </w:drawing>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61501EC"/>
    <w:multiLevelType w:val="multilevel"/>
    <w:tmpl w:val="F6FA80F4"/>
    <w:lvl w:ilvl="0">
      <w:start w:val="2"/>
      <w:numFmt w:val="decimal"/>
      <w:lvlText w:val="%1"/>
      <w:lvlJc w:val="left"/>
      <w:pPr>
        <w:ind w:hanging="492" w:left="492"/>
      </w:pPr>
      <w:rPr>
        <w:rFonts w:hint="default"/>
      </w:rPr>
    </w:lvl>
    <w:lvl w:ilvl="1">
      <w:start w:val="2"/>
      <w:numFmt w:val="decimal"/>
      <w:lvlText w:val="%1.%2"/>
      <w:lvlJc w:val="left"/>
      <w:pPr>
        <w:ind w:hanging="492" w:left="1392"/>
      </w:pPr>
      <w:rPr>
        <w:rFonts w:hint="default"/>
      </w:rPr>
    </w:lvl>
    <w:lvl w:ilvl="2">
      <w:start w:val="2"/>
      <w:numFmt w:val="decimal"/>
      <w:lvlText w:val="%1.%2.%3"/>
      <w:lvlJc w:val="left"/>
      <w:pPr>
        <w:ind w:hanging="720" w:left="2520"/>
      </w:pPr>
      <w:rPr>
        <w:rFonts w:hint="default"/>
      </w:rPr>
    </w:lvl>
    <w:lvl w:ilvl="3">
      <w:start w:val="1"/>
      <w:numFmt w:val="decimal"/>
      <w:lvlText w:val="%1.%2.%3.%4"/>
      <w:lvlJc w:val="left"/>
      <w:pPr>
        <w:ind w:hanging="720" w:left="3420"/>
      </w:pPr>
      <w:rPr>
        <w:rFonts w:hint="default"/>
      </w:rPr>
    </w:lvl>
    <w:lvl w:ilvl="4">
      <w:start w:val="1"/>
      <w:numFmt w:val="decimal"/>
      <w:lvlText w:val="%1.%2.%3.%4.%5"/>
      <w:lvlJc w:val="left"/>
      <w:pPr>
        <w:ind w:hanging="1080" w:left="4680"/>
      </w:pPr>
      <w:rPr>
        <w:rFonts w:hint="default"/>
      </w:rPr>
    </w:lvl>
    <w:lvl w:ilvl="5">
      <w:start w:val="1"/>
      <w:numFmt w:val="decimal"/>
      <w:lvlText w:val="%1.%2.%3.%4.%5.%6"/>
      <w:lvlJc w:val="left"/>
      <w:pPr>
        <w:ind w:hanging="1440" w:left="5940"/>
      </w:pPr>
      <w:rPr>
        <w:rFonts w:hint="default"/>
      </w:rPr>
    </w:lvl>
    <w:lvl w:ilvl="6">
      <w:start w:val="1"/>
      <w:numFmt w:val="decimal"/>
      <w:lvlText w:val="%1.%2.%3.%4.%5.%6.%7"/>
      <w:lvlJc w:val="left"/>
      <w:pPr>
        <w:ind w:hanging="1440" w:left="6840"/>
      </w:pPr>
      <w:rPr>
        <w:rFonts w:hint="default"/>
      </w:rPr>
    </w:lvl>
    <w:lvl w:ilvl="7">
      <w:start w:val="1"/>
      <w:numFmt w:val="decimal"/>
      <w:lvlText w:val="%1.%2.%3.%4.%5.%6.%7.%8"/>
      <w:lvlJc w:val="left"/>
      <w:pPr>
        <w:ind w:hanging="1800" w:left="8100"/>
      </w:pPr>
      <w:rPr>
        <w:rFonts w:hint="default"/>
      </w:rPr>
    </w:lvl>
    <w:lvl w:ilvl="8">
      <w:start w:val="1"/>
      <w:numFmt w:val="decimal"/>
      <w:lvlText w:val="%1.%2.%3.%4.%5.%6.%7.%8.%9"/>
      <w:lvlJc w:val="left"/>
      <w:pPr>
        <w:ind w:hanging="1800" w:left="9000"/>
      </w:pPr>
      <w:rPr>
        <w:rFonts w:hint="default"/>
      </w:rPr>
    </w:lvl>
  </w:abstractNum>
  <w:abstractNum w15:restartNumberingAfterBreak="0" w:abstractNumId="1">
    <w:nsid w:val="0BC661A2"/>
    <w:multiLevelType w:val="hybridMultilevel"/>
    <w:tmpl w:val="8C5E5ECC"/>
    <w:lvl w:ilvl="0" w:tplc="B88C7F8C">
      <w:start w:val="11"/>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C426D3A"/>
    <w:multiLevelType w:val="multilevel"/>
    <w:tmpl w:val="40985A82"/>
    <w:lvl w:ilvl="0">
      <w:start w:val="3"/>
      <w:numFmt w:val="decimal"/>
      <w:lvlText w:val="%1"/>
      <w:lvlJc w:val="left"/>
      <w:pPr>
        <w:ind w:hanging="492" w:left="492"/>
      </w:pPr>
      <w:rPr>
        <w:rFonts w:hint="default"/>
      </w:rPr>
    </w:lvl>
    <w:lvl w:ilvl="1">
      <w:start w:val="1"/>
      <w:numFmt w:val="decimal"/>
      <w:lvlText w:val="%1.%2"/>
      <w:lvlJc w:val="left"/>
      <w:pPr>
        <w:ind w:hanging="492" w:left="852"/>
      </w:pPr>
      <w:rPr>
        <w:rFonts w:hint="default"/>
      </w:rPr>
    </w:lvl>
    <w:lvl w:ilvl="2">
      <w:start w:val="1"/>
      <w:numFmt w:val="none"/>
      <w:lvlText w:val="3.1.1"/>
      <w:lvlJc w:val="left"/>
      <w:pPr>
        <w:ind w:hanging="720" w:left="1440"/>
      </w:pPr>
      <w:rPr>
        <w:rFonts w:hint="default"/>
      </w:rPr>
    </w:lvl>
    <w:lvl w:ilvl="3">
      <w:numFmt w:val="decimal"/>
      <w:lvlText w:val="%1.%2.%3%4"/>
      <w:lvlJc w:val="left"/>
      <w:pPr>
        <w:ind w:hanging="1080" w:left="2160"/>
      </w:pPr>
      <w:rPr>
        <w:rFonts w:hint="default"/>
      </w:rPr>
    </w:lvl>
    <w:lvl w:ilvl="4">
      <w:start w:val="1"/>
      <w:numFmt w:val="decimal"/>
      <w:lvlText w:val="%1.%2.%3.%4.%5"/>
      <w:lvlJc w:val="left"/>
      <w:pPr>
        <w:ind w:hanging="1080" w:left="2520"/>
      </w:pPr>
      <w:rPr>
        <w:rFonts w:hint="default"/>
      </w:rPr>
    </w:lvl>
    <w:lvl w:ilvl="5">
      <w:start w:val="1"/>
      <w:numFmt w:val="decimal"/>
      <w:lvlText w:val="%1.%2.%3.%4.%5.%6"/>
      <w:lvlJc w:val="left"/>
      <w:pPr>
        <w:ind w:hanging="1440" w:left="3240"/>
      </w:pPr>
      <w:rPr>
        <w:rFonts w:hint="default"/>
      </w:rPr>
    </w:lvl>
    <w:lvl w:ilvl="6">
      <w:start w:val="1"/>
      <w:numFmt w:val="decimal"/>
      <w:lvlText w:val="%1.%2.%3.%4.%5.%6.%7"/>
      <w:lvlJc w:val="left"/>
      <w:pPr>
        <w:ind w:hanging="1440" w:left="3600"/>
      </w:pPr>
      <w:rPr>
        <w:rFonts w:hint="default"/>
      </w:rPr>
    </w:lvl>
    <w:lvl w:ilvl="7">
      <w:start w:val="1"/>
      <w:numFmt w:val="decimal"/>
      <w:lvlText w:val="%1.%2.%3.%4.%5.%6.%7.%8"/>
      <w:lvlJc w:val="left"/>
      <w:pPr>
        <w:ind w:hanging="1800" w:left="4320"/>
      </w:pPr>
      <w:rPr>
        <w:rFonts w:hint="default"/>
      </w:rPr>
    </w:lvl>
    <w:lvl w:ilvl="8">
      <w:start w:val="1"/>
      <w:numFmt w:val="decimal"/>
      <w:lvlText w:val="%1.%2.%3.%4.%5.%6.%7.%8.%9"/>
      <w:lvlJc w:val="left"/>
      <w:pPr>
        <w:ind w:hanging="1800" w:left="4680"/>
      </w:pPr>
      <w:rPr>
        <w:rFonts w:hint="default"/>
      </w:rPr>
    </w:lvl>
  </w:abstractNum>
  <w:abstractNum w15:restartNumberingAfterBreak="0" w:abstractNumId="3">
    <w:nsid w:val="0D0B22FC"/>
    <w:multiLevelType w:val="multilevel"/>
    <w:tmpl w:val="BA888246"/>
    <w:lvl w:ilvl="0">
      <w:start w:val="2"/>
      <w:numFmt w:val="decimal"/>
      <w:lvlText w:val="%1"/>
      <w:lvlJc w:val="left"/>
      <w:pPr>
        <w:ind w:hanging="492" w:left="492"/>
      </w:pPr>
      <w:rPr>
        <w:rFonts w:hint="default"/>
      </w:rPr>
    </w:lvl>
    <w:lvl w:ilvl="1">
      <w:start w:val="2"/>
      <w:numFmt w:val="decimal"/>
      <w:lvlText w:val="%1.%2"/>
      <w:lvlJc w:val="left"/>
      <w:pPr>
        <w:ind w:hanging="492" w:left="1032"/>
      </w:pPr>
      <w:rPr>
        <w:rFonts w:hint="default"/>
      </w:rPr>
    </w:lvl>
    <w:lvl w:ilvl="2">
      <w:start w:val="2"/>
      <w:numFmt w:val="decimal"/>
      <w:lvlText w:val="%1.%2.%3"/>
      <w:lvlJc w:val="left"/>
      <w:pPr>
        <w:ind w:hanging="720" w:left="1800"/>
      </w:pPr>
      <w:rPr>
        <w:rFonts w:hint="default"/>
      </w:rPr>
    </w:lvl>
    <w:lvl w:ilvl="3">
      <w:start w:val="1"/>
      <w:numFmt w:val="decimal"/>
      <w:lvlText w:val="%1.%2.%3.%4"/>
      <w:lvlJc w:val="left"/>
      <w:pPr>
        <w:ind w:hanging="720" w:left="2340"/>
      </w:pPr>
      <w:rPr>
        <w:rFonts w:hint="default"/>
      </w:rPr>
    </w:lvl>
    <w:lvl w:ilvl="4">
      <w:start w:val="1"/>
      <w:numFmt w:val="decimal"/>
      <w:lvlText w:val="%1.%2.%3.%4.%5"/>
      <w:lvlJc w:val="left"/>
      <w:pPr>
        <w:ind w:hanging="1080" w:left="3240"/>
      </w:pPr>
      <w:rPr>
        <w:rFonts w:hint="default"/>
      </w:rPr>
    </w:lvl>
    <w:lvl w:ilvl="5">
      <w:start w:val="1"/>
      <w:numFmt w:val="decimal"/>
      <w:lvlText w:val="%1.%2.%3.%4.%5.%6"/>
      <w:lvlJc w:val="left"/>
      <w:pPr>
        <w:ind w:hanging="1440" w:left="4140"/>
      </w:pPr>
      <w:rPr>
        <w:rFonts w:hint="default"/>
      </w:rPr>
    </w:lvl>
    <w:lvl w:ilvl="6">
      <w:start w:val="1"/>
      <w:numFmt w:val="decimal"/>
      <w:lvlText w:val="%1.%2.%3.%4.%5.%6.%7"/>
      <w:lvlJc w:val="left"/>
      <w:pPr>
        <w:ind w:hanging="1440" w:left="4680"/>
      </w:pPr>
      <w:rPr>
        <w:rFonts w:hint="default"/>
      </w:rPr>
    </w:lvl>
    <w:lvl w:ilvl="7">
      <w:start w:val="1"/>
      <w:numFmt w:val="decimal"/>
      <w:lvlText w:val="%1.%2.%3.%4.%5.%6.%7.%8"/>
      <w:lvlJc w:val="left"/>
      <w:pPr>
        <w:ind w:hanging="1800" w:left="5580"/>
      </w:pPr>
      <w:rPr>
        <w:rFonts w:hint="default"/>
      </w:rPr>
    </w:lvl>
    <w:lvl w:ilvl="8">
      <w:start w:val="1"/>
      <w:numFmt w:val="decimal"/>
      <w:lvlText w:val="%1.%2.%3.%4.%5.%6.%7.%8.%9"/>
      <w:lvlJc w:val="left"/>
      <w:pPr>
        <w:ind w:hanging="1800" w:left="6120"/>
      </w:pPr>
      <w:rPr>
        <w:rFonts w:hint="default"/>
      </w:rPr>
    </w:lvl>
  </w:abstractNum>
  <w:abstractNum w15:restartNumberingAfterBreak="0" w:abstractNumId="4">
    <w:nsid w:val="141E0474"/>
    <w:multiLevelType w:val="hybridMultilevel"/>
    <w:tmpl w:val="2B62D7EC"/>
    <w:lvl w:ilvl="0" w:tplc="9DB6B8DC">
      <w:numFmt w:val="bullet"/>
      <w:lvlText w:val=""/>
      <w:lvlJc w:val="left"/>
      <w:pPr>
        <w:ind w:hanging="705" w:left="1065"/>
      </w:pPr>
      <w:rPr>
        <w:rFonts w:ascii="Symbol" w:cs="Arial"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5CA15B2"/>
    <w:multiLevelType w:val="hybridMultilevel"/>
    <w:tmpl w:val="37CA9748"/>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921362E"/>
    <w:multiLevelType w:val="hybridMultilevel"/>
    <w:tmpl w:val="964A3B4E"/>
    <w:lvl w:ilvl="0" w:tplc="51F82F1A">
      <w:numFmt w:val="bullet"/>
      <w:lvlText w:val="-"/>
      <w:lvlJc w:val="left"/>
      <w:pPr>
        <w:ind w:hanging="360" w:left="360"/>
      </w:pPr>
      <w:rPr>
        <w:rFonts w:ascii="Book Antiqua" w:cs="Times New Roman" w:eastAsia="Times New Roman" w:hAnsi="Book Antiqua" w:hint="default"/>
      </w:rPr>
    </w:lvl>
    <w:lvl w:ilvl="1" w:tplc="040C000D">
      <w:start w:val="1"/>
      <w:numFmt w:val="bullet"/>
      <w:lvlText w:val=""/>
      <w:lvlJc w:val="left"/>
      <w:pPr>
        <w:ind w:hanging="360" w:left="1440"/>
      </w:pPr>
      <w:rPr>
        <w:rFonts w:ascii="Wingdings" w:hAnsi="Wingdings"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1C42682"/>
    <w:multiLevelType w:val="hybridMultilevel"/>
    <w:tmpl w:val="20467BB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9555BAA"/>
    <w:multiLevelType w:val="multilevel"/>
    <w:tmpl w:val="979A8956"/>
    <w:lvl w:ilvl="0">
      <w:start w:val="2"/>
      <w:numFmt w:val="decimal"/>
      <w:lvlText w:val="%1"/>
      <w:lvlJc w:val="left"/>
      <w:pPr>
        <w:ind w:hanging="492" w:left="492"/>
      </w:pPr>
      <w:rPr>
        <w:rFonts w:hint="default"/>
      </w:rPr>
    </w:lvl>
    <w:lvl w:ilvl="1">
      <w:start w:val="1"/>
      <w:numFmt w:val="decimal"/>
      <w:lvlText w:val="%1.%2"/>
      <w:lvlJc w:val="left"/>
      <w:pPr>
        <w:ind w:hanging="492" w:left="1032"/>
      </w:pPr>
      <w:rPr>
        <w:rFonts w:hint="default"/>
      </w:rPr>
    </w:lvl>
    <w:lvl w:ilvl="2">
      <w:start w:val="1"/>
      <w:numFmt w:val="decimal"/>
      <w:lvlText w:val="%1.%2.%3"/>
      <w:lvlJc w:val="left"/>
      <w:pPr>
        <w:ind w:hanging="720" w:left="1800"/>
      </w:pPr>
      <w:rPr>
        <w:rFonts w:hint="default"/>
      </w:rPr>
    </w:lvl>
    <w:lvl w:ilvl="3">
      <w:start w:val="1"/>
      <w:numFmt w:val="decimal"/>
      <w:lvlText w:val="%1.%2.%3.%4"/>
      <w:lvlJc w:val="left"/>
      <w:pPr>
        <w:ind w:hanging="720" w:left="2340"/>
      </w:pPr>
      <w:rPr>
        <w:rFonts w:hint="default"/>
      </w:rPr>
    </w:lvl>
    <w:lvl w:ilvl="4">
      <w:start w:val="1"/>
      <w:numFmt w:val="decimal"/>
      <w:lvlText w:val="%1.%2.%3.%4.%5"/>
      <w:lvlJc w:val="left"/>
      <w:pPr>
        <w:ind w:hanging="1080" w:left="3240"/>
      </w:pPr>
      <w:rPr>
        <w:rFonts w:hint="default"/>
      </w:rPr>
    </w:lvl>
    <w:lvl w:ilvl="5">
      <w:start w:val="1"/>
      <w:numFmt w:val="decimal"/>
      <w:lvlText w:val="%1.%2.%3.%4.%5.%6"/>
      <w:lvlJc w:val="left"/>
      <w:pPr>
        <w:ind w:hanging="1440" w:left="4140"/>
      </w:pPr>
      <w:rPr>
        <w:rFonts w:hint="default"/>
      </w:rPr>
    </w:lvl>
    <w:lvl w:ilvl="6">
      <w:start w:val="1"/>
      <w:numFmt w:val="decimal"/>
      <w:lvlText w:val="%1.%2.%3.%4.%5.%6.%7"/>
      <w:lvlJc w:val="left"/>
      <w:pPr>
        <w:ind w:hanging="1440" w:left="4680"/>
      </w:pPr>
      <w:rPr>
        <w:rFonts w:hint="default"/>
      </w:rPr>
    </w:lvl>
    <w:lvl w:ilvl="7">
      <w:start w:val="1"/>
      <w:numFmt w:val="decimal"/>
      <w:lvlText w:val="%1.%2.%3.%4.%5.%6.%7.%8"/>
      <w:lvlJc w:val="left"/>
      <w:pPr>
        <w:ind w:hanging="1800" w:left="5580"/>
      </w:pPr>
      <w:rPr>
        <w:rFonts w:hint="default"/>
      </w:rPr>
    </w:lvl>
    <w:lvl w:ilvl="8">
      <w:start w:val="1"/>
      <w:numFmt w:val="decimal"/>
      <w:lvlText w:val="%1.%2.%3.%4.%5.%6.%7.%8.%9"/>
      <w:lvlJc w:val="left"/>
      <w:pPr>
        <w:ind w:hanging="1800" w:left="6120"/>
      </w:pPr>
      <w:rPr>
        <w:rFonts w:hint="default"/>
      </w:rPr>
    </w:lvl>
  </w:abstractNum>
  <w:abstractNum w15:restartNumberingAfterBreak="0" w:abstractNumId="9">
    <w:nsid w:val="2EE71461"/>
    <w:multiLevelType w:val="hybridMultilevel"/>
    <w:tmpl w:val="E65ABEAC"/>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35C04759"/>
    <w:multiLevelType w:val="hybridMultilevel"/>
    <w:tmpl w:val="6158D35E"/>
    <w:lvl w:ilvl="0" w:tplc="9DB6B8DC">
      <w:numFmt w:val="bullet"/>
      <w:lvlText w:val=""/>
      <w:lvlJc w:val="left"/>
      <w:pPr>
        <w:ind w:hanging="705" w:left="1065"/>
      </w:pPr>
      <w:rPr>
        <w:rFonts w:ascii="Symbol" w:cs="Arial"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37213D5A"/>
    <w:multiLevelType w:val="hybridMultilevel"/>
    <w:tmpl w:val="66B475CA"/>
    <w:lvl w:ilvl="0" w:tplc="9DB6B8DC">
      <w:numFmt w:val="bullet"/>
      <w:lvlText w:val=""/>
      <w:lvlJc w:val="left"/>
      <w:pPr>
        <w:ind w:hanging="705" w:left="1065"/>
      </w:pPr>
      <w:rPr>
        <w:rFonts w:ascii="Symbol" w:cs="Arial"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E6733EE"/>
    <w:multiLevelType w:val="hybridMultilevel"/>
    <w:tmpl w:val="03EE2750"/>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42160079"/>
    <w:multiLevelType w:val="hybridMultilevel"/>
    <w:tmpl w:val="BDEC9AF4"/>
    <w:lvl w:ilvl="0" w:tplc="040C000B">
      <w:start w:val="1"/>
      <w:numFmt w:val="bullet"/>
      <w:lvlText w:val=""/>
      <w:lvlJc w:val="left"/>
      <w:pPr>
        <w:tabs>
          <w:tab w:pos="360" w:val="num"/>
        </w:tabs>
        <w:ind w:hanging="360" w:left="360"/>
      </w:pPr>
      <w:rPr>
        <w:rFonts w:ascii="Wingdings" w:hAnsi="Wingdings" w:hint="default"/>
      </w:rPr>
    </w:lvl>
    <w:lvl w:ilvl="1" w:tentative="1" w:tplc="040C0003">
      <w:start w:val="1"/>
      <w:numFmt w:val="bullet"/>
      <w:lvlText w:val="o"/>
      <w:lvlJc w:val="left"/>
      <w:pPr>
        <w:tabs>
          <w:tab w:pos="1080" w:val="num"/>
        </w:tabs>
        <w:ind w:hanging="360" w:left="1080"/>
      </w:pPr>
      <w:rPr>
        <w:rFonts w:ascii="Courier New" w:cs="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cs="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cs="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14">
    <w:nsid w:val="47357D48"/>
    <w:multiLevelType w:val="hybridMultilevel"/>
    <w:tmpl w:val="49B2942A"/>
    <w:lvl w:ilvl="0" w:tplc="51F82F1A">
      <w:numFmt w:val="bullet"/>
      <w:lvlText w:val="-"/>
      <w:lvlJc w:val="left"/>
      <w:pPr>
        <w:ind w:hanging="360" w:left="360"/>
      </w:pPr>
      <w:rPr>
        <w:rFonts w:ascii="Book Antiqua" w:cs="Times New Roman" w:eastAsia="Times New Roman" w:hAnsi="Book Antiqua"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5">
    <w:nsid w:val="4F1B7623"/>
    <w:multiLevelType w:val="hybridMultilevel"/>
    <w:tmpl w:val="CC3EDA40"/>
    <w:lvl w:ilvl="0" w:tplc="9DB6B8DC">
      <w:numFmt w:val="bullet"/>
      <w:lvlText w:val=""/>
      <w:lvlJc w:val="left"/>
      <w:pPr>
        <w:ind w:hanging="705" w:left="1065"/>
      </w:pPr>
      <w:rPr>
        <w:rFonts w:ascii="Symbol" w:cs="Arial"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5F493839"/>
    <w:multiLevelType w:val="multilevel"/>
    <w:tmpl w:val="5ECC1B94"/>
    <w:lvl w:ilvl="0">
      <w:start w:val="2"/>
      <w:numFmt w:val="decimal"/>
      <w:lvlText w:val="%1"/>
      <w:lvlJc w:val="left"/>
      <w:pPr>
        <w:ind w:hanging="492" w:left="492"/>
      </w:pPr>
      <w:rPr>
        <w:rFonts w:hint="default"/>
      </w:rPr>
    </w:lvl>
    <w:lvl w:ilvl="1">
      <w:start w:val="2"/>
      <w:numFmt w:val="decimal"/>
      <w:lvlText w:val="%1.%2"/>
      <w:lvlJc w:val="left"/>
      <w:pPr>
        <w:ind w:hanging="492" w:left="1752"/>
      </w:pPr>
      <w:rPr>
        <w:rFonts w:hint="default"/>
      </w:rPr>
    </w:lvl>
    <w:lvl w:ilvl="2">
      <w:start w:val="2"/>
      <w:numFmt w:val="decimal"/>
      <w:lvlText w:val="%1.%2.%3"/>
      <w:lvlJc w:val="left"/>
      <w:pPr>
        <w:ind w:hanging="720" w:left="3240"/>
      </w:pPr>
      <w:rPr>
        <w:rFonts w:hint="default"/>
      </w:rPr>
    </w:lvl>
    <w:lvl w:ilvl="3">
      <w:start w:val="1"/>
      <w:numFmt w:val="decimal"/>
      <w:lvlText w:val="%1.%2.%3.%4"/>
      <w:lvlJc w:val="left"/>
      <w:pPr>
        <w:ind w:hanging="720" w:left="4500"/>
      </w:pPr>
      <w:rPr>
        <w:rFonts w:hint="default"/>
      </w:rPr>
    </w:lvl>
    <w:lvl w:ilvl="4">
      <w:start w:val="1"/>
      <w:numFmt w:val="decimal"/>
      <w:lvlText w:val="%1.%2.%3.%4.%5"/>
      <w:lvlJc w:val="left"/>
      <w:pPr>
        <w:ind w:hanging="1080" w:left="6120"/>
      </w:pPr>
      <w:rPr>
        <w:rFonts w:hint="default"/>
      </w:rPr>
    </w:lvl>
    <w:lvl w:ilvl="5">
      <w:start w:val="1"/>
      <w:numFmt w:val="decimal"/>
      <w:lvlText w:val="%1.%2.%3.%4.%5.%6"/>
      <w:lvlJc w:val="left"/>
      <w:pPr>
        <w:ind w:hanging="1440" w:left="7740"/>
      </w:pPr>
      <w:rPr>
        <w:rFonts w:hint="default"/>
      </w:rPr>
    </w:lvl>
    <w:lvl w:ilvl="6">
      <w:start w:val="1"/>
      <w:numFmt w:val="decimal"/>
      <w:lvlText w:val="%1.%2.%3.%4.%5.%6.%7"/>
      <w:lvlJc w:val="left"/>
      <w:pPr>
        <w:ind w:hanging="1440" w:left="9000"/>
      </w:pPr>
      <w:rPr>
        <w:rFonts w:hint="default"/>
      </w:rPr>
    </w:lvl>
    <w:lvl w:ilvl="7">
      <w:start w:val="1"/>
      <w:numFmt w:val="decimal"/>
      <w:lvlText w:val="%1.%2.%3.%4.%5.%6.%7.%8"/>
      <w:lvlJc w:val="left"/>
      <w:pPr>
        <w:ind w:hanging="1800" w:left="10620"/>
      </w:pPr>
      <w:rPr>
        <w:rFonts w:hint="default"/>
      </w:rPr>
    </w:lvl>
    <w:lvl w:ilvl="8">
      <w:start w:val="1"/>
      <w:numFmt w:val="decimal"/>
      <w:lvlText w:val="%1.%2.%3.%4.%5.%6.%7.%8.%9"/>
      <w:lvlJc w:val="left"/>
      <w:pPr>
        <w:ind w:hanging="1800" w:left="11880"/>
      </w:pPr>
      <w:rPr>
        <w:rFonts w:hint="default"/>
      </w:rPr>
    </w:lvl>
  </w:abstractNum>
  <w:abstractNum w15:restartNumberingAfterBreak="0" w:abstractNumId="17">
    <w:nsid w:val="613B5CC4"/>
    <w:multiLevelType w:val="hybridMultilevel"/>
    <w:tmpl w:val="AE42941A"/>
    <w:lvl w:ilvl="0" w:tplc="51F82F1A">
      <w:numFmt w:val="bullet"/>
      <w:lvlText w:val="-"/>
      <w:lvlJc w:val="left"/>
      <w:pPr>
        <w:ind w:hanging="360" w:left="360"/>
      </w:pPr>
      <w:rPr>
        <w:rFonts w:ascii="Book Antiqua" w:cs="Times New Roman" w:eastAsia="Times New Roman" w:hAnsi="Book Antiqua"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7FFC4DB4"/>
    <w:multiLevelType w:val="multilevel"/>
    <w:tmpl w:val="0880788C"/>
    <w:lvl w:ilvl="0">
      <w:start w:val="3"/>
      <w:numFmt w:val="decimal"/>
      <w:lvlText w:val="%1"/>
      <w:lvlJc w:val="left"/>
      <w:pPr>
        <w:ind w:hanging="492" w:left="492"/>
      </w:pPr>
      <w:rPr>
        <w:rFonts w:hint="default"/>
      </w:rPr>
    </w:lvl>
    <w:lvl w:ilvl="1">
      <w:start w:val="1"/>
      <w:numFmt w:val="decimal"/>
      <w:lvlText w:val="%1.%2"/>
      <w:lvlJc w:val="left"/>
      <w:pPr>
        <w:ind w:hanging="492" w:left="852"/>
      </w:pPr>
      <w:rPr>
        <w:rFonts w:hint="default"/>
      </w:rPr>
    </w:lvl>
    <w:lvl w:ilvl="2">
      <w:start w:val="1"/>
      <w:numFmt w:val="none"/>
      <w:lvlText w:val="3.1.1"/>
      <w:lvlJc w:val="left"/>
      <w:pPr>
        <w:ind w:hanging="720" w:left="1440"/>
      </w:pPr>
      <w:rPr>
        <w:rFonts w:hint="default"/>
      </w:rPr>
    </w:lvl>
    <w:lvl w:ilvl="3">
      <w:start w:val="1"/>
      <w:numFmt w:val="decimal"/>
      <w:lvlText w:val="%1.%2.%3%4"/>
      <w:lvlJc w:val="left"/>
      <w:pPr>
        <w:ind w:hanging="1080" w:left="2160"/>
      </w:pPr>
      <w:rPr>
        <w:rFonts w:hint="default"/>
      </w:rPr>
    </w:lvl>
    <w:lvl w:ilvl="4">
      <w:start w:val="1"/>
      <w:numFmt w:val="decimal"/>
      <w:lvlText w:val="%1.%2.%3.%4.%5"/>
      <w:lvlJc w:val="left"/>
      <w:pPr>
        <w:ind w:hanging="1080" w:left="2520"/>
      </w:pPr>
      <w:rPr>
        <w:rFonts w:hint="default"/>
      </w:rPr>
    </w:lvl>
    <w:lvl w:ilvl="5">
      <w:start w:val="1"/>
      <w:numFmt w:val="decimal"/>
      <w:lvlText w:val="%1.%2.%3.%4.%5.%6"/>
      <w:lvlJc w:val="left"/>
      <w:pPr>
        <w:ind w:hanging="1440" w:left="3240"/>
      </w:pPr>
      <w:rPr>
        <w:rFonts w:hint="default"/>
      </w:rPr>
    </w:lvl>
    <w:lvl w:ilvl="6">
      <w:start w:val="1"/>
      <w:numFmt w:val="decimal"/>
      <w:lvlText w:val="%1.%2.%3.%4.%5.%6.%7"/>
      <w:lvlJc w:val="left"/>
      <w:pPr>
        <w:ind w:hanging="1440" w:left="3600"/>
      </w:pPr>
      <w:rPr>
        <w:rFonts w:hint="default"/>
      </w:rPr>
    </w:lvl>
    <w:lvl w:ilvl="7">
      <w:start w:val="1"/>
      <w:numFmt w:val="decimal"/>
      <w:lvlText w:val="%1.%2.%3.%4.%5.%6.%7.%8"/>
      <w:lvlJc w:val="left"/>
      <w:pPr>
        <w:ind w:hanging="1800" w:left="4320"/>
      </w:pPr>
      <w:rPr>
        <w:rFonts w:hint="default"/>
      </w:rPr>
    </w:lvl>
    <w:lvl w:ilvl="8">
      <w:start w:val="1"/>
      <w:numFmt w:val="decimal"/>
      <w:lvlText w:val="%1.%2.%3.%4.%5.%6.%7.%8.%9"/>
      <w:lvlJc w:val="left"/>
      <w:pPr>
        <w:ind w:hanging="1800" w:left="4680"/>
      </w:pPr>
      <w:rPr>
        <w:rFonts w:hint="default"/>
      </w:rPr>
    </w:lvl>
  </w:abstractNum>
  <w:num w:numId="1">
    <w:abstractNumId w:val="14"/>
  </w:num>
  <w:num w:numId="2">
    <w:abstractNumId w:val="18"/>
  </w:num>
  <w:num w:numId="3">
    <w:abstractNumId w:val="17"/>
  </w:num>
  <w:num w:numId="4">
    <w:abstractNumId w:val="6"/>
  </w:num>
  <w:num w:numId="5">
    <w:abstractNumId w:val="9"/>
  </w:num>
  <w:num w:numId="6">
    <w:abstractNumId w:val="5"/>
  </w:num>
  <w:num w:numId="7">
    <w:abstractNumId w:val="13"/>
  </w:num>
  <w:num w:numId="8">
    <w:abstractNumId w:val="7"/>
  </w:num>
  <w:num w:numId="9">
    <w:abstractNumId w:val="1"/>
  </w:num>
  <w:num w:numId="10">
    <w:abstractNumId w:val="2"/>
  </w:num>
  <w:num w:numId="11">
    <w:abstractNumId w:val="8"/>
  </w:num>
  <w:num w:numId="12">
    <w:abstractNumId w:val="3"/>
  </w:num>
  <w:num w:numId="13">
    <w:abstractNumId w:val="0"/>
  </w:num>
  <w:num w:numId="14">
    <w:abstractNumId w:val="16"/>
  </w:num>
  <w:num w:numId="15">
    <w:abstractNumId w:val="2"/>
  </w:num>
  <w:num w:numId="16">
    <w:abstractNumId w:val="2"/>
  </w:num>
  <w:num w:numId="17">
    <w:abstractNumId w:val="12"/>
  </w:num>
  <w:num w:numId="18">
    <w:abstractNumId w:val="11"/>
  </w:num>
  <w:num w:numId="19">
    <w:abstractNumId w:val="4"/>
  </w:num>
  <w:num w:numId="20">
    <w:abstractNumId w:val="15"/>
  </w:num>
  <w:num w:numId="21">
    <w:abstractNumId w:val="10"/>
  </w:num>
  <w:numIdMacAtCleanup w:val="6"/>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28"/>
  <w:activeWritingStyle w:appName="MSWord" w:checkStyle="1" w:dllVersion="131078" w:lang="fr-FR" w:nlCheck="1" w:vendorID="64"/>
  <w:activeWritingStyle w:appName="MSWord" w:checkStyle="1" w:dllVersion="131078" w:lang="en-GB" w:nlCheck="1" w:vendorID="64"/>
  <w:activeWritingStyle w:appName="MSWord" w:checkStyle="1" w:dllVersion="131078" w:lang="en-US" w:nlCheck="1" w:vendorID="64"/>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2E5"/>
    <w:rsid w:val="00004431"/>
    <w:rsid w:val="0000507F"/>
    <w:rsid w:val="000128AC"/>
    <w:rsid w:val="00013776"/>
    <w:rsid w:val="000155F2"/>
    <w:rsid w:val="00023236"/>
    <w:rsid w:val="00025D20"/>
    <w:rsid w:val="00025D95"/>
    <w:rsid w:val="000262EE"/>
    <w:rsid w:val="00031471"/>
    <w:rsid w:val="00031CB0"/>
    <w:rsid w:val="00031E5A"/>
    <w:rsid w:val="0003500F"/>
    <w:rsid w:val="000360A8"/>
    <w:rsid w:val="00037A8E"/>
    <w:rsid w:val="000418D0"/>
    <w:rsid w:val="00043F7E"/>
    <w:rsid w:val="00047062"/>
    <w:rsid w:val="00047E7D"/>
    <w:rsid w:val="000510F8"/>
    <w:rsid w:val="0005192C"/>
    <w:rsid w:val="00057A7C"/>
    <w:rsid w:val="000605A7"/>
    <w:rsid w:val="000613D9"/>
    <w:rsid w:val="000676C5"/>
    <w:rsid w:val="00070418"/>
    <w:rsid w:val="000721F5"/>
    <w:rsid w:val="0007284A"/>
    <w:rsid w:val="00075483"/>
    <w:rsid w:val="00077A80"/>
    <w:rsid w:val="00083F9A"/>
    <w:rsid w:val="000844B9"/>
    <w:rsid w:val="00086C49"/>
    <w:rsid w:val="00094A99"/>
    <w:rsid w:val="000970C2"/>
    <w:rsid w:val="000971C7"/>
    <w:rsid w:val="000B231F"/>
    <w:rsid w:val="000B4E3B"/>
    <w:rsid w:val="000B6037"/>
    <w:rsid w:val="000C128F"/>
    <w:rsid w:val="000C2C42"/>
    <w:rsid w:val="000C760B"/>
    <w:rsid w:val="000D3CF6"/>
    <w:rsid w:val="000D5212"/>
    <w:rsid w:val="000D55D6"/>
    <w:rsid w:val="000E2FD2"/>
    <w:rsid w:val="000E3C73"/>
    <w:rsid w:val="000E4113"/>
    <w:rsid w:val="0010004A"/>
    <w:rsid w:val="00101799"/>
    <w:rsid w:val="001052D4"/>
    <w:rsid w:val="00105624"/>
    <w:rsid w:val="0011449B"/>
    <w:rsid w:val="0011716B"/>
    <w:rsid w:val="00117958"/>
    <w:rsid w:val="001276DB"/>
    <w:rsid w:val="0013539A"/>
    <w:rsid w:val="0014103C"/>
    <w:rsid w:val="0014313A"/>
    <w:rsid w:val="001433B0"/>
    <w:rsid w:val="0014775B"/>
    <w:rsid w:val="00150A0C"/>
    <w:rsid w:val="0015294E"/>
    <w:rsid w:val="00153499"/>
    <w:rsid w:val="0016426B"/>
    <w:rsid w:val="001702C8"/>
    <w:rsid w:val="00180296"/>
    <w:rsid w:val="001813B4"/>
    <w:rsid w:val="0018378D"/>
    <w:rsid w:val="00192268"/>
    <w:rsid w:val="00192CCE"/>
    <w:rsid w:val="00193739"/>
    <w:rsid w:val="00196D9D"/>
    <w:rsid w:val="001A7B63"/>
    <w:rsid w:val="001B72C8"/>
    <w:rsid w:val="001C09CA"/>
    <w:rsid w:val="001C2C6C"/>
    <w:rsid w:val="001C64EA"/>
    <w:rsid w:val="001D06CD"/>
    <w:rsid w:val="001D3FCF"/>
    <w:rsid w:val="001E1F64"/>
    <w:rsid w:val="001E3522"/>
    <w:rsid w:val="001E473E"/>
    <w:rsid w:val="001F0699"/>
    <w:rsid w:val="001F5232"/>
    <w:rsid w:val="002019FA"/>
    <w:rsid w:val="0020413B"/>
    <w:rsid w:val="002106FE"/>
    <w:rsid w:val="00212153"/>
    <w:rsid w:val="00213B62"/>
    <w:rsid w:val="0021482C"/>
    <w:rsid w:val="002153C2"/>
    <w:rsid w:val="00223847"/>
    <w:rsid w:val="0022485C"/>
    <w:rsid w:val="00233BE5"/>
    <w:rsid w:val="00235CA0"/>
    <w:rsid w:val="00241DDE"/>
    <w:rsid w:val="002420E5"/>
    <w:rsid w:val="00244D5A"/>
    <w:rsid w:val="00254994"/>
    <w:rsid w:val="0026153E"/>
    <w:rsid w:val="002618E8"/>
    <w:rsid w:val="00262134"/>
    <w:rsid w:val="0026559F"/>
    <w:rsid w:val="002679C8"/>
    <w:rsid w:val="00270992"/>
    <w:rsid w:val="00276E3C"/>
    <w:rsid w:val="002831E0"/>
    <w:rsid w:val="002832C9"/>
    <w:rsid w:val="00283A0D"/>
    <w:rsid w:val="00291EEF"/>
    <w:rsid w:val="00292427"/>
    <w:rsid w:val="00296683"/>
    <w:rsid w:val="0029783F"/>
    <w:rsid w:val="002A15F8"/>
    <w:rsid w:val="002A28EE"/>
    <w:rsid w:val="002A488E"/>
    <w:rsid w:val="002A50E7"/>
    <w:rsid w:val="002B3FAE"/>
    <w:rsid w:val="002B7293"/>
    <w:rsid w:val="002C1B7A"/>
    <w:rsid w:val="002C4502"/>
    <w:rsid w:val="002C4F48"/>
    <w:rsid w:val="002D49D4"/>
    <w:rsid w:val="002E0012"/>
    <w:rsid w:val="002E268E"/>
    <w:rsid w:val="002E7985"/>
    <w:rsid w:val="002F0754"/>
    <w:rsid w:val="002F7D36"/>
    <w:rsid w:val="00305DD3"/>
    <w:rsid w:val="00313B36"/>
    <w:rsid w:val="0031550D"/>
    <w:rsid w:val="00315A36"/>
    <w:rsid w:val="003161D1"/>
    <w:rsid w:val="00316357"/>
    <w:rsid w:val="00320425"/>
    <w:rsid w:val="003215D6"/>
    <w:rsid w:val="003311F2"/>
    <w:rsid w:val="00331FAF"/>
    <w:rsid w:val="00331FBF"/>
    <w:rsid w:val="00333117"/>
    <w:rsid w:val="003361ED"/>
    <w:rsid w:val="00337ACE"/>
    <w:rsid w:val="0034138C"/>
    <w:rsid w:val="0034419A"/>
    <w:rsid w:val="00344F7E"/>
    <w:rsid w:val="00345D60"/>
    <w:rsid w:val="00350C01"/>
    <w:rsid w:val="0035484A"/>
    <w:rsid w:val="00356878"/>
    <w:rsid w:val="00365028"/>
    <w:rsid w:val="00367C46"/>
    <w:rsid w:val="0037171E"/>
    <w:rsid w:val="00377E2A"/>
    <w:rsid w:val="00382CA5"/>
    <w:rsid w:val="00383AA9"/>
    <w:rsid w:val="00392B24"/>
    <w:rsid w:val="00394A8C"/>
    <w:rsid w:val="003A28B7"/>
    <w:rsid w:val="003A5C97"/>
    <w:rsid w:val="003A746D"/>
    <w:rsid w:val="003B107C"/>
    <w:rsid w:val="003B179D"/>
    <w:rsid w:val="003B2D29"/>
    <w:rsid w:val="003B3127"/>
    <w:rsid w:val="003B75B4"/>
    <w:rsid w:val="003C3A41"/>
    <w:rsid w:val="003C3E6A"/>
    <w:rsid w:val="003C5E90"/>
    <w:rsid w:val="003C6BD1"/>
    <w:rsid w:val="003D150D"/>
    <w:rsid w:val="003D24D3"/>
    <w:rsid w:val="003D2D5F"/>
    <w:rsid w:val="003D5D9D"/>
    <w:rsid w:val="003D74EC"/>
    <w:rsid w:val="003D7FE3"/>
    <w:rsid w:val="003E02CF"/>
    <w:rsid w:val="003E1907"/>
    <w:rsid w:val="003E1B55"/>
    <w:rsid w:val="003E348E"/>
    <w:rsid w:val="003E4E18"/>
    <w:rsid w:val="003E4F16"/>
    <w:rsid w:val="003E6D31"/>
    <w:rsid w:val="003F226E"/>
    <w:rsid w:val="003F40EF"/>
    <w:rsid w:val="003F4860"/>
    <w:rsid w:val="0040308A"/>
    <w:rsid w:val="004052BB"/>
    <w:rsid w:val="0040698D"/>
    <w:rsid w:val="004131C0"/>
    <w:rsid w:val="00413B35"/>
    <w:rsid w:val="00414429"/>
    <w:rsid w:val="004157BC"/>
    <w:rsid w:val="00416AF1"/>
    <w:rsid w:val="004217BB"/>
    <w:rsid w:val="004230E2"/>
    <w:rsid w:val="004233B2"/>
    <w:rsid w:val="0042687D"/>
    <w:rsid w:val="00426FEA"/>
    <w:rsid w:val="004328BB"/>
    <w:rsid w:val="004359D7"/>
    <w:rsid w:val="0043652F"/>
    <w:rsid w:val="00440175"/>
    <w:rsid w:val="00440302"/>
    <w:rsid w:val="00440593"/>
    <w:rsid w:val="004429F1"/>
    <w:rsid w:val="00444A6B"/>
    <w:rsid w:val="00446A90"/>
    <w:rsid w:val="004530EF"/>
    <w:rsid w:val="004615F1"/>
    <w:rsid w:val="00463F4A"/>
    <w:rsid w:val="00464D86"/>
    <w:rsid w:val="0047150F"/>
    <w:rsid w:val="00476A32"/>
    <w:rsid w:val="00485362"/>
    <w:rsid w:val="00485854"/>
    <w:rsid w:val="00487583"/>
    <w:rsid w:val="00490055"/>
    <w:rsid w:val="0049178E"/>
    <w:rsid w:val="00492415"/>
    <w:rsid w:val="00492A8B"/>
    <w:rsid w:val="00494A8C"/>
    <w:rsid w:val="00496524"/>
    <w:rsid w:val="00496CE6"/>
    <w:rsid w:val="00497518"/>
    <w:rsid w:val="004A33ED"/>
    <w:rsid w:val="004A55FC"/>
    <w:rsid w:val="004A72F1"/>
    <w:rsid w:val="004B0A53"/>
    <w:rsid w:val="004B0D6F"/>
    <w:rsid w:val="004B1344"/>
    <w:rsid w:val="004B230C"/>
    <w:rsid w:val="004B50FA"/>
    <w:rsid w:val="004C1238"/>
    <w:rsid w:val="004C1B29"/>
    <w:rsid w:val="004C229B"/>
    <w:rsid w:val="004C3556"/>
    <w:rsid w:val="004C3E27"/>
    <w:rsid w:val="004C4577"/>
    <w:rsid w:val="004C64F3"/>
    <w:rsid w:val="004D5213"/>
    <w:rsid w:val="004D73EC"/>
    <w:rsid w:val="004D7B27"/>
    <w:rsid w:val="004E121A"/>
    <w:rsid w:val="004F012F"/>
    <w:rsid w:val="00503957"/>
    <w:rsid w:val="005045B7"/>
    <w:rsid w:val="00506A04"/>
    <w:rsid w:val="00506D3C"/>
    <w:rsid w:val="00511440"/>
    <w:rsid w:val="005123B3"/>
    <w:rsid w:val="00514DBD"/>
    <w:rsid w:val="00531196"/>
    <w:rsid w:val="00531CCA"/>
    <w:rsid w:val="0053600D"/>
    <w:rsid w:val="00536CB3"/>
    <w:rsid w:val="00537068"/>
    <w:rsid w:val="00537384"/>
    <w:rsid w:val="005401B4"/>
    <w:rsid w:val="0054152D"/>
    <w:rsid w:val="005422C0"/>
    <w:rsid w:val="00550BC2"/>
    <w:rsid w:val="00551C9D"/>
    <w:rsid w:val="005543D0"/>
    <w:rsid w:val="0056094A"/>
    <w:rsid w:val="00563986"/>
    <w:rsid w:val="005639A1"/>
    <w:rsid w:val="005704B6"/>
    <w:rsid w:val="00572384"/>
    <w:rsid w:val="0057387D"/>
    <w:rsid w:val="00574DE8"/>
    <w:rsid w:val="0057731C"/>
    <w:rsid w:val="005835E7"/>
    <w:rsid w:val="005868C4"/>
    <w:rsid w:val="00596827"/>
    <w:rsid w:val="005A1F3C"/>
    <w:rsid w:val="005A2B05"/>
    <w:rsid w:val="005A3253"/>
    <w:rsid w:val="005A69A5"/>
    <w:rsid w:val="005A7F69"/>
    <w:rsid w:val="005B1BDE"/>
    <w:rsid w:val="005B55C2"/>
    <w:rsid w:val="005B6F55"/>
    <w:rsid w:val="005B7856"/>
    <w:rsid w:val="005C0432"/>
    <w:rsid w:val="005C4C80"/>
    <w:rsid w:val="005C7F13"/>
    <w:rsid w:val="005D423A"/>
    <w:rsid w:val="005D7DBC"/>
    <w:rsid w:val="005E022A"/>
    <w:rsid w:val="005E5032"/>
    <w:rsid w:val="005E6D67"/>
    <w:rsid w:val="005F00BE"/>
    <w:rsid w:val="005F4479"/>
    <w:rsid w:val="005F49AF"/>
    <w:rsid w:val="005F6ED9"/>
    <w:rsid w:val="00601614"/>
    <w:rsid w:val="00601CB2"/>
    <w:rsid w:val="00602112"/>
    <w:rsid w:val="00605FCA"/>
    <w:rsid w:val="006064BD"/>
    <w:rsid w:val="006075EF"/>
    <w:rsid w:val="00611EAD"/>
    <w:rsid w:val="006125D0"/>
    <w:rsid w:val="00620645"/>
    <w:rsid w:val="006216FF"/>
    <w:rsid w:val="00624BE4"/>
    <w:rsid w:val="00624E23"/>
    <w:rsid w:val="00625310"/>
    <w:rsid w:val="0062607D"/>
    <w:rsid w:val="006274D0"/>
    <w:rsid w:val="006327FD"/>
    <w:rsid w:val="006357C3"/>
    <w:rsid w:val="006379BC"/>
    <w:rsid w:val="006410EA"/>
    <w:rsid w:val="00646A8F"/>
    <w:rsid w:val="00647B57"/>
    <w:rsid w:val="00652547"/>
    <w:rsid w:val="00653982"/>
    <w:rsid w:val="00657AB1"/>
    <w:rsid w:val="006614E7"/>
    <w:rsid w:val="00662565"/>
    <w:rsid w:val="00664487"/>
    <w:rsid w:val="006646CA"/>
    <w:rsid w:val="006672A5"/>
    <w:rsid w:val="00667B39"/>
    <w:rsid w:val="0067090E"/>
    <w:rsid w:val="006764D6"/>
    <w:rsid w:val="00676954"/>
    <w:rsid w:val="00681F55"/>
    <w:rsid w:val="006937D3"/>
    <w:rsid w:val="00695905"/>
    <w:rsid w:val="00697644"/>
    <w:rsid w:val="006A227B"/>
    <w:rsid w:val="006A695C"/>
    <w:rsid w:val="006B503C"/>
    <w:rsid w:val="006B7086"/>
    <w:rsid w:val="006C0AD9"/>
    <w:rsid w:val="006C1A63"/>
    <w:rsid w:val="006C3E4F"/>
    <w:rsid w:val="006C4F80"/>
    <w:rsid w:val="006C7A5C"/>
    <w:rsid w:val="006D43EB"/>
    <w:rsid w:val="006D5F7C"/>
    <w:rsid w:val="006E0C0A"/>
    <w:rsid w:val="006E1770"/>
    <w:rsid w:val="006E638C"/>
    <w:rsid w:val="006E680D"/>
    <w:rsid w:val="006F3097"/>
    <w:rsid w:val="006F43F4"/>
    <w:rsid w:val="00703BFA"/>
    <w:rsid w:val="007055AF"/>
    <w:rsid w:val="00712A96"/>
    <w:rsid w:val="007131D0"/>
    <w:rsid w:val="0071503E"/>
    <w:rsid w:val="00724F4F"/>
    <w:rsid w:val="007252C3"/>
    <w:rsid w:val="00727BDC"/>
    <w:rsid w:val="007315AD"/>
    <w:rsid w:val="0073610A"/>
    <w:rsid w:val="007418E4"/>
    <w:rsid w:val="00743399"/>
    <w:rsid w:val="00745DFC"/>
    <w:rsid w:val="0074658E"/>
    <w:rsid w:val="007563A4"/>
    <w:rsid w:val="00757668"/>
    <w:rsid w:val="00762FA8"/>
    <w:rsid w:val="00763A11"/>
    <w:rsid w:val="00763E0B"/>
    <w:rsid w:val="00774073"/>
    <w:rsid w:val="007760A3"/>
    <w:rsid w:val="00780AE3"/>
    <w:rsid w:val="00781910"/>
    <w:rsid w:val="00782176"/>
    <w:rsid w:val="0078336A"/>
    <w:rsid w:val="00790325"/>
    <w:rsid w:val="00792AAD"/>
    <w:rsid w:val="007A0E59"/>
    <w:rsid w:val="007A2192"/>
    <w:rsid w:val="007A53AB"/>
    <w:rsid w:val="007B44DE"/>
    <w:rsid w:val="007B70BE"/>
    <w:rsid w:val="007B7600"/>
    <w:rsid w:val="007C4036"/>
    <w:rsid w:val="007C6D63"/>
    <w:rsid w:val="007C6DFD"/>
    <w:rsid w:val="007C6FC2"/>
    <w:rsid w:val="007D2184"/>
    <w:rsid w:val="007D3600"/>
    <w:rsid w:val="007D7294"/>
    <w:rsid w:val="007E0003"/>
    <w:rsid w:val="007E1827"/>
    <w:rsid w:val="007E38F9"/>
    <w:rsid w:val="007E5DAA"/>
    <w:rsid w:val="007E5E37"/>
    <w:rsid w:val="007F3064"/>
    <w:rsid w:val="008016A6"/>
    <w:rsid w:val="00804C22"/>
    <w:rsid w:val="0080504D"/>
    <w:rsid w:val="00805405"/>
    <w:rsid w:val="008056EC"/>
    <w:rsid w:val="00807632"/>
    <w:rsid w:val="0080793A"/>
    <w:rsid w:val="00807B9C"/>
    <w:rsid w:val="00807CF0"/>
    <w:rsid w:val="00807EEA"/>
    <w:rsid w:val="008103E2"/>
    <w:rsid w:val="008160FF"/>
    <w:rsid w:val="00817F65"/>
    <w:rsid w:val="00824251"/>
    <w:rsid w:val="00831C03"/>
    <w:rsid w:val="00836CDE"/>
    <w:rsid w:val="00836FE7"/>
    <w:rsid w:val="00851489"/>
    <w:rsid w:val="00851FE6"/>
    <w:rsid w:val="008603E3"/>
    <w:rsid w:val="008611A8"/>
    <w:rsid w:val="008630E2"/>
    <w:rsid w:val="0086429E"/>
    <w:rsid w:val="008654F9"/>
    <w:rsid w:val="00870D05"/>
    <w:rsid w:val="008728FE"/>
    <w:rsid w:val="00873D10"/>
    <w:rsid w:val="00874830"/>
    <w:rsid w:val="008806E6"/>
    <w:rsid w:val="008826EC"/>
    <w:rsid w:val="0088348E"/>
    <w:rsid w:val="00884EBF"/>
    <w:rsid w:val="0088646D"/>
    <w:rsid w:val="00887A86"/>
    <w:rsid w:val="00891AE2"/>
    <w:rsid w:val="00893516"/>
    <w:rsid w:val="0089634B"/>
    <w:rsid w:val="00897835"/>
    <w:rsid w:val="00897E49"/>
    <w:rsid w:val="008A3BAF"/>
    <w:rsid w:val="008A5477"/>
    <w:rsid w:val="008B2308"/>
    <w:rsid w:val="008B3257"/>
    <w:rsid w:val="008B5F03"/>
    <w:rsid w:val="008C1774"/>
    <w:rsid w:val="008C413B"/>
    <w:rsid w:val="008C4AC1"/>
    <w:rsid w:val="008C5303"/>
    <w:rsid w:val="008C5F17"/>
    <w:rsid w:val="008C70BB"/>
    <w:rsid w:val="008E20D1"/>
    <w:rsid w:val="008E3B05"/>
    <w:rsid w:val="008E5DC8"/>
    <w:rsid w:val="008E6425"/>
    <w:rsid w:val="008F07BE"/>
    <w:rsid w:val="008F6FFC"/>
    <w:rsid w:val="00900189"/>
    <w:rsid w:val="00906CF5"/>
    <w:rsid w:val="0091370C"/>
    <w:rsid w:val="00914C55"/>
    <w:rsid w:val="0091666E"/>
    <w:rsid w:val="00932FF8"/>
    <w:rsid w:val="009400FE"/>
    <w:rsid w:val="00941ED4"/>
    <w:rsid w:val="0094378C"/>
    <w:rsid w:val="0094495A"/>
    <w:rsid w:val="0094541E"/>
    <w:rsid w:val="00946D0D"/>
    <w:rsid w:val="00947E52"/>
    <w:rsid w:val="00950BF3"/>
    <w:rsid w:val="00951406"/>
    <w:rsid w:val="00952429"/>
    <w:rsid w:val="00953930"/>
    <w:rsid w:val="00957CAA"/>
    <w:rsid w:val="009629B4"/>
    <w:rsid w:val="00963522"/>
    <w:rsid w:val="00964A2E"/>
    <w:rsid w:val="009652B6"/>
    <w:rsid w:val="009660EF"/>
    <w:rsid w:val="009670E0"/>
    <w:rsid w:val="009767ED"/>
    <w:rsid w:val="00977A55"/>
    <w:rsid w:val="00991661"/>
    <w:rsid w:val="00992126"/>
    <w:rsid w:val="0099680C"/>
    <w:rsid w:val="009A0E4F"/>
    <w:rsid w:val="009A0F58"/>
    <w:rsid w:val="009A1A0B"/>
    <w:rsid w:val="009A6EBD"/>
    <w:rsid w:val="009A7CC6"/>
    <w:rsid w:val="009B4AC7"/>
    <w:rsid w:val="009B6A68"/>
    <w:rsid w:val="009B736C"/>
    <w:rsid w:val="009C3B27"/>
    <w:rsid w:val="009C5D2B"/>
    <w:rsid w:val="009C6E87"/>
    <w:rsid w:val="009D08C5"/>
    <w:rsid w:val="009D4849"/>
    <w:rsid w:val="009D6542"/>
    <w:rsid w:val="009D7881"/>
    <w:rsid w:val="009E21C4"/>
    <w:rsid w:val="009E3835"/>
    <w:rsid w:val="009E554A"/>
    <w:rsid w:val="009E5B46"/>
    <w:rsid w:val="009E69AA"/>
    <w:rsid w:val="009F1441"/>
    <w:rsid w:val="009F35D7"/>
    <w:rsid w:val="009F6647"/>
    <w:rsid w:val="00A07D1C"/>
    <w:rsid w:val="00A10A8E"/>
    <w:rsid w:val="00A125DA"/>
    <w:rsid w:val="00A15E26"/>
    <w:rsid w:val="00A21B48"/>
    <w:rsid w:val="00A2492B"/>
    <w:rsid w:val="00A24E74"/>
    <w:rsid w:val="00A25D87"/>
    <w:rsid w:val="00A26F1B"/>
    <w:rsid w:val="00A31C07"/>
    <w:rsid w:val="00A33FFF"/>
    <w:rsid w:val="00A35651"/>
    <w:rsid w:val="00A37158"/>
    <w:rsid w:val="00A4213F"/>
    <w:rsid w:val="00A44B8E"/>
    <w:rsid w:val="00A45188"/>
    <w:rsid w:val="00A456CD"/>
    <w:rsid w:val="00A4642E"/>
    <w:rsid w:val="00A515AD"/>
    <w:rsid w:val="00A5559A"/>
    <w:rsid w:val="00A57AA6"/>
    <w:rsid w:val="00A65A3B"/>
    <w:rsid w:val="00A74C02"/>
    <w:rsid w:val="00A75A9F"/>
    <w:rsid w:val="00A84C6E"/>
    <w:rsid w:val="00A85ED5"/>
    <w:rsid w:val="00A96CD8"/>
    <w:rsid w:val="00AB7790"/>
    <w:rsid w:val="00AC4542"/>
    <w:rsid w:val="00AC5278"/>
    <w:rsid w:val="00AD7607"/>
    <w:rsid w:val="00AD78E6"/>
    <w:rsid w:val="00AE1CE3"/>
    <w:rsid w:val="00AE1DA5"/>
    <w:rsid w:val="00AE22E5"/>
    <w:rsid w:val="00AE49BE"/>
    <w:rsid w:val="00AF1A18"/>
    <w:rsid w:val="00AF3B22"/>
    <w:rsid w:val="00AF74C9"/>
    <w:rsid w:val="00B01CCA"/>
    <w:rsid w:val="00B032EF"/>
    <w:rsid w:val="00B0502F"/>
    <w:rsid w:val="00B05369"/>
    <w:rsid w:val="00B06A2F"/>
    <w:rsid w:val="00B10497"/>
    <w:rsid w:val="00B1616D"/>
    <w:rsid w:val="00B16583"/>
    <w:rsid w:val="00B20FDA"/>
    <w:rsid w:val="00B22C49"/>
    <w:rsid w:val="00B231B5"/>
    <w:rsid w:val="00B231C9"/>
    <w:rsid w:val="00B25E01"/>
    <w:rsid w:val="00B260BD"/>
    <w:rsid w:val="00B26B8C"/>
    <w:rsid w:val="00B308C3"/>
    <w:rsid w:val="00B31B09"/>
    <w:rsid w:val="00B325F8"/>
    <w:rsid w:val="00B418E2"/>
    <w:rsid w:val="00B455F3"/>
    <w:rsid w:val="00B45825"/>
    <w:rsid w:val="00B52F00"/>
    <w:rsid w:val="00B5382B"/>
    <w:rsid w:val="00B55543"/>
    <w:rsid w:val="00B56BDD"/>
    <w:rsid w:val="00B56F4F"/>
    <w:rsid w:val="00B60386"/>
    <w:rsid w:val="00B60424"/>
    <w:rsid w:val="00B71082"/>
    <w:rsid w:val="00B74EEE"/>
    <w:rsid w:val="00B7669B"/>
    <w:rsid w:val="00B81517"/>
    <w:rsid w:val="00B86A31"/>
    <w:rsid w:val="00B95F30"/>
    <w:rsid w:val="00B9655B"/>
    <w:rsid w:val="00B96ACD"/>
    <w:rsid w:val="00B97670"/>
    <w:rsid w:val="00BA24CE"/>
    <w:rsid w:val="00BA3CC7"/>
    <w:rsid w:val="00BA578C"/>
    <w:rsid w:val="00BA628A"/>
    <w:rsid w:val="00BA70D9"/>
    <w:rsid w:val="00BB2B80"/>
    <w:rsid w:val="00BB593E"/>
    <w:rsid w:val="00BC3122"/>
    <w:rsid w:val="00BD55CE"/>
    <w:rsid w:val="00BD571E"/>
    <w:rsid w:val="00BD6311"/>
    <w:rsid w:val="00BE0023"/>
    <w:rsid w:val="00BE5D26"/>
    <w:rsid w:val="00BE60A7"/>
    <w:rsid w:val="00BF0BF3"/>
    <w:rsid w:val="00BF67AF"/>
    <w:rsid w:val="00C00309"/>
    <w:rsid w:val="00C06005"/>
    <w:rsid w:val="00C07ED1"/>
    <w:rsid w:val="00C127DB"/>
    <w:rsid w:val="00C13A9F"/>
    <w:rsid w:val="00C13CF9"/>
    <w:rsid w:val="00C144F0"/>
    <w:rsid w:val="00C2183F"/>
    <w:rsid w:val="00C35784"/>
    <w:rsid w:val="00C50282"/>
    <w:rsid w:val="00C5276F"/>
    <w:rsid w:val="00C54D56"/>
    <w:rsid w:val="00C62D31"/>
    <w:rsid w:val="00C6374C"/>
    <w:rsid w:val="00C642F4"/>
    <w:rsid w:val="00C67EC8"/>
    <w:rsid w:val="00C71CD5"/>
    <w:rsid w:val="00C81641"/>
    <w:rsid w:val="00C84EF9"/>
    <w:rsid w:val="00C84FF8"/>
    <w:rsid w:val="00C854A9"/>
    <w:rsid w:val="00C86F28"/>
    <w:rsid w:val="00C90A10"/>
    <w:rsid w:val="00C92DB2"/>
    <w:rsid w:val="00C97126"/>
    <w:rsid w:val="00CA45AB"/>
    <w:rsid w:val="00CA4B29"/>
    <w:rsid w:val="00CA4D70"/>
    <w:rsid w:val="00CA7A18"/>
    <w:rsid w:val="00CB1878"/>
    <w:rsid w:val="00CB20ED"/>
    <w:rsid w:val="00CB551B"/>
    <w:rsid w:val="00CC4E32"/>
    <w:rsid w:val="00CC672A"/>
    <w:rsid w:val="00CD327D"/>
    <w:rsid w:val="00CD7CFB"/>
    <w:rsid w:val="00CE3848"/>
    <w:rsid w:val="00CF2750"/>
    <w:rsid w:val="00CF3CA0"/>
    <w:rsid w:val="00CF5CA3"/>
    <w:rsid w:val="00CF5D8F"/>
    <w:rsid w:val="00D02AB8"/>
    <w:rsid w:val="00D0384C"/>
    <w:rsid w:val="00D06FEE"/>
    <w:rsid w:val="00D075D2"/>
    <w:rsid w:val="00D07A31"/>
    <w:rsid w:val="00D155A9"/>
    <w:rsid w:val="00D20CE5"/>
    <w:rsid w:val="00D25B49"/>
    <w:rsid w:val="00D27C1D"/>
    <w:rsid w:val="00D3326B"/>
    <w:rsid w:val="00D34A45"/>
    <w:rsid w:val="00D37B20"/>
    <w:rsid w:val="00D428FC"/>
    <w:rsid w:val="00D44CAC"/>
    <w:rsid w:val="00D44D31"/>
    <w:rsid w:val="00D51EC7"/>
    <w:rsid w:val="00D52AF4"/>
    <w:rsid w:val="00D5311A"/>
    <w:rsid w:val="00D56FFE"/>
    <w:rsid w:val="00D57A69"/>
    <w:rsid w:val="00D57AC2"/>
    <w:rsid w:val="00D60611"/>
    <w:rsid w:val="00D619A5"/>
    <w:rsid w:val="00D63D5D"/>
    <w:rsid w:val="00D646D8"/>
    <w:rsid w:val="00D700DF"/>
    <w:rsid w:val="00D74517"/>
    <w:rsid w:val="00D74D14"/>
    <w:rsid w:val="00D75DEB"/>
    <w:rsid w:val="00D84B63"/>
    <w:rsid w:val="00D85FDB"/>
    <w:rsid w:val="00D86AD1"/>
    <w:rsid w:val="00D87035"/>
    <w:rsid w:val="00D9127B"/>
    <w:rsid w:val="00D964ED"/>
    <w:rsid w:val="00D969AA"/>
    <w:rsid w:val="00DA0674"/>
    <w:rsid w:val="00DA6DA0"/>
    <w:rsid w:val="00DB3894"/>
    <w:rsid w:val="00DB50CA"/>
    <w:rsid w:val="00DB6664"/>
    <w:rsid w:val="00DC3D4D"/>
    <w:rsid w:val="00DC72F8"/>
    <w:rsid w:val="00DD01E9"/>
    <w:rsid w:val="00DD08E7"/>
    <w:rsid w:val="00DD3C2C"/>
    <w:rsid w:val="00DE669F"/>
    <w:rsid w:val="00DE6E02"/>
    <w:rsid w:val="00DE7A8A"/>
    <w:rsid w:val="00DF0B97"/>
    <w:rsid w:val="00DF1B61"/>
    <w:rsid w:val="00DF3A22"/>
    <w:rsid w:val="00DF4D44"/>
    <w:rsid w:val="00DF685C"/>
    <w:rsid w:val="00DF78B5"/>
    <w:rsid w:val="00E05039"/>
    <w:rsid w:val="00E116DE"/>
    <w:rsid w:val="00E11CA9"/>
    <w:rsid w:val="00E14AB0"/>
    <w:rsid w:val="00E168C9"/>
    <w:rsid w:val="00E22E14"/>
    <w:rsid w:val="00E2433B"/>
    <w:rsid w:val="00E25362"/>
    <w:rsid w:val="00E25B08"/>
    <w:rsid w:val="00E3073A"/>
    <w:rsid w:val="00E346CD"/>
    <w:rsid w:val="00E3518C"/>
    <w:rsid w:val="00E355D3"/>
    <w:rsid w:val="00E36606"/>
    <w:rsid w:val="00E37700"/>
    <w:rsid w:val="00E378C7"/>
    <w:rsid w:val="00E37C54"/>
    <w:rsid w:val="00E40B46"/>
    <w:rsid w:val="00E431F9"/>
    <w:rsid w:val="00E43D49"/>
    <w:rsid w:val="00E44858"/>
    <w:rsid w:val="00E45FBE"/>
    <w:rsid w:val="00E47F72"/>
    <w:rsid w:val="00E531E7"/>
    <w:rsid w:val="00E53FA2"/>
    <w:rsid w:val="00E57307"/>
    <w:rsid w:val="00E60A4B"/>
    <w:rsid w:val="00E62C8B"/>
    <w:rsid w:val="00E64CD8"/>
    <w:rsid w:val="00E6575D"/>
    <w:rsid w:val="00E676DC"/>
    <w:rsid w:val="00E70020"/>
    <w:rsid w:val="00E74C51"/>
    <w:rsid w:val="00E8013D"/>
    <w:rsid w:val="00E81786"/>
    <w:rsid w:val="00E81BF4"/>
    <w:rsid w:val="00E822B8"/>
    <w:rsid w:val="00E82567"/>
    <w:rsid w:val="00E82775"/>
    <w:rsid w:val="00E82790"/>
    <w:rsid w:val="00E82DC8"/>
    <w:rsid w:val="00E839A2"/>
    <w:rsid w:val="00E84DBD"/>
    <w:rsid w:val="00E85E17"/>
    <w:rsid w:val="00E91397"/>
    <w:rsid w:val="00E91B98"/>
    <w:rsid w:val="00EA0AB9"/>
    <w:rsid w:val="00EA0AF0"/>
    <w:rsid w:val="00EB011E"/>
    <w:rsid w:val="00EB06C2"/>
    <w:rsid w:val="00EB66D9"/>
    <w:rsid w:val="00EB6E5A"/>
    <w:rsid w:val="00EC3A53"/>
    <w:rsid w:val="00EC47D2"/>
    <w:rsid w:val="00ED3DE7"/>
    <w:rsid w:val="00ED65BE"/>
    <w:rsid w:val="00EE18FE"/>
    <w:rsid w:val="00EE22A8"/>
    <w:rsid w:val="00EE3B06"/>
    <w:rsid w:val="00EF2C88"/>
    <w:rsid w:val="00EF4243"/>
    <w:rsid w:val="00EF723A"/>
    <w:rsid w:val="00EF7EBE"/>
    <w:rsid w:val="00F031DD"/>
    <w:rsid w:val="00F0371B"/>
    <w:rsid w:val="00F05031"/>
    <w:rsid w:val="00F05410"/>
    <w:rsid w:val="00F07087"/>
    <w:rsid w:val="00F0735C"/>
    <w:rsid w:val="00F113F3"/>
    <w:rsid w:val="00F11559"/>
    <w:rsid w:val="00F11BE8"/>
    <w:rsid w:val="00F1225A"/>
    <w:rsid w:val="00F1320C"/>
    <w:rsid w:val="00F16A91"/>
    <w:rsid w:val="00F2371A"/>
    <w:rsid w:val="00F23E9F"/>
    <w:rsid w:val="00F257E8"/>
    <w:rsid w:val="00F276F5"/>
    <w:rsid w:val="00F32920"/>
    <w:rsid w:val="00F364AF"/>
    <w:rsid w:val="00F4064E"/>
    <w:rsid w:val="00F4666E"/>
    <w:rsid w:val="00F55CF4"/>
    <w:rsid w:val="00F563DD"/>
    <w:rsid w:val="00F571FA"/>
    <w:rsid w:val="00F629C6"/>
    <w:rsid w:val="00F640B3"/>
    <w:rsid w:val="00F645FA"/>
    <w:rsid w:val="00F662C2"/>
    <w:rsid w:val="00F82747"/>
    <w:rsid w:val="00F901C3"/>
    <w:rsid w:val="00F901D9"/>
    <w:rsid w:val="00F9075E"/>
    <w:rsid w:val="00F90AD9"/>
    <w:rsid w:val="00F92D2A"/>
    <w:rsid w:val="00F936DC"/>
    <w:rsid w:val="00FA2487"/>
    <w:rsid w:val="00FB2261"/>
    <w:rsid w:val="00FB39B6"/>
    <w:rsid w:val="00FB5C70"/>
    <w:rsid w:val="00FB6B7C"/>
    <w:rsid w:val="00FC2E82"/>
    <w:rsid w:val="00FC64BE"/>
    <w:rsid w:val="00FD1526"/>
    <w:rsid w:val="00FD44E1"/>
    <w:rsid w:val="00FE46C1"/>
    <w:rsid w:val="00FE5679"/>
    <w:rsid w:val="00FF0576"/>
    <w:rsid w:val="00FF097D"/>
    <w:rsid w:val="00FF105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martTagType w:name="PersonName" w:namespaceuri="urn:schemas-microsoft-com:office:smarttags"/>
  <w:shapeDefaults>
    <o:shapedefaults spidmax="2049" v:ext="edit"/>
    <o:shapelayout v:ext="edit">
      <o:idmap data="1" v:ext="edit"/>
    </o:shapelayout>
  </w:shapeDefaults>
  <w:decimalSymbol w:val=","/>
  <w:listSeparator w:val=";"/>
  <w14:docId w14:val="32AA7C72"/>
  <w15:docId w15:val="{E90EF892-2D8C-43DC-BF85-8D850CF3E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80793A"/>
    <w:rPr>
      <w:sz w:val="24"/>
      <w:szCs w:val="24"/>
    </w:rPr>
  </w:style>
  <w:style w:styleId="Titre1" w:type="paragraph">
    <w:name w:val="heading 1"/>
    <w:basedOn w:val="Normal"/>
    <w:next w:val="Normal"/>
    <w:link w:val="Titre1Car"/>
    <w:autoRedefine/>
    <w:qFormat/>
    <w:rsid w:val="00CC672A"/>
    <w:pPr>
      <w:keepNext/>
      <w:keepLines/>
      <w:spacing w:before="240"/>
      <w:outlineLvl w:val="0"/>
    </w:pPr>
    <w:rPr>
      <w:rFonts w:asciiTheme="majorHAnsi" w:cstheme="majorBidi" w:eastAsiaTheme="majorEastAsia" w:hAnsiTheme="majorHAnsi"/>
      <w:b/>
      <w:color w:themeColor="accent1" w:themeShade="BF" w:val="365F91"/>
      <w:sz w:val="28"/>
      <w:szCs w:val="32"/>
      <w:u w:val="single"/>
    </w:rPr>
  </w:style>
  <w:style w:styleId="Titre2" w:type="paragraph">
    <w:name w:val="heading 2"/>
    <w:basedOn w:val="Normal"/>
    <w:next w:val="Normal"/>
    <w:link w:val="Titre2Car"/>
    <w:semiHidden/>
    <w:unhideWhenUsed/>
    <w:qFormat/>
    <w:rsid w:val="009400FE"/>
    <w:pPr>
      <w:keepNext/>
      <w:keepLines/>
      <w:spacing w:before="40"/>
      <w:outlineLvl w:val="1"/>
    </w:pPr>
    <w:rPr>
      <w:rFonts w:asciiTheme="majorHAnsi" w:cstheme="majorBidi" w:eastAsiaTheme="majorEastAsia" w:hAnsiTheme="majorHAnsi"/>
      <w:color w:themeColor="accent1" w:themeShade="BF" w:val="365F91"/>
      <w:sz w:val="26"/>
      <w:szCs w:val="26"/>
    </w:rPr>
  </w:style>
  <w:style w:styleId="Titre3" w:type="paragraph">
    <w:name w:val="heading 3"/>
    <w:basedOn w:val="Normal"/>
    <w:next w:val="Normal"/>
    <w:link w:val="Titre3Car"/>
    <w:semiHidden/>
    <w:unhideWhenUsed/>
    <w:qFormat/>
    <w:rsid w:val="00492A8B"/>
    <w:pPr>
      <w:keepNext/>
      <w:keepLines/>
      <w:spacing w:before="40"/>
      <w:outlineLvl w:val="2"/>
    </w:pPr>
    <w:rPr>
      <w:rFonts w:asciiTheme="majorHAnsi" w:cstheme="majorBidi" w:eastAsiaTheme="majorEastAsia" w:hAnsiTheme="majorHAnsi"/>
      <w:color w:themeColor="accent1" w:themeShade="7F" w:val="243F60"/>
    </w:rPr>
  </w:style>
  <w:style w:styleId="Titre4" w:type="paragraph">
    <w:name w:val="heading 4"/>
    <w:basedOn w:val="Normal"/>
    <w:next w:val="Normal"/>
    <w:link w:val="Titre4Car"/>
    <w:semiHidden/>
    <w:unhideWhenUsed/>
    <w:qFormat/>
    <w:rsid w:val="00492A8B"/>
    <w:pPr>
      <w:keepNext/>
      <w:keepLines/>
      <w:spacing w:before="40"/>
      <w:outlineLvl w:val="3"/>
    </w:pPr>
    <w:rPr>
      <w:rFonts w:asciiTheme="majorHAnsi" w:cstheme="majorBidi" w:eastAsiaTheme="majorEastAsia" w:hAnsiTheme="majorHAnsi"/>
      <w:i/>
      <w:iCs/>
      <w:color w:themeColor="accent1" w:themeShade="BF" w:val="365F91"/>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semiHidden/>
    <w:rsid w:val="00601CB2"/>
    <w:rPr>
      <w:rFonts w:ascii="Tahoma" w:cs="Tahoma" w:hAnsi="Tahoma"/>
      <w:sz w:val="16"/>
      <w:szCs w:val="16"/>
    </w:rPr>
  </w:style>
  <w:style w:styleId="Notedebasdepage" w:type="paragraph">
    <w:name w:val="footnote text"/>
    <w:basedOn w:val="Normal"/>
    <w:semiHidden/>
    <w:rsid w:val="00763E0B"/>
    <w:rPr>
      <w:sz w:val="20"/>
      <w:szCs w:val="20"/>
    </w:rPr>
  </w:style>
  <w:style w:styleId="Appelnotedebasdep" w:type="character">
    <w:name w:val="footnote reference"/>
    <w:basedOn w:val="Policepardfaut"/>
    <w:semiHidden/>
    <w:rsid w:val="00763E0B"/>
    <w:rPr>
      <w:vertAlign w:val="superscript"/>
    </w:rPr>
  </w:style>
  <w:style w:styleId="NormalWeb" w:type="paragraph">
    <w:name w:val="Normal (Web)"/>
    <w:basedOn w:val="Normal"/>
    <w:rsid w:val="00947E52"/>
    <w:pPr>
      <w:spacing w:after="100" w:afterAutospacing="1" w:before="100" w:beforeAutospacing="1"/>
    </w:pPr>
  </w:style>
  <w:style w:styleId="Pieddepage" w:type="paragraph">
    <w:name w:val="footer"/>
    <w:basedOn w:val="Normal"/>
    <w:rsid w:val="00CB20ED"/>
    <w:pPr>
      <w:tabs>
        <w:tab w:pos="4536" w:val="center"/>
        <w:tab w:pos="9072" w:val="right"/>
      </w:tabs>
    </w:pPr>
  </w:style>
  <w:style w:styleId="Numrodepage" w:type="character">
    <w:name w:val="page number"/>
    <w:basedOn w:val="Policepardfaut"/>
    <w:rsid w:val="00CB20ED"/>
  </w:style>
  <w:style w:styleId="Grilledutableau" w:type="table">
    <w:name w:val="Table Grid"/>
    <w:basedOn w:val="TableauNormal"/>
    <w:uiPriority w:val="59"/>
    <w:rsid w:val="00B86A31"/>
    <w:rPr>
      <w:rFonts w:ascii="Calibri" w:eastAsia="Calibri" w:hAnsi="Calibri"/>
      <w:sz w:val="22"/>
      <w:szCs w:val="22"/>
      <w:lang w:eastAsia="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styleId="En-tte" w:type="paragraph">
    <w:name w:val="header"/>
    <w:basedOn w:val="Normal"/>
    <w:link w:val="En-tteCar"/>
    <w:rsid w:val="009C3B27"/>
    <w:pPr>
      <w:tabs>
        <w:tab w:pos="4536" w:val="center"/>
        <w:tab w:pos="9072" w:val="right"/>
      </w:tabs>
    </w:pPr>
  </w:style>
  <w:style w:customStyle="1" w:styleId="En-tteCar" w:type="character">
    <w:name w:val="En-tête Car"/>
    <w:basedOn w:val="Policepardfaut"/>
    <w:link w:val="En-tte"/>
    <w:rsid w:val="009C3B27"/>
    <w:rPr>
      <w:sz w:val="24"/>
      <w:szCs w:val="24"/>
    </w:rPr>
  </w:style>
  <w:style w:customStyle="1" w:styleId="Companyname" w:type="paragraph">
    <w:name w:val="Company name"/>
    <w:basedOn w:val="Normal"/>
    <w:rsid w:val="001F5232"/>
    <w:pPr>
      <w:framePr w:h="284" w:hAnchor="page" w:vAnchor="page" w:w="4600" w:wrap="notBeside" w:x="1741" w:y="1151"/>
      <w:spacing w:line="460" w:lineRule="exact"/>
    </w:pPr>
    <w:rPr>
      <w:rFonts w:ascii="Arial" w:cs="Arial" w:hAnsi="Arial"/>
      <w:b/>
      <w:bCs/>
      <w:caps/>
      <w:color w:val="58585A"/>
      <w:sz w:val="32"/>
      <w:lang w:eastAsia="en-US" w:val="en-GB"/>
    </w:rPr>
  </w:style>
  <w:style w:customStyle="1" w:styleId="Divisionname" w:type="paragraph">
    <w:name w:val="Division name"/>
    <w:basedOn w:val="Normal"/>
    <w:rsid w:val="001F5232"/>
    <w:pPr>
      <w:framePr w:h="284" w:hAnchor="page" w:vAnchor="page" w:w="4600" w:wrap="notBeside" w:x="1741" w:y="1151"/>
      <w:spacing w:line="170" w:lineRule="exact"/>
    </w:pPr>
    <w:rPr>
      <w:rFonts w:ascii="Arial" w:cs="Arial" w:hAnsi="Arial"/>
      <w:color w:val="58585A"/>
      <w:sz w:val="14"/>
      <w:lang w:eastAsia="en-US" w:val="en-GB"/>
    </w:rPr>
  </w:style>
  <w:style w:styleId="Paragraphedeliste" w:type="paragraph">
    <w:name w:val="List Paragraph"/>
    <w:basedOn w:val="Normal"/>
    <w:link w:val="ParagraphedelisteCar"/>
    <w:qFormat/>
    <w:rsid w:val="005F4479"/>
    <w:pPr>
      <w:ind w:left="708"/>
    </w:pPr>
  </w:style>
  <w:style w:customStyle="1" w:styleId="Titre1Car" w:type="character">
    <w:name w:val="Titre 1 Car"/>
    <w:basedOn w:val="Policepardfaut"/>
    <w:link w:val="Titre1"/>
    <w:rsid w:val="00CC672A"/>
    <w:rPr>
      <w:rFonts w:asciiTheme="majorHAnsi" w:cstheme="majorBidi" w:eastAsiaTheme="majorEastAsia" w:hAnsiTheme="majorHAnsi"/>
      <w:b/>
      <w:color w:themeColor="accent1" w:themeShade="BF" w:val="365F91"/>
      <w:sz w:val="28"/>
      <w:szCs w:val="32"/>
      <w:u w:val="single"/>
    </w:rPr>
  </w:style>
  <w:style w:styleId="En-ttedetabledesmatires" w:type="paragraph">
    <w:name w:val="TOC Heading"/>
    <w:basedOn w:val="Titre1"/>
    <w:next w:val="Normal"/>
    <w:uiPriority w:val="39"/>
    <w:unhideWhenUsed/>
    <w:qFormat/>
    <w:rsid w:val="00625310"/>
    <w:pPr>
      <w:spacing w:line="259" w:lineRule="auto"/>
      <w:outlineLvl w:val="9"/>
    </w:pPr>
  </w:style>
  <w:style w:styleId="TM1" w:type="paragraph">
    <w:name w:val="toc 1"/>
    <w:basedOn w:val="Normal"/>
    <w:next w:val="Normal"/>
    <w:autoRedefine/>
    <w:uiPriority w:val="39"/>
    <w:unhideWhenUsed/>
    <w:rsid w:val="0080793A"/>
    <w:pPr>
      <w:tabs>
        <w:tab w:leader="dot" w:pos="9062" w:val="right"/>
      </w:tabs>
      <w:spacing w:after="100"/>
    </w:pPr>
  </w:style>
  <w:style w:styleId="Lienhypertexte" w:type="character">
    <w:name w:val="Hyperlink"/>
    <w:basedOn w:val="Policepardfaut"/>
    <w:uiPriority w:val="99"/>
    <w:unhideWhenUsed/>
    <w:rsid w:val="00625310"/>
    <w:rPr>
      <w:color w:themeColor="hyperlink" w:val="0000FF"/>
      <w:u w:val="single"/>
    </w:rPr>
  </w:style>
  <w:style w:customStyle="1" w:styleId="Titre2Car" w:type="character">
    <w:name w:val="Titre 2 Car"/>
    <w:basedOn w:val="Policepardfaut"/>
    <w:link w:val="Titre2"/>
    <w:semiHidden/>
    <w:rsid w:val="009400FE"/>
    <w:rPr>
      <w:rFonts w:asciiTheme="majorHAnsi" w:cstheme="majorBidi" w:eastAsiaTheme="majorEastAsia" w:hAnsiTheme="majorHAnsi"/>
      <w:color w:themeColor="accent1" w:themeShade="BF" w:val="365F91"/>
      <w:sz w:val="26"/>
      <w:szCs w:val="26"/>
    </w:rPr>
  </w:style>
  <w:style w:styleId="TM2" w:type="paragraph">
    <w:name w:val="toc 2"/>
    <w:basedOn w:val="Normal"/>
    <w:next w:val="Normal"/>
    <w:autoRedefine/>
    <w:uiPriority w:val="39"/>
    <w:unhideWhenUsed/>
    <w:rsid w:val="00950BF3"/>
    <w:pPr>
      <w:spacing w:after="100"/>
      <w:ind w:left="240"/>
    </w:pPr>
  </w:style>
  <w:style w:styleId="TM3" w:type="paragraph">
    <w:name w:val="toc 3"/>
    <w:basedOn w:val="Normal"/>
    <w:next w:val="Normal"/>
    <w:autoRedefine/>
    <w:uiPriority w:val="39"/>
    <w:unhideWhenUsed/>
    <w:rsid w:val="00950BF3"/>
    <w:pPr>
      <w:spacing w:after="100"/>
      <w:ind w:left="480"/>
    </w:pPr>
  </w:style>
  <w:style w:styleId="Titre" w:type="paragraph">
    <w:name w:val="Title"/>
    <w:basedOn w:val="Normal"/>
    <w:next w:val="Normal"/>
    <w:link w:val="TitreCar"/>
    <w:qFormat/>
    <w:rsid w:val="00950BF3"/>
    <w:pPr>
      <w:contextualSpacing/>
    </w:pPr>
    <w:rPr>
      <w:rFonts w:asciiTheme="majorHAnsi" w:cstheme="majorBidi" w:eastAsiaTheme="majorEastAsia" w:hAnsiTheme="majorHAnsi"/>
      <w:spacing w:val="-10"/>
      <w:kern w:val="28"/>
      <w:sz w:val="56"/>
      <w:szCs w:val="56"/>
    </w:rPr>
  </w:style>
  <w:style w:customStyle="1" w:styleId="TitreCar" w:type="character">
    <w:name w:val="Titre Car"/>
    <w:basedOn w:val="Policepardfaut"/>
    <w:link w:val="Titre"/>
    <w:rsid w:val="00950BF3"/>
    <w:rPr>
      <w:rFonts w:asciiTheme="majorHAnsi" w:cstheme="majorBidi" w:eastAsiaTheme="majorEastAsia" w:hAnsiTheme="majorHAnsi"/>
      <w:spacing w:val="-10"/>
      <w:kern w:val="28"/>
      <w:sz w:val="56"/>
      <w:szCs w:val="56"/>
    </w:rPr>
  </w:style>
  <w:style w:customStyle="1" w:styleId="Titre20" w:type="paragraph">
    <w:name w:val="Titre2"/>
    <w:basedOn w:val="Titre2"/>
    <w:link w:val="Titre2Car0"/>
    <w:qFormat/>
    <w:rsid w:val="00B032EF"/>
    <w:pPr>
      <w:ind w:left="708"/>
    </w:pPr>
    <w:rPr>
      <w:rFonts w:cs="Arial"/>
      <w:u w:val="single"/>
    </w:rPr>
  </w:style>
  <w:style w:customStyle="1" w:styleId="Titre30" w:type="paragraph">
    <w:name w:val="Titre3"/>
    <w:basedOn w:val="Paragraphedeliste"/>
    <w:link w:val="Titre3Car0"/>
    <w:autoRedefine/>
    <w:qFormat/>
    <w:rsid w:val="00FE5679"/>
    <w:pPr>
      <w:spacing w:after="100" w:afterAutospacing="1" w:before="100" w:beforeAutospacing="1"/>
      <w:ind w:left="1134"/>
      <w:outlineLvl w:val="2"/>
    </w:pPr>
    <w:rPr>
      <w:rFonts w:asciiTheme="majorHAnsi" w:cs="Arial" w:eastAsiaTheme="majorEastAsia" w:hAnsiTheme="majorHAnsi"/>
      <w:color w:themeColor="accent1" w:themeShade="BF" w:val="365F91"/>
      <w:szCs w:val="26"/>
      <w:u w:val="single"/>
    </w:rPr>
  </w:style>
  <w:style w:customStyle="1" w:styleId="Titre2Car0" w:type="character">
    <w:name w:val="Titre2 Car"/>
    <w:basedOn w:val="Titre2Car"/>
    <w:link w:val="Titre20"/>
    <w:rsid w:val="00B032EF"/>
    <w:rPr>
      <w:rFonts w:asciiTheme="majorHAnsi" w:cs="Arial" w:eastAsiaTheme="majorEastAsia" w:hAnsiTheme="majorHAnsi"/>
      <w:color w:themeColor="accent1" w:themeShade="BF" w:val="365F91"/>
      <w:sz w:val="26"/>
      <w:szCs w:val="26"/>
      <w:u w:val="single"/>
    </w:rPr>
  </w:style>
  <w:style w:customStyle="1" w:styleId="Titre4Car" w:type="character">
    <w:name w:val="Titre 4 Car"/>
    <w:basedOn w:val="Policepardfaut"/>
    <w:link w:val="Titre4"/>
    <w:semiHidden/>
    <w:rsid w:val="00492A8B"/>
    <w:rPr>
      <w:rFonts w:asciiTheme="majorHAnsi" w:cstheme="majorBidi" w:eastAsiaTheme="majorEastAsia" w:hAnsiTheme="majorHAnsi"/>
      <w:i/>
      <w:iCs/>
      <w:color w:themeColor="accent1" w:themeShade="BF" w:val="365F91"/>
      <w:sz w:val="24"/>
      <w:szCs w:val="24"/>
    </w:rPr>
  </w:style>
  <w:style w:customStyle="1" w:styleId="ParagraphedelisteCar" w:type="character">
    <w:name w:val="Paragraphe de liste Car"/>
    <w:basedOn w:val="Policepardfaut"/>
    <w:link w:val="Paragraphedeliste"/>
    <w:uiPriority w:val="34"/>
    <w:rsid w:val="00492A8B"/>
    <w:rPr>
      <w:sz w:val="24"/>
      <w:szCs w:val="24"/>
    </w:rPr>
  </w:style>
  <w:style w:customStyle="1" w:styleId="Titre3Car0" w:type="character">
    <w:name w:val="Titre3 Car"/>
    <w:basedOn w:val="ParagraphedelisteCar"/>
    <w:link w:val="Titre30"/>
    <w:rsid w:val="00FE5679"/>
    <w:rPr>
      <w:rFonts w:asciiTheme="majorHAnsi" w:cs="Arial" w:eastAsiaTheme="majorEastAsia" w:hAnsiTheme="majorHAnsi"/>
      <w:color w:themeColor="accent1" w:themeShade="BF" w:val="365F91"/>
      <w:sz w:val="24"/>
      <w:szCs w:val="26"/>
      <w:u w:val="single"/>
    </w:rPr>
  </w:style>
  <w:style w:customStyle="1" w:styleId="Titre3Car" w:type="character">
    <w:name w:val="Titre 3 Car"/>
    <w:basedOn w:val="Policepardfaut"/>
    <w:link w:val="Titre3"/>
    <w:semiHidden/>
    <w:rsid w:val="00492A8B"/>
    <w:rPr>
      <w:rFonts w:asciiTheme="majorHAnsi" w:cstheme="majorBidi" w:eastAsiaTheme="majorEastAsia" w:hAnsiTheme="majorHAnsi"/>
      <w:color w:themeColor="accent1" w:themeShade="7F" w:val="243F60"/>
      <w:sz w:val="24"/>
      <w:szCs w:val="24"/>
    </w:rPr>
  </w:style>
  <w:style w:styleId="Marquedecommentaire" w:type="character">
    <w:name w:val="annotation reference"/>
    <w:basedOn w:val="Policepardfaut"/>
    <w:uiPriority w:val="99"/>
    <w:semiHidden/>
    <w:unhideWhenUsed/>
    <w:rsid w:val="00574DE8"/>
    <w:rPr>
      <w:sz w:val="16"/>
      <w:szCs w:val="16"/>
    </w:rPr>
  </w:style>
  <w:style w:styleId="Commentaire" w:type="paragraph">
    <w:name w:val="annotation text"/>
    <w:basedOn w:val="Normal"/>
    <w:link w:val="CommentaireCar"/>
    <w:semiHidden/>
    <w:unhideWhenUsed/>
    <w:rsid w:val="00574DE8"/>
    <w:rPr>
      <w:sz w:val="20"/>
      <w:szCs w:val="20"/>
    </w:rPr>
  </w:style>
  <w:style w:customStyle="1" w:styleId="CommentaireCar" w:type="character">
    <w:name w:val="Commentaire Car"/>
    <w:basedOn w:val="Policepardfaut"/>
    <w:link w:val="Commentaire"/>
    <w:semiHidden/>
    <w:rsid w:val="00574DE8"/>
  </w:style>
  <w:style w:styleId="Objetducommentaire" w:type="paragraph">
    <w:name w:val="annotation subject"/>
    <w:basedOn w:val="Commentaire"/>
    <w:next w:val="Commentaire"/>
    <w:link w:val="ObjetducommentaireCar"/>
    <w:semiHidden/>
    <w:unhideWhenUsed/>
    <w:rsid w:val="00574DE8"/>
    <w:rPr>
      <w:b/>
      <w:bCs/>
    </w:rPr>
  </w:style>
  <w:style w:customStyle="1" w:styleId="ObjetducommentaireCar" w:type="character">
    <w:name w:val="Objet du commentaire Car"/>
    <w:basedOn w:val="CommentaireCar"/>
    <w:link w:val="Objetducommentaire"/>
    <w:semiHidden/>
    <w:rsid w:val="00574DE8"/>
    <w:rPr>
      <w:b/>
      <w:bCs/>
    </w:rPr>
  </w:style>
  <w:style w:customStyle="1" w:styleId="Style1" w:type="paragraph">
    <w:name w:val="Style1"/>
    <w:basedOn w:val="Titre30"/>
    <w:link w:val="Style1Car"/>
    <w:qFormat/>
    <w:rsid w:val="00A35651"/>
  </w:style>
  <w:style w:customStyle="1" w:styleId="Style1Car" w:type="character">
    <w:name w:val="Style1 Car"/>
    <w:basedOn w:val="Titre3Car0"/>
    <w:link w:val="Style1"/>
    <w:rsid w:val="00A35651"/>
    <w:rPr>
      <w:rFonts w:asciiTheme="majorHAnsi" w:cs="Arial" w:eastAsiaTheme="majorEastAsia" w:hAnsiTheme="majorHAnsi"/>
      <w:color w:themeColor="accent1" w:themeShade="BF" w:val="365F91"/>
      <w:sz w:val="24"/>
      <w:szCs w:val="26"/>
      <w:u w:val="single"/>
    </w:rPr>
  </w:style>
  <w:style w:styleId="TM4" w:type="paragraph">
    <w:name w:val="toc 4"/>
    <w:basedOn w:val="Normal"/>
    <w:next w:val="Normal"/>
    <w:autoRedefine/>
    <w:uiPriority w:val="39"/>
    <w:unhideWhenUsed/>
    <w:rsid w:val="00774073"/>
    <w:pPr>
      <w:spacing w:after="100" w:line="259" w:lineRule="auto"/>
      <w:ind w:left="660"/>
    </w:pPr>
    <w:rPr>
      <w:rFonts w:asciiTheme="minorHAnsi" w:cstheme="minorBidi" w:eastAsiaTheme="minorEastAsia" w:hAnsiTheme="minorHAnsi"/>
      <w:sz w:val="22"/>
      <w:szCs w:val="22"/>
    </w:rPr>
  </w:style>
  <w:style w:styleId="TM5" w:type="paragraph">
    <w:name w:val="toc 5"/>
    <w:basedOn w:val="Normal"/>
    <w:next w:val="Normal"/>
    <w:autoRedefine/>
    <w:uiPriority w:val="39"/>
    <w:unhideWhenUsed/>
    <w:rsid w:val="00774073"/>
    <w:pPr>
      <w:spacing w:after="100" w:line="259" w:lineRule="auto"/>
      <w:ind w:left="880"/>
    </w:pPr>
    <w:rPr>
      <w:rFonts w:asciiTheme="minorHAnsi" w:cstheme="minorBidi" w:eastAsiaTheme="minorEastAsia" w:hAnsiTheme="minorHAnsi"/>
      <w:sz w:val="22"/>
      <w:szCs w:val="22"/>
    </w:rPr>
  </w:style>
  <w:style w:styleId="TM6" w:type="paragraph">
    <w:name w:val="toc 6"/>
    <w:basedOn w:val="Normal"/>
    <w:next w:val="Normal"/>
    <w:autoRedefine/>
    <w:uiPriority w:val="39"/>
    <w:unhideWhenUsed/>
    <w:rsid w:val="00774073"/>
    <w:pPr>
      <w:spacing w:after="100" w:line="259" w:lineRule="auto"/>
      <w:ind w:left="1100"/>
    </w:pPr>
    <w:rPr>
      <w:rFonts w:asciiTheme="minorHAnsi" w:cstheme="minorBidi" w:eastAsiaTheme="minorEastAsia" w:hAnsiTheme="minorHAnsi"/>
      <w:sz w:val="22"/>
      <w:szCs w:val="22"/>
    </w:rPr>
  </w:style>
  <w:style w:styleId="TM7" w:type="paragraph">
    <w:name w:val="toc 7"/>
    <w:basedOn w:val="Normal"/>
    <w:next w:val="Normal"/>
    <w:autoRedefine/>
    <w:uiPriority w:val="39"/>
    <w:unhideWhenUsed/>
    <w:rsid w:val="00774073"/>
    <w:pPr>
      <w:spacing w:after="100" w:line="259" w:lineRule="auto"/>
      <w:ind w:left="1320"/>
    </w:pPr>
    <w:rPr>
      <w:rFonts w:asciiTheme="minorHAnsi" w:cstheme="minorBidi" w:eastAsiaTheme="minorEastAsia" w:hAnsiTheme="minorHAnsi"/>
      <w:sz w:val="22"/>
      <w:szCs w:val="22"/>
    </w:rPr>
  </w:style>
  <w:style w:styleId="TM8" w:type="paragraph">
    <w:name w:val="toc 8"/>
    <w:basedOn w:val="Normal"/>
    <w:next w:val="Normal"/>
    <w:autoRedefine/>
    <w:uiPriority w:val="39"/>
    <w:unhideWhenUsed/>
    <w:rsid w:val="00774073"/>
    <w:pPr>
      <w:spacing w:after="100" w:line="259" w:lineRule="auto"/>
      <w:ind w:left="1540"/>
    </w:pPr>
    <w:rPr>
      <w:rFonts w:asciiTheme="minorHAnsi" w:cstheme="minorBidi" w:eastAsiaTheme="minorEastAsia" w:hAnsiTheme="minorHAnsi"/>
      <w:sz w:val="22"/>
      <w:szCs w:val="22"/>
    </w:rPr>
  </w:style>
  <w:style w:styleId="TM9" w:type="paragraph">
    <w:name w:val="toc 9"/>
    <w:basedOn w:val="Normal"/>
    <w:next w:val="Normal"/>
    <w:autoRedefine/>
    <w:uiPriority w:val="39"/>
    <w:unhideWhenUsed/>
    <w:rsid w:val="00774073"/>
    <w:pPr>
      <w:spacing w:after="100" w:line="259" w:lineRule="auto"/>
      <w:ind w:left="1760"/>
    </w:pPr>
    <w:rPr>
      <w:rFonts w:asciiTheme="minorHAnsi" w:cstheme="minorBidi" w:eastAsiaTheme="minorEastAsia" w:hAnsiTheme="minorHAnsi"/>
      <w:sz w:val="22"/>
      <w:szCs w:val="22"/>
    </w:rPr>
  </w:style>
  <w:style w:styleId="Corpsdetexte" w:type="paragraph">
    <w:name w:val="Body Text"/>
    <w:basedOn w:val="Normal"/>
    <w:link w:val="CorpsdetexteCar"/>
    <w:rsid w:val="00F0735C"/>
    <w:pPr>
      <w:tabs>
        <w:tab w:pos="426" w:val="left"/>
      </w:tabs>
      <w:jc w:val="both"/>
    </w:pPr>
    <w:rPr>
      <w:rFonts w:ascii="Arial" w:cs="Arial" w:hAnsi="Arial"/>
      <w:sz w:val="22"/>
      <w:szCs w:val="22"/>
    </w:rPr>
  </w:style>
  <w:style w:customStyle="1" w:styleId="CorpsdetexteCar" w:type="character">
    <w:name w:val="Corps de texte Car"/>
    <w:basedOn w:val="Policepardfaut"/>
    <w:link w:val="Corpsdetexte"/>
    <w:rsid w:val="00F0735C"/>
    <w:rPr>
      <w:rFonts w:ascii="Arial" w:cs="Arial" w:hAnsi="Arial"/>
      <w:sz w:val="22"/>
      <w:szCs w:val="22"/>
    </w:rPr>
  </w:style>
  <w:style w:styleId="Corpsdetexte2" w:type="paragraph">
    <w:name w:val="Body Text 2"/>
    <w:basedOn w:val="Normal"/>
    <w:link w:val="Corpsdetexte2Car"/>
    <w:rsid w:val="00F0735C"/>
    <w:pPr>
      <w:spacing w:after="120" w:line="480" w:lineRule="auto"/>
    </w:pPr>
    <w:rPr>
      <w:sz w:val="20"/>
      <w:szCs w:val="20"/>
    </w:rPr>
  </w:style>
  <w:style w:customStyle="1" w:styleId="Corpsdetexte2Car" w:type="character">
    <w:name w:val="Corps de texte 2 Car"/>
    <w:basedOn w:val="Policepardfaut"/>
    <w:link w:val="Corpsdetexte2"/>
    <w:rsid w:val="00F0735C"/>
  </w:style>
  <w:style w:customStyle="1" w:styleId="Textegauchepieddepage" w:type="paragraph">
    <w:name w:val="Texte gauche pied de page"/>
    <w:rsid w:val="004C3556"/>
    <w:pPr>
      <w:framePr w:hAnchor="page" w:vAnchor="page" w:wrap="around" w:x="1135" w:yAlign="bottom"/>
      <w:spacing w:line="170" w:lineRule="atLeast"/>
    </w:pPr>
    <w:rPr>
      <w:rFonts w:asciiTheme="minorHAnsi" w:cstheme="minorBidi" w:eastAsiaTheme="minorHAnsi" w:hAnsiTheme="minorHAnsi"/>
      <w:color w:themeColor="accent2" w:val="C0504D"/>
      <w:sz w:val="14"/>
      <w:szCs w:val="22"/>
      <w:lang w:eastAsia="en-US"/>
    </w:rPr>
  </w:style>
  <w:style w:customStyle="1" w:styleId="Titrepieddepage" w:type="paragraph">
    <w:name w:val="Titre pied de page"/>
    <w:basedOn w:val="Textegauchepieddepage"/>
    <w:rsid w:val="004C3556"/>
    <w:pPr>
      <w:framePr w:wrap="around"/>
    </w:pPr>
    <w:rPr>
      <w:b/>
      <w:sz w:val="16"/>
    </w:rPr>
  </w:style>
  <w:style w:customStyle="1" w:styleId="Textedroitepieddepage" w:type="paragraph">
    <w:name w:val="Texte droite pied de page"/>
    <w:basedOn w:val="Textegauchepieddepage"/>
    <w:rsid w:val="004C3556"/>
    <w:pPr>
      <w:framePr w:wrap="around"/>
      <w:jc w:val="right"/>
    </w:pPr>
  </w:style>
  <w:style w:customStyle="1" w:styleId="Textebold" w:type="character">
    <w:name w:val="Texte bold"/>
    <w:basedOn w:val="Policepardfaut"/>
    <w:uiPriority w:val="1"/>
    <w:rsid w:val="004C3556"/>
    <w:rPr>
      <w:b/>
    </w:rPr>
  </w:style>
  <w:style w:customStyle="1" w:styleId="Default" w:type="paragraph">
    <w:name w:val="Default"/>
    <w:rsid w:val="00D37B20"/>
    <w:pPr>
      <w:autoSpaceDE w:val="0"/>
      <w:autoSpaceDN w:val="0"/>
      <w:adjustRightInd w:val="0"/>
    </w:pPr>
    <w:rPr>
      <w:rFonts w:ascii="Arial" w:cs="Arial" w:hAnsi="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992090">
      <w:bodyDiv w:val="1"/>
      <w:marLeft w:val="0"/>
      <w:marRight w:val="0"/>
      <w:marTop w:val="0"/>
      <w:marBottom w:val="0"/>
      <w:divBdr>
        <w:top w:val="none" w:sz="0" w:space="0" w:color="auto"/>
        <w:left w:val="none" w:sz="0" w:space="0" w:color="auto"/>
        <w:bottom w:val="none" w:sz="0" w:space="0" w:color="auto"/>
        <w:right w:val="none" w:sz="0" w:space="0" w:color="auto"/>
      </w:divBdr>
    </w:div>
    <w:div w:id="569116842">
      <w:bodyDiv w:val="1"/>
      <w:marLeft w:val="0"/>
      <w:marRight w:val="0"/>
      <w:marTop w:val="0"/>
      <w:marBottom w:val="0"/>
      <w:divBdr>
        <w:top w:val="none" w:sz="0" w:space="0" w:color="auto"/>
        <w:left w:val="none" w:sz="0" w:space="0" w:color="auto"/>
        <w:bottom w:val="none" w:sz="0" w:space="0" w:color="auto"/>
        <w:right w:val="none" w:sz="0" w:space="0" w:color="auto"/>
      </w:divBdr>
    </w:div>
    <w:div w:id="604194961">
      <w:bodyDiv w:val="1"/>
      <w:marLeft w:val="0"/>
      <w:marRight w:val="0"/>
      <w:marTop w:val="0"/>
      <w:marBottom w:val="0"/>
      <w:divBdr>
        <w:top w:val="none" w:sz="0" w:space="0" w:color="auto"/>
        <w:left w:val="none" w:sz="0" w:space="0" w:color="auto"/>
        <w:bottom w:val="none" w:sz="0" w:space="0" w:color="auto"/>
        <w:right w:val="none" w:sz="0" w:space="0" w:color="auto"/>
      </w:divBdr>
    </w:div>
    <w:div w:id="647393551">
      <w:bodyDiv w:val="1"/>
      <w:marLeft w:val="0"/>
      <w:marRight w:val="0"/>
      <w:marTop w:val="0"/>
      <w:marBottom w:val="0"/>
      <w:divBdr>
        <w:top w:val="none" w:sz="0" w:space="0" w:color="auto"/>
        <w:left w:val="none" w:sz="0" w:space="0" w:color="auto"/>
        <w:bottom w:val="none" w:sz="0" w:space="0" w:color="auto"/>
        <w:right w:val="none" w:sz="0" w:space="0" w:color="auto"/>
      </w:divBdr>
    </w:div>
    <w:div w:id="956716756">
      <w:bodyDiv w:val="1"/>
      <w:marLeft w:val="0"/>
      <w:marRight w:val="0"/>
      <w:marTop w:val="0"/>
      <w:marBottom w:val="0"/>
      <w:divBdr>
        <w:top w:val="none" w:sz="0" w:space="0" w:color="auto"/>
        <w:left w:val="none" w:sz="0" w:space="0" w:color="auto"/>
        <w:bottom w:val="none" w:sz="0" w:space="0" w:color="auto"/>
        <w:right w:val="none" w:sz="0" w:space="0" w:color="auto"/>
      </w:divBdr>
    </w:div>
    <w:div w:id="1366440006">
      <w:bodyDiv w:val="1"/>
      <w:marLeft w:val="0"/>
      <w:marRight w:val="0"/>
      <w:marTop w:val="0"/>
      <w:marBottom w:val="0"/>
      <w:divBdr>
        <w:top w:val="none" w:sz="0" w:space="0" w:color="auto"/>
        <w:left w:val="none" w:sz="0" w:space="0" w:color="auto"/>
        <w:bottom w:val="none" w:sz="0" w:space="0" w:color="auto"/>
        <w:right w:val="none" w:sz="0" w:space="0" w:color="auto"/>
      </w:divBdr>
    </w:div>
    <w:div w:id="1469934934">
      <w:bodyDiv w:val="1"/>
      <w:marLeft w:val="0"/>
      <w:marRight w:val="0"/>
      <w:marTop w:val="0"/>
      <w:marBottom w:val="0"/>
      <w:divBdr>
        <w:top w:val="none" w:sz="0" w:space="0" w:color="auto"/>
        <w:left w:val="none" w:sz="0" w:space="0" w:color="auto"/>
        <w:bottom w:val="none" w:sz="0" w:space="0" w:color="auto"/>
        <w:right w:val="none" w:sz="0" w:space="0" w:color="auto"/>
      </w:divBdr>
    </w:div>
    <w:div w:id="1797985703">
      <w:bodyDiv w:val="1"/>
      <w:marLeft w:val="0"/>
      <w:marRight w:val="0"/>
      <w:marTop w:val="0"/>
      <w:marBottom w:val="0"/>
      <w:divBdr>
        <w:top w:val="none" w:sz="0" w:space="0" w:color="auto"/>
        <w:left w:val="none" w:sz="0" w:space="0" w:color="auto"/>
        <w:bottom w:val="none" w:sz="0" w:space="0" w:color="auto"/>
        <w:right w:val="none" w:sz="0" w:space="0" w:color="auto"/>
      </w:divBdr>
    </w:div>
    <w:div w:id="1829906790">
      <w:bodyDiv w:val="1"/>
      <w:marLeft w:val="0"/>
      <w:marRight w:val="0"/>
      <w:marTop w:val="0"/>
      <w:marBottom w:val="0"/>
      <w:divBdr>
        <w:top w:val="none" w:sz="0" w:space="0" w:color="auto"/>
        <w:left w:val="none" w:sz="0" w:space="0" w:color="auto"/>
        <w:bottom w:val="none" w:sz="0" w:space="0" w:color="auto"/>
        <w:right w:val="none" w:sz="0" w:space="0" w:color="auto"/>
      </w:divBdr>
    </w:div>
    <w:div w:id="192625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oter2.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 Id="rId2"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AF585-D847-43FA-88F8-A5092505F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2965</Words>
  <Characters>16311</Characters>
  <Application>Microsoft Office Word</Application>
  <DocSecurity>0</DocSecurity>
  <Lines>135</Lines>
  <Paragraphs>38</Paragraphs>
  <ScaleCrop>false</ScaleCrop>
  <HeadingPairs>
    <vt:vector baseType="variant" size="2">
      <vt:variant>
        <vt:lpstr>Titre</vt:lpstr>
      </vt:variant>
      <vt:variant>
        <vt:i4>1</vt:i4>
      </vt:variant>
    </vt:vector>
  </HeadingPairs>
  <TitlesOfParts>
    <vt:vector baseType="lpstr" size="1">
      <vt:lpstr/>
    </vt:vector>
  </TitlesOfParts>
  <Company>PRECILEC</Company>
  <LinksUpToDate>false</LinksUpToDate>
  <CharactersWithSpaces>19238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2022-02-24T16:37:00Z</dcterms:created>
  <cp:lastPrinted>2020-02-28T10:25:00Z</cp:lastPrinted>
  <dcterms:modified xsi:type="dcterms:W3CDTF">2022-02-24T16:37:00Z</dcterms:modified>
  <cp:revision>2</cp:revision>
</cp:coreProperties>
</file>