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svg+xml" Extension="svg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81569F6" w14:textId="68F7C208" w:rsidP="0016488E" w:rsidR="00F6498D" w:rsidRDefault="00C01BF1" w:rsidRPr="00A63B3E">
      <w:pPr>
        <w:jc w:val="center"/>
        <w:rPr>
          <w:rFonts w:cs="Arial"/>
        </w:rPr>
      </w:pPr>
      <w:r>
        <w:rPr>
          <w:rFonts w:cs="Arial"/>
        </w:rPr>
        <w:t xml:space="preserve"> </w:t>
      </w:r>
    </w:p>
    <w:p w14:paraId="09B782E1" w14:textId="77777777" w:rsidP="00584623" w:rsidR="00B711E4" w:rsidRDefault="00B711E4" w:rsidRPr="00A63B3E">
      <w:pPr>
        <w:rPr>
          <w:rFonts w:cs="Arial"/>
          <w:b/>
          <w:sz w:val="24"/>
        </w:rPr>
      </w:pPr>
    </w:p>
    <w:p w14:paraId="7FDE53B1" w14:textId="77777777" w:rsidP="00074598" w:rsidR="00C01BF1" w:rsidRDefault="00C01BF1">
      <w:pPr>
        <w:jc w:val="center"/>
        <w:rPr>
          <w:rFonts w:cs="Arial"/>
          <w:b/>
          <w:color w:val="003684"/>
          <w:sz w:val="40"/>
          <w:szCs w:val="36"/>
        </w:rPr>
      </w:pPr>
    </w:p>
    <w:p w14:paraId="4FBBE818" w14:textId="3D4295D1" w:rsidP="00F86C7F" w:rsidR="00F86C7F" w:rsidRDefault="00E132B7" w:rsidRPr="00F86C7F">
      <w:pPr>
        <w:jc w:val="center"/>
        <w:rPr>
          <w:rFonts w:cs="Arial"/>
          <w:b/>
          <w:color w:val="0024D3"/>
          <w:sz w:val="40"/>
          <w:szCs w:val="36"/>
        </w:rPr>
      </w:pPr>
      <w:r>
        <w:rPr>
          <w:rFonts w:cs="Arial"/>
          <w:b/>
          <w:color w:val="0024D3"/>
          <w:sz w:val="40"/>
          <w:szCs w:val="36"/>
        </w:rPr>
        <w:t>ACCORD RELATIF AUX MESURES SALARIALES</w:t>
      </w:r>
      <w:r w:rsidR="003C4BF1">
        <w:rPr>
          <w:rFonts w:cs="Arial"/>
          <w:b/>
          <w:color w:val="0024D3"/>
          <w:sz w:val="40"/>
          <w:szCs w:val="36"/>
        </w:rPr>
        <w:t xml:space="preserve"> 202</w:t>
      </w:r>
      <w:r w:rsidR="00F86C7F">
        <w:rPr>
          <w:rFonts w:cs="Arial"/>
          <w:b/>
          <w:color w:val="0024D3"/>
          <w:sz w:val="40"/>
          <w:szCs w:val="36"/>
        </w:rPr>
        <w:t>3</w:t>
      </w:r>
    </w:p>
    <w:p w14:paraId="76C3BEFA" w14:textId="77777777" w:rsidP="00F86C7F" w:rsidR="00F86C7F" w:rsidRDefault="00F86C7F" w:rsidRPr="00F86C7F">
      <w:pPr>
        <w:jc w:val="center"/>
        <w:rPr>
          <w:rFonts w:cs="Arial"/>
          <w:b/>
          <w:color w:val="0024D3"/>
          <w:sz w:val="40"/>
          <w:szCs w:val="36"/>
        </w:rPr>
      </w:pPr>
    </w:p>
    <w:p w14:paraId="4E8269FE" w14:textId="3F94DCE5" w:rsidP="00F86C7F" w:rsidR="00F86C7F" w:rsidRDefault="00893C74">
      <w:pPr>
        <w:jc w:val="center"/>
        <w:rPr>
          <w:rFonts w:cs="Arial"/>
          <w:b/>
          <w:color w:val="0024D3"/>
          <w:sz w:val="40"/>
          <w:szCs w:val="36"/>
        </w:rPr>
      </w:pPr>
      <w:r>
        <w:rPr>
          <w:rFonts w:cs="Arial"/>
          <w:b/>
          <w:color w:val="0024D3"/>
          <w:sz w:val="40"/>
          <w:szCs w:val="36"/>
        </w:rPr>
        <w:t>TRECIA</w:t>
      </w:r>
    </w:p>
    <w:p w14:paraId="748FFAC9" w14:textId="5294F545" w:rsidP="00F86C7F" w:rsidR="003C4BF1" w:rsidRDefault="003C4BF1">
      <w:pPr>
        <w:jc w:val="center"/>
        <w:rPr>
          <w:rFonts w:cs="Arial"/>
          <w:b/>
          <w:color w:val="0024D3"/>
          <w:sz w:val="40"/>
          <w:szCs w:val="36"/>
        </w:rPr>
      </w:pPr>
    </w:p>
    <w:p w14:paraId="7C2901C6" w14:textId="77777777" w:rsidP="00F86C7F" w:rsidR="00F86C7F" w:rsidRDefault="00F86C7F" w:rsidRPr="00F86C7F">
      <w:pPr>
        <w:jc w:val="center"/>
        <w:rPr>
          <w:rFonts w:cs="Arial"/>
          <w:b/>
          <w:color w:val="0024D3"/>
          <w:sz w:val="40"/>
          <w:szCs w:val="36"/>
        </w:rPr>
      </w:pPr>
    </w:p>
    <w:p w14:paraId="79D755A8" w14:textId="72227600" w:rsidP="00FD602D" w:rsidR="00F6498D" w:rsidRDefault="00E132B7" w:rsidRPr="00BF105E">
      <w:pPr>
        <w:rPr>
          <w:rFonts w:cs="Arial"/>
        </w:rPr>
      </w:pPr>
      <w:r>
        <w:rPr>
          <w:rFonts w:cs="Arial"/>
        </w:rPr>
        <w:t xml:space="preserve">Protocole d’accord conclu dans le cadre de la </w:t>
      </w:r>
      <w:r w:rsidRPr="003C4BF1">
        <w:rPr>
          <w:rFonts w:cs="Arial"/>
        </w:rPr>
        <w:t xml:space="preserve">Négociation Annuelle Obligatoire </w:t>
      </w:r>
      <w:r>
        <w:rPr>
          <w:rFonts w:cs="Arial"/>
        </w:rPr>
        <w:t xml:space="preserve">prévue à l’article </w:t>
      </w:r>
      <w:r w:rsidR="003C4BF1" w:rsidRPr="003C4BF1">
        <w:rPr>
          <w:rFonts w:cs="Arial"/>
        </w:rPr>
        <w:t>L.2242-1 du Code du Travail</w:t>
      </w:r>
      <w:r>
        <w:rPr>
          <w:rFonts w:cs="Arial"/>
        </w:rPr>
        <w:t>.</w:t>
      </w:r>
    </w:p>
    <w:p w14:paraId="72B12AC5" w14:textId="77777777" w:rsidP="00FD602D" w:rsidR="00BF105E" w:rsidRDefault="00BF105E" w:rsidRPr="00BF105E">
      <w:pPr>
        <w:rPr>
          <w:rFonts w:cs="Arial"/>
        </w:rPr>
      </w:pPr>
    </w:p>
    <w:p w14:paraId="30A30F10" w14:textId="4433F956" w:rsidP="00FD602D" w:rsidR="00F6498D" w:rsidRDefault="00F6498D" w:rsidRPr="00A63B3E">
      <w:pPr>
        <w:rPr>
          <w:rFonts w:cs="Arial"/>
          <w:b/>
          <w:bCs/>
        </w:rPr>
      </w:pPr>
      <w:r w:rsidRPr="00A63B3E">
        <w:rPr>
          <w:rFonts w:cs="Arial"/>
          <w:b/>
          <w:bCs/>
        </w:rPr>
        <w:t>Entre</w:t>
      </w:r>
      <w:r w:rsidR="003C163D">
        <w:rPr>
          <w:rFonts w:cs="Arial"/>
          <w:b/>
          <w:bCs/>
        </w:rPr>
        <w:t xml:space="preserve"> </w:t>
      </w:r>
    </w:p>
    <w:p w14:paraId="7A8593B4" w14:textId="7817004E" w:rsidP="00FD602D" w:rsidR="00F6498D" w:rsidRDefault="00F6498D" w:rsidRPr="00A63B3E">
      <w:pPr>
        <w:rPr>
          <w:rFonts w:cs="Arial"/>
        </w:rPr>
      </w:pPr>
    </w:p>
    <w:p w14:paraId="37CFFFCD" w14:textId="11105F73" w:rsidP="0086223B" w:rsidR="00BF5AAF" w:rsidRDefault="00893C74" w:rsidRPr="00A63B3E">
      <w:pPr>
        <w:rPr>
          <w:rFonts w:cs="Arial"/>
        </w:rPr>
      </w:pPr>
      <w:r>
        <w:rPr>
          <w:rFonts w:cs="Arial"/>
        </w:rPr>
        <w:t>TRECIA</w:t>
      </w:r>
      <w:r w:rsidR="00BF105E">
        <w:rPr>
          <w:rFonts w:cs="Arial"/>
        </w:rPr>
        <w:t xml:space="preserve"> </w:t>
      </w:r>
      <w:r w:rsidR="00BF105E" w:rsidRPr="00BF105E">
        <w:rPr>
          <w:rFonts w:cs="Arial"/>
        </w:rPr>
        <w:t>représentée par</w:t>
      </w:r>
      <w:r w:rsidR="00384C16">
        <w:rPr>
          <w:rFonts w:cs="Arial"/>
        </w:rPr>
        <w:t xml:space="preserve"> </w:t>
      </w:r>
      <w:r>
        <w:rPr>
          <w:rFonts w:cs="Arial"/>
        </w:rPr>
        <w:t xml:space="preserve">M. </w:t>
      </w:r>
      <w:r w:rsidR="001B7E73">
        <w:rPr>
          <w:rFonts w:cs="Arial"/>
        </w:rPr>
        <w:t xml:space="preserve">          </w:t>
      </w:r>
      <w:r w:rsidR="00BF105E" w:rsidRPr="00BF105E">
        <w:rPr>
          <w:rFonts w:cs="Arial"/>
        </w:rPr>
        <w:t xml:space="preserve">Directeur </w:t>
      </w:r>
      <w:r w:rsidR="00384C16">
        <w:rPr>
          <w:rFonts w:cs="Arial"/>
        </w:rPr>
        <w:t>d</w:t>
      </w:r>
      <w:r w:rsidR="00996E5A">
        <w:rPr>
          <w:rFonts w:cs="Arial"/>
        </w:rPr>
        <w:t>’U</w:t>
      </w:r>
      <w:r w:rsidR="00384C16">
        <w:rPr>
          <w:rFonts w:cs="Arial"/>
        </w:rPr>
        <w:t>sine,</w:t>
      </w:r>
      <w:r w:rsidR="00BF105E" w:rsidRPr="00BF105E">
        <w:rPr>
          <w:rFonts w:cs="Arial"/>
        </w:rPr>
        <w:t xml:space="preserve"> dûment habilité aux fins des présentes, </w:t>
      </w:r>
    </w:p>
    <w:p w14:paraId="450C4B7A" w14:textId="77777777" w:rsidP="00FD602D" w:rsidR="00DC4A1D" w:rsidRDefault="00DC4A1D" w:rsidRPr="00A63B3E">
      <w:pPr>
        <w:rPr>
          <w:rFonts w:cs="Arial"/>
        </w:rPr>
      </w:pPr>
    </w:p>
    <w:p w14:paraId="6FE6AD10" w14:textId="77777777" w:rsidP="00F22936" w:rsidR="00F6498D" w:rsidRDefault="00F6498D" w:rsidRPr="00A63B3E">
      <w:pPr>
        <w:jc w:val="right"/>
        <w:rPr>
          <w:rFonts w:cs="Arial"/>
          <w:b/>
          <w:bCs/>
        </w:rPr>
      </w:pPr>
      <w:r w:rsidRPr="00A63B3E">
        <w:rPr>
          <w:rFonts w:cs="Arial"/>
          <w:b/>
          <w:bCs/>
        </w:rPr>
        <w:t>D’une part,</w:t>
      </w:r>
    </w:p>
    <w:p w14:paraId="223F526A" w14:textId="77777777" w:rsidP="00FD602D" w:rsidR="00F6498D" w:rsidRDefault="00F6498D" w:rsidRPr="00A63B3E">
      <w:pPr>
        <w:rPr>
          <w:rFonts w:cs="Arial"/>
          <w:b/>
          <w:bCs/>
        </w:rPr>
      </w:pPr>
      <w:r w:rsidRPr="00A63B3E">
        <w:rPr>
          <w:rFonts w:cs="Arial"/>
          <w:b/>
          <w:bCs/>
        </w:rPr>
        <w:t>Et</w:t>
      </w:r>
    </w:p>
    <w:p w14:paraId="72495F15" w14:textId="61272FB3" w:rsidP="00FD602D" w:rsidR="00F6498D" w:rsidRDefault="00F6498D" w:rsidRPr="00A63B3E">
      <w:pPr>
        <w:rPr>
          <w:rFonts w:cs="Arial"/>
        </w:rPr>
      </w:pPr>
    </w:p>
    <w:p w14:paraId="375DCC28" w14:textId="38EEE9BE" w:rsidP="00FD602D" w:rsidR="00F22936" w:rsidRDefault="00C01BF1" w:rsidRPr="00DC75BB">
      <w:pPr>
        <w:rPr>
          <w:rFonts w:cs="Arial"/>
        </w:rPr>
      </w:pPr>
      <w:r>
        <w:t xml:space="preserve">Les Organisations Syndicales Représentatives représentées par leur </w:t>
      </w:r>
      <w:r w:rsidRPr="00384C16">
        <w:t>Délégué</w:t>
      </w:r>
      <w:r w:rsidR="00996E5A">
        <w:t>(e)</w:t>
      </w:r>
      <w:r w:rsidRPr="00384C16">
        <w:t xml:space="preserve"> Syndical</w:t>
      </w:r>
      <w:r w:rsidR="00996E5A">
        <w:t xml:space="preserve">(e) </w:t>
      </w:r>
      <w:r w:rsidR="00F22936" w:rsidRPr="00384C16">
        <w:rPr>
          <w:rFonts w:cs="Arial"/>
        </w:rPr>
        <w:t>:</w:t>
      </w:r>
      <w:r w:rsidR="00F22936" w:rsidRPr="00DC75BB">
        <w:rPr>
          <w:rFonts w:cs="Arial"/>
        </w:rPr>
        <w:t xml:space="preserve"> </w:t>
      </w:r>
    </w:p>
    <w:p w14:paraId="26D4EE40" w14:textId="77777777" w:rsidP="00FD602D" w:rsidR="00F22936" w:rsidRDefault="00F22936" w:rsidRPr="00DC75BB">
      <w:pPr>
        <w:rPr>
          <w:rFonts w:cs="Arial"/>
        </w:rPr>
      </w:pPr>
    </w:p>
    <w:p w14:paraId="325453AC" w14:textId="0F1AE5D2" w:rsidP="004A7EAD" w:rsidR="00FF38ED" w:rsidRDefault="00FF38ED">
      <w:pPr>
        <w:pStyle w:val="Paragraphedeliste"/>
        <w:numPr>
          <w:ilvl w:val="0"/>
          <w:numId w:val="20"/>
        </w:numPr>
        <w:rPr>
          <w:rFonts w:cs="Arial"/>
        </w:rPr>
      </w:pPr>
      <w:r w:rsidRPr="001B7E73">
        <w:rPr>
          <w:rFonts w:cs="Arial"/>
        </w:rPr>
        <w:t xml:space="preserve">L’organisation syndicale </w:t>
      </w:r>
      <w:r w:rsidRPr="001B7E73">
        <w:rPr>
          <w:rFonts w:cs="Arial"/>
          <w:b/>
          <w:bCs/>
        </w:rPr>
        <w:t>CFDT</w:t>
      </w:r>
      <w:r w:rsidRPr="001B7E73">
        <w:rPr>
          <w:rFonts w:cs="Arial"/>
        </w:rPr>
        <w:t>, représenté</w:t>
      </w:r>
      <w:r w:rsidR="00AE6582" w:rsidRPr="001B7E73">
        <w:rPr>
          <w:rFonts w:cs="Arial"/>
        </w:rPr>
        <w:t>e</w:t>
      </w:r>
      <w:r w:rsidRPr="001B7E73">
        <w:rPr>
          <w:rFonts w:cs="Arial"/>
        </w:rPr>
        <w:t xml:space="preserve"> par </w:t>
      </w:r>
    </w:p>
    <w:p w14:paraId="15EF6635" w14:textId="77777777" w:rsidP="001B7E73" w:rsidR="001B7E73" w:rsidRDefault="001B7E73" w:rsidRPr="001B7E73"/>
    <w:p w14:paraId="6C63E5AC" w14:textId="1C30CC95" w:rsidP="00F22936" w:rsidR="00FF38ED" w:rsidRDefault="00FF38ED">
      <w:pPr>
        <w:pStyle w:val="Paragraphedeliste"/>
        <w:numPr>
          <w:ilvl w:val="0"/>
          <w:numId w:val="20"/>
        </w:numPr>
        <w:rPr>
          <w:rFonts w:cs="Arial"/>
        </w:rPr>
      </w:pPr>
      <w:r w:rsidRPr="00A63B3E">
        <w:rPr>
          <w:rFonts w:cs="Arial"/>
        </w:rPr>
        <w:t xml:space="preserve">L’organisation syndicale </w:t>
      </w:r>
      <w:r w:rsidR="00AE6582">
        <w:rPr>
          <w:rFonts w:cs="Arial"/>
          <w:b/>
          <w:bCs/>
        </w:rPr>
        <w:t>CFTC</w:t>
      </w:r>
      <w:r w:rsidRPr="00A63B3E">
        <w:rPr>
          <w:rFonts w:cs="Arial"/>
        </w:rPr>
        <w:t xml:space="preserve">, </w:t>
      </w:r>
      <w:r w:rsidR="00C01BF1" w:rsidRPr="00DC75BB">
        <w:rPr>
          <w:rFonts w:cs="Arial"/>
        </w:rPr>
        <w:t>représenté</w:t>
      </w:r>
      <w:r w:rsidR="00C01BF1" w:rsidRPr="00384C16">
        <w:rPr>
          <w:rFonts w:cs="Arial"/>
        </w:rPr>
        <w:t>e</w:t>
      </w:r>
      <w:r w:rsidR="00C01BF1" w:rsidRPr="00DC75BB">
        <w:rPr>
          <w:rFonts w:cs="Arial"/>
        </w:rPr>
        <w:t xml:space="preserve"> par </w:t>
      </w:r>
    </w:p>
    <w:p w14:paraId="02A0344B" w14:textId="5702D2EC" w:rsidP="00AE6582" w:rsidR="00AE6582" w:rsidRDefault="00AE6582"/>
    <w:p w14:paraId="26A50EDE" w14:textId="133BAFD7" w:rsidP="00BA67A0" w:rsidR="00C85C68" w:rsidRDefault="00AE6582" w:rsidRPr="001B7E73">
      <w:pPr>
        <w:pStyle w:val="Paragraphedeliste"/>
        <w:numPr>
          <w:ilvl w:val="0"/>
          <w:numId w:val="20"/>
        </w:numPr>
        <w:rPr>
          <w:rFonts w:cs="Arial"/>
        </w:rPr>
      </w:pPr>
      <w:r w:rsidRPr="001B7E73">
        <w:rPr>
          <w:rFonts w:cs="Arial"/>
        </w:rPr>
        <w:t xml:space="preserve">L’organisation syndicale </w:t>
      </w:r>
      <w:r w:rsidRPr="001B7E73">
        <w:rPr>
          <w:rFonts w:cs="Arial"/>
          <w:b/>
          <w:bCs/>
        </w:rPr>
        <w:t>CGT</w:t>
      </w:r>
      <w:r w:rsidRPr="001B7E73">
        <w:rPr>
          <w:rFonts w:cs="Arial"/>
        </w:rPr>
        <w:t xml:space="preserve">, représentée par </w:t>
      </w:r>
    </w:p>
    <w:p w14:paraId="101BDCD1" w14:textId="77777777" w:rsidP="00C01BF1" w:rsidR="00C01BF1" w:rsidRDefault="00C01BF1" w:rsidRPr="00C01BF1"/>
    <w:p w14:paraId="7AA28105" w14:textId="4BC21EC3" w:rsidP="00FD602D" w:rsidR="00FF38ED" w:rsidRDefault="00FF38ED">
      <w:pPr>
        <w:rPr>
          <w:rFonts w:cs="Arial"/>
        </w:rPr>
      </w:pPr>
    </w:p>
    <w:p w14:paraId="71230DBB" w14:textId="77777777" w:rsidP="00FD602D" w:rsidR="0062434B" w:rsidRDefault="0062434B" w:rsidRPr="00A63B3E">
      <w:pPr>
        <w:rPr>
          <w:rFonts w:cs="Arial"/>
        </w:rPr>
      </w:pPr>
    </w:p>
    <w:p w14:paraId="13011C26" w14:textId="77777777" w:rsidP="00F53F9A" w:rsidR="00F6498D" w:rsidRDefault="00F6498D" w:rsidRPr="00A63B3E">
      <w:pPr>
        <w:ind w:left="7788"/>
        <w:rPr>
          <w:rFonts w:cs="Arial"/>
          <w:b/>
          <w:bCs/>
        </w:rPr>
      </w:pPr>
      <w:r w:rsidRPr="00A63B3E">
        <w:rPr>
          <w:rFonts w:cs="Arial"/>
          <w:b/>
          <w:bCs/>
        </w:rPr>
        <w:t>D’autre part,</w:t>
      </w:r>
    </w:p>
    <w:p w14:paraId="4BCB3A49" w14:textId="77777777" w:rsidP="00FD602D" w:rsidR="00F6498D" w:rsidRDefault="00F6498D" w:rsidRPr="00A63B3E">
      <w:pPr>
        <w:rPr>
          <w:rFonts w:cs="Arial"/>
        </w:rPr>
      </w:pPr>
    </w:p>
    <w:p w14:paraId="47F92360" w14:textId="77777777" w:rsidP="00FD602D" w:rsidR="00F53F9A" w:rsidRDefault="00F53F9A">
      <w:pPr>
        <w:rPr>
          <w:rFonts w:cs="Arial"/>
          <w:b/>
          <w:bCs/>
        </w:rPr>
      </w:pPr>
    </w:p>
    <w:p w14:paraId="4FEF06A2" w14:textId="223AE1E7" w:rsidP="00FD602D" w:rsidR="00F6498D" w:rsidRDefault="00F6498D" w:rsidRPr="00A63B3E">
      <w:pPr>
        <w:rPr>
          <w:rFonts w:cs="Arial"/>
          <w:b/>
          <w:bCs/>
        </w:rPr>
      </w:pPr>
      <w:r w:rsidRPr="00A63B3E">
        <w:rPr>
          <w:rFonts w:cs="Arial"/>
          <w:b/>
          <w:bCs/>
        </w:rPr>
        <w:t>Il est convenu ce qui suit :</w:t>
      </w:r>
    </w:p>
    <w:p w14:paraId="2CE30D2D" w14:textId="698B0CF3" w:rsidP="0016488E" w:rsidR="00995C82" w:rsidRDefault="00F6498D" w:rsidRPr="00A63B3E">
      <w:pPr>
        <w:jc w:val="center"/>
        <w:rPr>
          <w:rFonts w:cs="Arial"/>
        </w:rPr>
      </w:pPr>
      <w:r w:rsidRPr="00A63B3E">
        <w:rPr>
          <w:rFonts w:cs="Arial"/>
        </w:rPr>
        <w:br w:type="page"/>
      </w:r>
      <w:bookmarkStart w:id="0" w:name="_Toc265510357"/>
    </w:p>
    <w:bookmarkEnd w:displacedByCustomXml="next" w:id="0"/>
    <w:bookmarkStart w:displacedByCustomXml="next" w:id="1" w:name="_Toc302985461"/>
    <w:bookmarkStart w:displacedByCustomXml="next" w:id="2" w:name="_Toc325526421"/>
    <w:sdt>
      <w:sdtPr>
        <w:rPr>
          <w:rFonts w:ascii="Arial" w:cs="Arial" w:eastAsia="Calibri" w:hAnsi="Arial"/>
          <w:b w:val="0"/>
          <w:bCs w:val="0"/>
          <w:color w:val="auto"/>
          <w:sz w:val="24"/>
          <w:szCs w:val="24"/>
          <w:lang w:eastAsia="en-US"/>
        </w:rPr>
        <w:id w:val="-1629847387"/>
        <w:docPartObj>
          <w:docPartGallery w:val="Table of Contents"/>
          <w:docPartUnique/>
        </w:docPartObj>
      </w:sdtPr>
      <w:sdtEndPr>
        <w:rPr>
          <w:rFonts w:cs="Times New Roman"/>
          <w:sz w:val="22"/>
          <w:szCs w:val="22"/>
        </w:rPr>
      </w:sdtEndPr>
      <w:sdtContent>
        <w:p w14:paraId="005E0A17" w14:textId="69654DB4" w:rsidP="00966F42" w:rsidR="000F08DC" w:rsidRDefault="000F08DC" w:rsidRPr="00A63B3E">
          <w:pPr>
            <w:pStyle w:val="En-ttedetabledesmatires"/>
            <w:ind w:firstLine="0"/>
            <w:jc w:val="center"/>
            <w:rPr>
              <w:rFonts w:ascii="Arial" w:cs="Arial" w:hAnsi="Arial"/>
              <w:color w:val="auto"/>
              <w:sz w:val="24"/>
              <w:szCs w:val="24"/>
            </w:rPr>
          </w:pPr>
          <w:r w:rsidRPr="00A63B3E">
            <w:rPr>
              <w:rFonts w:ascii="Arial" w:cs="Arial" w:hAnsi="Arial"/>
              <w:color w:val="auto"/>
              <w:sz w:val="24"/>
              <w:szCs w:val="24"/>
            </w:rPr>
            <w:t>TABLE DES MATIERES</w:t>
          </w:r>
        </w:p>
        <w:p w14:paraId="54FDC92C" w14:textId="4CFCAA8C" w:rsidR="00F149D8" w:rsidRDefault="000F08DC">
          <w:pPr>
            <w:pStyle w:val="TM1"/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r w:rsidRPr="00A63B3E">
            <w:fldChar w:fldCharType="begin"/>
          </w:r>
          <w:r w:rsidRPr="00A63B3E">
            <w:instrText xml:space="preserve"> TOC \o "1-3" \h \z \u </w:instrText>
          </w:r>
          <w:r w:rsidRPr="00A63B3E">
            <w:fldChar w:fldCharType="separate"/>
          </w:r>
          <w:hyperlink w:anchor="_Toc126223296" w:history="1">
            <w:r w:rsidR="00F149D8" w:rsidRPr="00A452C2">
              <w:rPr>
                <w:rStyle w:val="Lienhypertexte"/>
                <w:noProof/>
              </w:rPr>
              <w:t>PREAMBULE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_Toc126223296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3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271B8450" w14:textId="084BA161" w:rsidR="00F149D8" w:rsidRDefault="001B7E73">
          <w:pPr>
            <w:pStyle w:val="TM1"/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223297" w:history="1">
            <w:r w:rsidR="00F149D8" w:rsidRPr="00A452C2">
              <w:rPr>
                <w:rStyle w:val="Lienhypertexte"/>
                <w:noProof/>
              </w:rPr>
              <w:t>TITRE 1 – MESURES EN FAVEUR DES SALARIES NON-CADRES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_Toc126223297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4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65AFB70B" w14:textId="693431EA" w:rsidR="00F149D8" w:rsidRDefault="001B7E73">
          <w:pPr>
            <w:pStyle w:val="TM2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223298" w:history="1">
            <w:r w:rsidR="00F149D8" w:rsidRPr="00A452C2">
              <w:rPr>
                <w:rStyle w:val="Lienhypertexte"/>
                <w:noProof/>
              </w:rPr>
              <w:t>Article 1.1 – Mesures en faveur des salariés Non-Cadres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_Toc126223298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4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210E13DD" w14:textId="5AC76692" w:rsidR="00F149D8" w:rsidRDefault="001B7E73">
          <w:pPr>
            <w:pStyle w:val="TM3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Cs w:val="0"/>
              <w:noProof/>
              <w:szCs w:val="28"/>
              <w:lang w:bidi="th-TH" w:eastAsia="zh-CN"/>
            </w:rPr>
          </w:pPr>
          <w:hyperlink w:anchor="_Toc126223299" w:history="1">
            <w:r w:rsidR="00F149D8" w:rsidRPr="00A452C2">
              <w:rPr>
                <w:rStyle w:val="Lienhypertexte"/>
                <w:b/>
                <w:noProof/>
              </w:rPr>
              <w:t>Article 1.1.1 – Budget global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_Toc126223299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4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341CCA38" w14:textId="1C651A31" w:rsidR="00F149D8" w:rsidRDefault="001B7E73">
          <w:pPr>
            <w:pStyle w:val="TM3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Cs w:val="0"/>
              <w:noProof/>
              <w:szCs w:val="28"/>
              <w:lang w:bidi="th-TH" w:eastAsia="zh-CN"/>
            </w:rPr>
          </w:pPr>
          <w:hyperlink w:anchor="_Toc126223300" w:history="1">
            <w:r w:rsidR="00F149D8" w:rsidRPr="00A452C2">
              <w:rPr>
                <w:rStyle w:val="Lienhypertexte"/>
                <w:b/>
                <w:noProof/>
              </w:rPr>
              <w:t>Article 1.1.2 – Mesure spécifique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_Toc126223300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4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4F86A461" w14:textId="52A62091" w:rsidR="00F149D8" w:rsidRDefault="001B7E73">
          <w:pPr>
            <w:pStyle w:val="TM2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223301" w:history="1">
            <w:r w:rsidR="00F149D8" w:rsidRPr="00A452C2">
              <w:rPr>
                <w:rStyle w:val="Lienhypertexte"/>
                <w:noProof/>
              </w:rPr>
              <w:t>Article 1.2 – Mesure relative aux primes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_Toc126223301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4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7B5CF580" w14:textId="292C6575" w:rsidR="00F149D8" w:rsidRDefault="001B7E73">
          <w:pPr>
            <w:pStyle w:val="TM1"/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223302" w:history="1">
            <w:r w:rsidR="00F149D8" w:rsidRPr="00A452C2">
              <w:rPr>
                <w:rStyle w:val="Lienhypertexte"/>
                <w:noProof/>
              </w:rPr>
              <w:t>TITRE 2 – MESURES EN FAVEUR DES SALARIES CADRES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_Toc126223302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4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38432EA7" w14:textId="5EB0685F" w:rsidR="00F149D8" w:rsidRDefault="001B7E73">
          <w:pPr>
            <w:pStyle w:val="TM1"/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223303" w:history="1">
            <w:r w:rsidR="00F149D8" w:rsidRPr="00A452C2">
              <w:rPr>
                <w:rStyle w:val="Lienhypertexte"/>
                <w:noProof/>
              </w:rPr>
              <w:t>TITRE 3 – DISPOSITIONS FINALES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_Toc126223303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5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04619FF4" w14:textId="61A17B16" w:rsidR="00F149D8" w:rsidRDefault="001B7E73">
          <w:pPr>
            <w:pStyle w:val="TM2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223304" w:history="1">
            <w:r w:rsidR="00F149D8" w:rsidRPr="00A452C2">
              <w:rPr>
                <w:rStyle w:val="Lienhypertexte"/>
                <w:noProof/>
              </w:rPr>
              <w:t>Article 3.1 : Durée de validité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_Toc126223304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5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3041FA9B" w14:textId="28CE7FD7" w:rsidR="00F149D8" w:rsidRDefault="001B7E73">
          <w:pPr>
            <w:pStyle w:val="TM2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223305" w:history="1">
            <w:r w:rsidR="00F149D8" w:rsidRPr="00A452C2">
              <w:rPr>
                <w:rStyle w:val="Lienhypertexte"/>
                <w:noProof/>
              </w:rPr>
              <w:t>Article 3.2</w:t>
            </w:r>
            <w:r w:rsidR="00F149D8" w:rsidRPr="00A452C2">
              <w:rPr>
                <w:rStyle w:val="Lienhypertexte"/>
                <w:noProof/>
                <w:spacing w:val="1"/>
              </w:rPr>
              <w:t xml:space="preserve"> </w:t>
            </w:r>
            <w:r w:rsidR="00F149D8" w:rsidRPr="00A452C2">
              <w:rPr>
                <w:rStyle w:val="Lienhypertexte"/>
                <w:noProof/>
              </w:rPr>
              <w:t>: Formalités</w:t>
            </w:r>
            <w:r w:rsidR="00F149D8" w:rsidRPr="00A452C2">
              <w:rPr>
                <w:rStyle w:val="Lienhypertexte"/>
                <w:noProof/>
                <w:spacing w:val="-2"/>
              </w:rPr>
              <w:t xml:space="preserve"> de</w:t>
            </w:r>
            <w:r w:rsidR="00F149D8" w:rsidRPr="00A452C2">
              <w:rPr>
                <w:rStyle w:val="Lienhypertexte"/>
                <w:noProof/>
              </w:rPr>
              <w:t xml:space="preserve"> notification et de dépôt</w:t>
            </w:r>
            <w:r w:rsidR="00F149D8">
              <w:rPr>
                <w:noProof/>
                <w:webHidden/>
              </w:rPr>
              <w:tab/>
            </w:r>
            <w:r w:rsidR="00F149D8">
              <w:rPr>
                <w:noProof/>
                <w:webHidden/>
              </w:rPr>
              <w:fldChar w:fldCharType="begin"/>
            </w:r>
            <w:r w:rsidR="00F149D8">
              <w:rPr>
                <w:noProof/>
                <w:webHidden/>
              </w:rPr>
              <w:instrText xml:space="preserve"> PAGEREF _Toc126223305 \h </w:instrText>
            </w:r>
            <w:r w:rsidR="00F149D8">
              <w:rPr>
                <w:noProof/>
                <w:webHidden/>
              </w:rPr>
            </w:r>
            <w:r w:rsidR="00F149D8">
              <w:rPr>
                <w:noProof/>
                <w:webHidden/>
              </w:rPr>
              <w:fldChar w:fldCharType="separate"/>
            </w:r>
            <w:r w:rsidR="00F149D8">
              <w:rPr>
                <w:noProof/>
                <w:webHidden/>
              </w:rPr>
              <w:t>5</w:t>
            </w:r>
            <w:r w:rsidR="00F149D8">
              <w:rPr>
                <w:noProof/>
                <w:webHidden/>
              </w:rPr>
              <w:fldChar w:fldCharType="end"/>
            </w:r>
          </w:hyperlink>
        </w:p>
        <w:p w14:paraId="32B5D206" w14:textId="6E37D12A" w:rsidR="000F08DC" w:rsidRDefault="000F08DC" w:rsidRPr="00A63B3E">
          <w:r w:rsidRPr="00A63B3E">
            <w:rPr>
              <w:b/>
              <w:bCs/>
            </w:rPr>
            <w:fldChar w:fldCharType="end"/>
          </w:r>
        </w:p>
      </w:sdtContent>
    </w:sdt>
    <w:p w14:paraId="3BB3E107" w14:textId="77777777" w:rsidP="001D00C6" w:rsidR="009F2ED5" w:rsidRDefault="009F2ED5" w:rsidRPr="00A63B3E">
      <w:pPr>
        <w:pStyle w:val="Titre1"/>
      </w:pPr>
      <w:bookmarkStart w:id="3" w:name="_Toc84243376"/>
      <w:bookmarkStart w:id="4" w:name="_Toc84243433"/>
      <w:bookmarkStart w:id="5" w:name="_Toc84248076"/>
    </w:p>
    <w:p w14:paraId="0B657B1F" w14:textId="77777777" w:rsidP="001D00C6" w:rsidR="009F2ED5" w:rsidRDefault="009F2ED5" w:rsidRPr="00A63B3E">
      <w:pPr>
        <w:pStyle w:val="Titre1"/>
      </w:pPr>
    </w:p>
    <w:p w14:paraId="2908180E" w14:textId="77777777" w:rsidP="001D00C6" w:rsidR="009F2ED5" w:rsidRDefault="009F2ED5" w:rsidRPr="00A63B3E">
      <w:pPr>
        <w:pStyle w:val="Titre1"/>
      </w:pPr>
    </w:p>
    <w:p w14:paraId="3E9D6ECA" w14:textId="77777777" w:rsidP="001D00C6" w:rsidR="009F2ED5" w:rsidRDefault="009F2ED5" w:rsidRPr="00A63B3E">
      <w:pPr>
        <w:pStyle w:val="Titre1"/>
      </w:pPr>
    </w:p>
    <w:p w14:paraId="56CBF623" w14:textId="77777777" w:rsidP="001D00C6" w:rsidR="009F2ED5" w:rsidRDefault="009F2ED5" w:rsidRPr="00A63B3E">
      <w:pPr>
        <w:pStyle w:val="Titre1"/>
      </w:pPr>
    </w:p>
    <w:p w14:paraId="64DEB911" w14:textId="77777777" w:rsidP="001D00C6" w:rsidR="009F2ED5" w:rsidRDefault="009F2ED5" w:rsidRPr="00A63B3E">
      <w:pPr>
        <w:pStyle w:val="Titre1"/>
      </w:pPr>
    </w:p>
    <w:p w14:paraId="64121988" w14:textId="77777777" w:rsidP="001D00C6" w:rsidR="009F2ED5" w:rsidRDefault="009F2ED5" w:rsidRPr="00A63B3E">
      <w:pPr>
        <w:pStyle w:val="Titre1"/>
      </w:pPr>
    </w:p>
    <w:p w14:paraId="7FDC55C6" w14:textId="77777777" w:rsidP="001D00C6" w:rsidR="009F2ED5" w:rsidRDefault="009F2ED5" w:rsidRPr="00A63B3E">
      <w:pPr>
        <w:pStyle w:val="Titre1"/>
      </w:pPr>
    </w:p>
    <w:p w14:paraId="45FA4435" w14:textId="77777777" w:rsidP="001D00C6" w:rsidR="009F2ED5" w:rsidRDefault="009F2ED5" w:rsidRPr="00A63B3E">
      <w:pPr>
        <w:pStyle w:val="Titre1"/>
      </w:pPr>
    </w:p>
    <w:p w14:paraId="778DC33E" w14:textId="35CE088C" w:rsidR="00C01BF1" w:rsidRDefault="00C01BF1">
      <w:pPr>
        <w:widowControl/>
        <w:spacing w:after="200" w:line="276" w:lineRule="auto"/>
        <w:jc w:val="left"/>
        <w:rPr>
          <w:rFonts w:cs="Arial"/>
          <w:b/>
        </w:rPr>
      </w:pPr>
      <w:r>
        <w:br w:type="page"/>
      </w:r>
    </w:p>
    <w:p w14:paraId="3C2ABFFF" w14:textId="77777777" w:rsidP="001D00C6" w:rsidR="009F2ED5" w:rsidRDefault="009F2ED5" w:rsidRPr="00A63B3E">
      <w:pPr>
        <w:pStyle w:val="Titre1"/>
      </w:pPr>
    </w:p>
    <w:p w14:paraId="3875B738" w14:textId="77777777" w:rsidP="00F91874" w:rsidR="00E26DE2" w:rsidRDefault="00E26DE2">
      <w:pPr>
        <w:pStyle w:val="Titre1"/>
        <w:ind w:firstLine="0"/>
      </w:pPr>
    </w:p>
    <w:p w14:paraId="7C1C7D8C" w14:textId="5655E66D" w:rsidP="00F91874" w:rsidR="0016488E" w:rsidRDefault="0016488E" w:rsidRPr="007109B5">
      <w:pPr>
        <w:pStyle w:val="Titre1"/>
        <w:ind w:firstLine="0"/>
      </w:pPr>
      <w:bookmarkStart w:id="6" w:name="_Toc126223296"/>
      <w:r w:rsidRPr="007109B5">
        <w:t>PREAMBULE</w:t>
      </w:r>
      <w:bookmarkEnd w:id="3"/>
      <w:bookmarkEnd w:id="4"/>
      <w:bookmarkEnd w:id="5"/>
      <w:bookmarkEnd w:id="6"/>
    </w:p>
    <w:p w14:paraId="6C094B7C" w14:textId="77777777" w:rsidP="0016488E" w:rsidR="0016488E" w:rsidRDefault="0016488E" w:rsidRPr="007109B5">
      <w:pPr>
        <w:pStyle w:val="Corpsdetexte"/>
        <w:ind w:left="0"/>
        <w:rPr>
          <w:rFonts w:cs="Arial"/>
        </w:rPr>
      </w:pPr>
    </w:p>
    <w:p w14:paraId="3BA1B5FB" w14:textId="4B583376" w:rsidP="0016488E" w:rsidR="0016488E" w:rsidRDefault="0016488E">
      <w:pPr>
        <w:pStyle w:val="Corpsdetexte"/>
        <w:ind w:left="0"/>
        <w:rPr>
          <w:rFonts w:cs="Arial"/>
          <w:sz w:val="22"/>
          <w:szCs w:val="22"/>
        </w:rPr>
      </w:pPr>
    </w:p>
    <w:p w14:paraId="600DDF8D" w14:textId="40A83822" w:rsidP="00150EE6" w:rsidR="00150EE6" w:rsidRDefault="00150EE6" w:rsidRPr="00150EE6">
      <w:pPr>
        <w:pStyle w:val="Corpsdetexte"/>
        <w:ind w:left="0"/>
        <w:rPr>
          <w:rFonts w:cs="Arial"/>
          <w:sz w:val="22"/>
          <w:szCs w:val="22"/>
        </w:rPr>
      </w:pPr>
      <w:r w:rsidRPr="00150EE6">
        <w:rPr>
          <w:rFonts w:cs="Arial"/>
          <w:sz w:val="22"/>
          <w:szCs w:val="22"/>
        </w:rPr>
        <w:t>La négociation annuelle obligatoire 202</w:t>
      </w:r>
      <w:r>
        <w:rPr>
          <w:rFonts w:cs="Arial"/>
          <w:sz w:val="22"/>
          <w:szCs w:val="22"/>
        </w:rPr>
        <w:t>3</w:t>
      </w:r>
      <w:r w:rsidRPr="00150EE6">
        <w:rPr>
          <w:rFonts w:cs="Arial"/>
          <w:sz w:val="22"/>
          <w:szCs w:val="22"/>
        </w:rPr>
        <w:t xml:space="preserve"> a fait l’objet de réunions qui se sont tenues </w:t>
      </w:r>
      <w:r w:rsidRPr="00384C16">
        <w:rPr>
          <w:rFonts w:cs="Arial"/>
          <w:sz w:val="22"/>
          <w:szCs w:val="22"/>
        </w:rPr>
        <w:t xml:space="preserve">les </w:t>
      </w:r>
      <w:r w:rsidR="00384C16" w:rsidRPr="00384C16">
        <w:rPr>
          <w:rFonts w:cs="Arial"/>
          <w:sz w:val="22"/>
          <w:szCs w:val="22"/>
        </w:rPr>
        <w:t>1</w:t>
      </w:r>
      <w:r w:rsidR="001144A8">
        <w:rPr>
          <w:rFonts w:cs="Arial"/>
          <w:sz w:val="22"/>
          <w:szCs w:val="22"/>
        </w:rPr>
        <w:t>3</w:t>
      </w:r>
      <w:r w:rsidR="008726E2">
        <w:rPr>
          <w:rFonts w:cs="Arial"/>
          <w:sz w:val="22"/>
          <w:szCs w:val="22"/>
        </w:rPr>
        <w:t xml:space="preserve"> janvier</w:t>
      </w:r>
      <w:r w:rsidR="00384C16" w:rsidRPr="00384C16">
        <w:rPr>
          <w:rFonts w:cs="Arial"/>
          <w:sz w:val="22"/>
          <w:szCs w:val="22"/>
        </w:rPr>
        <w:t>, 2</w:t>
      </w:r>
      <w:r w:rsidR="001144A8">
        <w:rPr>
          <w:rFonts w:cs="Arial"/>
          <w:sz w:val="22"/>
          <w:szCs w:val="22"/>
        </w:rPr>
        <w:t>0 janvier</w:t>
      </w:r>
      <w:r w:rsidR="00384C16" w:rsidRPr="00384C16">
        <w:rPr>
          <w:rFonts w:cs="Arial"/>
          <w:sz w:val="22"/>
          <w:szCs w:val="22"/>
        </w:rPr>
        <w:t xml:space="preserve"> et </w:t>
      </w:r>
      <w:r w:rsidR="001144A8">
        <w:rPr>
          <w:rFonts w:cs="Arial"/>
          <w:sz w:val="22"/>
          <w:szCs w:val="22"/>
        </w:rPr>
        <w:t>1</w:t>
      </w:r>
      <w:r w:rsidR="001144A8" w:rsidRPr="001144A8">
        <w:rPr>
          <w:rFonts w:cs="Arial"/>
          <w:sz w:val="22"/>
          <w:szCs w:val="22"/>
          <w:vertAlign w:val="superscript"/>
        </w:rPr>
        <w:t>er</w:t>
      </w:r>
      <w:r w:rsidR="001144A8">
        <w:rPr>
          <w:rFonts w:cs="Arial"/>
          <w:sz w:val="22"/>
          <w:szCs w:val="22"/>
        </w:rPr>
        <w:t xml:space="preserve"> février</w:t>
      </w:r>
      <w:r w:rsidRPr="00384C16">
        <w:rPr>
          <w:rFonts w:cs="Arial"/>
          <w:sz w:val="22"/>
          <w:szCs w:val="22"/>
        </w:rPr>
        <w:t xml:space="preserve"> 2023.</w:t>
      </w:r>
    </w:p>
    <w:p w14:paraId="0F46118C" w14:textId="77777777" w:rsidP="00150EE6" w:rsidR="00150EE6" w:rsidRDefault="00150EE6" w:rsidRPr="00150EE6">
      <w:pPr>
        <w:pStyle w:val="Corpsdetexte"/>
        <w:rPr>
          <w:rFonts w:cs="Arial"/>
          <w:sz w:val="22"/>
          <w:szCs w:val="22"/>
        </w:rPr>
      </w:pPr>
    </w:p>
    <w:p w14:paraId="11BB1D59" w14:textId="68005024" w:rsidP="00150EE6" w:rsidR="00150EE6" w:rsidRDefault="00150EE6">
      <w:pPr>
        <w:pStyle w:val="Corpsdetexte"/>
        <w:ind w:left="0"/>
        <w:rPr>
          <w:rFonts w:cs="Arial"/>
          <w:sz w:val="22"/>
          <w:szCs w:val="22"/>
        </w:rPr>
      </w:pPr>
      <w:r w:rsidRPr="00150EE6">
        <w:rPr>
          <w:rFonts w:cs="Arial"/>
          <w:sz w:val="22"/>
          <w:szCs w:val="22"/>
        </w:rPr>
        <w:t xml:space="preserve">Au cours de la première réunion, la Direction a exposé le contexte économique du Groupe dans le Monde, en Europe, en France, la situation de </w:t>
      </w:r>
      <w:r w:rsidR="00FE7DD5">
        <w:rPr>
          <w:rFonts w:cs="Arial"/>
        </w:rPr>
        <w:t>TRECIA</w:t>
      </w:r>
      <w:r w:rsidR="00FE7DD5" w:rsidRPr="00150EE6">
        <w:rPr>
          <w:rFonts w:cs="Arial"/>
          <w:sz w:val="22"/>
          <w:szCs w:val="22"/>
        </w:rPr>
        <w:t xml:space="preserve"> </w:t>
      </w:r>
      <w:r w:rsidRPr="00150EE6">
        <w:rPr>
          <w:rFonts w:cs="Arial"/>
          <w:sz w:val="22"/>
          <w:szCs w:val="22"/>
        </w:rPr>
        <w:t>et l’évolution du marché automobile.</w:t>
      </w:r>
    </w:p>
    <w:p w14:paraId="14F6C451" w14:textId="59D6122B" w:rsidP="00150EE6" w:rsidR="00E81F1C" w:rsidRDefault="00E81F1C">
      <w:pPr>
        <w:pStyle w:val="Corpsdetexte"/>
        <w:ind w:left="0"/>
        <w:rPr>
          <w:rFonts w:cs="Arial"/>
          <w:sz w:val="22"/>
          <w:szCs w:val="22"/>
        </w:rPr>
      </w:pPr>
    </w:p>
    <w:p w14:paraId="27E1440B" w14:textId="29979969" w:rsidP="00E81F1C" w:rsidR="002116E4" w:rsidRDefault="00E81F1C">
      <w:pPr>
        <w:rPr>
          <w:rFonts w:cs="Arial"/>
        </w:rPr>
      </w:pPr>
      <w:r>
        <w:rPr>
          <w:rFonts w:cs="Arial"/>
        </w:rPr>
        <w:t>Il est ici rappelé que l’exercice</w:t>
      </w:r>
      <w:r w:rsidRPr="00F86C7F">
        <w:rPr>
          <w:rFonts w:cs="Arial"/>
        </w:rPr>
        <w:t xml:space="preserve"> 2022 a été </w:t>
      </w:r>
      <w:r>
        <w:rPr>
          <w:rFonts w:cs="Arial"/>
        </w:rPr>
        <w:t xml:space="preserve">fortement </w:t>
      </w:r>
      <w:r w:rsidRPr="00F86C7F">
        <w:rPr>
          <w:rFonts w:cs="Arial"/>
        </w:rPr>
        <w:t>pénalisé par</w:t>
      </w:r>
      <w:r>
        <w:rPr>
          <w:rFonts w:cs="Arial"/>
        </w:rPr>
        <w:t xml:space="preserve"> l</w:t>
      </w:r>
      <w:r w:rsidRPr="00F86C7F">
        <w:rPr>
          <w:rFonts w:cs="Arial"/>
        </w:rPr>
        <w:t>a poursuite de la crise des semi-conducteurs</w:t>
      </w:r>
      <w:r>
        <w:rPr>
          <w:rFonts w:cs="Arial"/>
        </w:rPr>
        <w:t>, l</w:t>
      </w:r>
      <w:r w:rsidRPr="00F86C7F">
        <w:rPr>
          <w:rFonts w:cs="Arial"/>
        </w:rPr>
        <w:t>a crise géopolitique en Europe avec la guerre en Ukraine</w:t>
      </w:r>
      <w:r>
        <w:rPr>
          <w:rFonts w:cs="Arial"/>
        </w:rPr>
        <w:t xml:space="preserve">, les </w:t>
      </w:r>
      <w:r w:rsidRPr="00F86C7F">
        <w:rPr>
          <w:rFonts w:cs="Arial"/>
        </w:rPr>
        <w:t xml:space="preserve">jours de fermeture des constructeurs entrainant des </w:t>
      </w:r>
      <w:r w:rsidRPr="00E81F1C">
        <w:rPr>
          <w:rFonts w:cs="Arial"/>
          <w:i/>
          <w:iCs/>
        </w:rPr>
        <w:t>«</w:t>
      </w:r>
      <w:r>
        <w:rPr>
          <w:rFonts w:cs="Arial"/>
        </w:rPr>
        <w:t> </w:t>
      </w:r>
      <w:r w:rsidRPr="00F86C7F">
        <w:rPr>
          <w:rFonts w:cs="Arial"/>
          <w:i/>
          <w:iCs/>
        </w:rPr>
        <w:t>Stop &amp; Go</w:t>
      </w:r>
      <w:r>
        <w:rPr>
          <w:rFonts w:cs="Arial"/>
          <w:i/>
          <w:iCs/>
        </w:rPr>
        <w:t> »</w:t>
      </w:r>
      <w:r>
        <w:rPr>
          <w:rFonts w:cs="Arial"/>
        </w:rPr>
        <w:t>, l</w:t>
      </w:r>
      <w:r w:rsidRPr="00F86C7F">
        <w:rPr>
          <w:rFonts w:cs="Arial"/>
        </w:rPr>
        <w:t xml:space="preserve">a résurgence de la crise sanitaire en Chine (2 mois de </w:t>
      </w:r>
      <w:r>
        <w:rPr>
          <w:rFonts w:cs="Arial"/>
        </w:rPr>
        <w:t>confinement</w:t>
      </w:r>
      <w:r w:rsidRPr="00F86C7F">
        <w:rPr>
          <w:rFonts w:cs="Arial"/>
        </w:rPr>
        <w:t xml:space="preserve"> en avril et mai)</w:t>
      </w:r>
      <w:r>
        <w:rPr>
          <w:rFonts w:cs="Arial"/>
        </w:rPr>
        <w:t xml:space="preserve"> ainsi que par l’</w:t>
      </w:r>
      <w:r w:rsidRPr="00F86C7F">
        <w:rPr>
          <w:rFonts w:cs="Arial"/>
        </w:rPr>
        <w:t>inflation des prix des matières premières, des coûts logistiques et de l’énergie</w:t>
      </w:r>
      <w:r>
        <w:rPr>
          <w:rFonts w:cs="Arial"/>
        </w:rPr>
        <w:t xml:space="preserve">. </w:t>
      </w:r>
    </w:p>
    <w:p w14:paraId="68D5CBFF" w14:textId="4C92695F" w:rsidP="00E81F1C" w:rsidR="00E81F1C" w:rsidRDefault="002116E4" w:rsidRPr="00A63B3E">
      <w:pPr>
        <w:rPr>
          <w:rFonts w:cs="Arial"/>
        </w:rPr>
      </w:pPr>
      <w:r w:rsidRPr="002116E4">
        <w:rPr>
          <w:rFonts w:cs="Arial"/>
        </w:rPr>
        <w:t>A ce jour, le consensus des analystes prévoit un résultat net consolidé négatif (perte) pour le Groupe sur l’année 2022</w:t>
      </w:r>
      <w:r>
        <w:rPr>
          <w:rFonts w:cs="Arial"/>
        </w:rPr>
        <w:t>.</w:t>
      </w:r>
    </w:p>
    <w:p w14:paraId="55126923" w14:textId="77777777" w:rsidP="002116E4" w:rsidR="002116E4" w:rsidRDefault="002116E4">
      <w:pPr>
        <w:rPr>
          <w:rFonts w:cs="Arial"/>
        </w:rPr>
      </w:pPr>
    </w:p>
    <w:p w14:paraId="1BB44E2A" w14:textId="3AFB0669" w:rsidP="002116E4" w:rsidR="002116E4" w:rsidRDefault="002116E4">
      <w:pPr>
        <w:rPr>
          <w:rFonts w:cs="Arial"/>
        </w:rPr>
      </w:pPr>
      <w:r w:rsidRPr="00D566B1">
        <w:rPr>
          <w:rFonts w:cs="Arial"/>
        </w:rPr>
        <w:t xml:space="preserve">Concernant la société </w:t>
      </w:r>
      <w:r w:rsidR="005D73A0" w:rsidRPr="00D566B1">
        <w:rPr>
          <w:rFonts w:cs="Arial"/>
        </w:rPr>
        <w:t>TRECIA</w:t>
      </w:r>
      <w:r w:rsidRPr="00D566B1">
        <w:rPr>
          <w:rFonts w:cs="Arial"/>
        </w:rPr>
        <w:t xml:space="preserve">, </w:t>
      </w:r>
      <w:r w:rsidR="001B5353" w:rsidRPr="00D566B1">
        <w:rPr>
          <w:rFonts w:cs="Arial"/>
        </w:rPr>
        <w:t xml:space="preserve">il a été rappelé que la crise des semi-conducteurs et les difficultés d’approvisionnement </w:t>
      </w:r>
      <w:r w:rsidR="00455B3C" w:rsidRPr="00D566B1">
        <w:rPr>
          <w:rFonts w:cs="Arial"/>
        </w:rPr>
        <w:t xml:space="preserve">rencontrées par nos clients </w:t>
      </w:r>
      <w:r w:rsidR="00D566B1" w:rsidRPr="00D566B1">
        <w:rPr>
          <w:rFonts w:cs="Arial"/>
        </w:rPr>
        <w:t>ont</w:t>
      </w:r>
      <w:r w:rsidR="001B5353" w:rsidRPr="00D566B1">
        <w:rPr>
          <w:rFonts w:cs="Arial"/>
        </w:rPr>
        <w:t xml:space="preserve"> donné lieu à l’annulation en 2022 de 37 séances de travail</w:t>
      </w:r>
      <w:r w:rsidR="00455B3C" w:rsidRPr="00D566B1">
        <w:rPr>
          <w:rFonts w:cs="Arial"/>
        </w:rPr>
        <w:t xml:space="preserve"> </w:t>
      </w:r>
      <w:r w:rsidR="00D566B1" w:rsidRPr="00D566B1">
        <w:rPr>
          <w:rFonts w:cs="Arial"/>
        </w:rPr>
        <w:t>chez</w:t>
      </w:r>
      <w:r w:rsidR="00455B3C" w:rsidRPr="00D566B1">
        <w:rPr>
          <w:rFonts w:cs="Arial"/>
        </w:rPr>
        <w:t xml:space="preserve"> notre client principal</w:t>
      </w:r>
      <w:r w:rsidR="00D566B1">
        <w:rPr>
          <w:rFonts w:cs="Arial"/>
        </w:rPr>
        <w:t xml:space="preserve">, </w:t>
      </w:r>
      <w:proofErr w:type="spellStart"/>
      <w:r w:rsidR="00D566B1">
        <w:rPr>
          <w:rFonts w:cs="Arial"/>
        </w:rPr>
        <w:t>Stellantis</w:t>
      </w:r>
      <w:proofErr w:type="spellEnd"/>
      <w:r w:rsidR="00D566B1">
        <w:rPr>
          <w:rFonts w:cs="Arial"/>
        </w:rPr>
        <w:t xml:space="preserve"> Mulhouse. </w:t>
      </w:r>
    </w:p>
    <w:p w14:paraId="0366CB18" w14:textId="77777777" w:rsidP="0016488E" w:rsidR="00150EE6" w:rsidRDefault="00150EE6" w:rsidRPr="007109B5">
      <w:pPr>
        <w:pStyle w:val="Corpsdetexte"/>
        <w:ind w:left="0"/>
        <w:rPr>
          <w:rFonts w:cs="Arial"/>
          <w:sz w:val="22"/>
          <w:szCs w:val="22"/>
        </w:rPr>
      </w:pPr>
    </w:p>
    <w:p w14:paraId="0989745C" w14:textId="35033566" w:rsidP="00E81F1C" w:rsidR="00E81F1C" w:rsidRDefault="00F86C7F">
      <w:pPr>
        <w:rPr>
          <w:rFonts w:cs="Arial"/>
        </w:rPr>
      </w:pPr>
      <w:r w:rsidRPr="00F86C7F">
        <w:rPr>
          <w:rFonts w:cs="Arial"/>
        </w:rPr>
        <w:t xml:space="preserve">Les Négociations Annuelles Obligatoires </w:t>
      </w:r>
      <w:r w:rsidR="00E81F1C">
        <w:rPr>
          <w:rFonts w:cs="Arial"/>
        </w:rPr>
        <w:t xml:space="preserve">(NAO) </w:t>
      </w:r>
      <w:r w:rsidRPr="00F86C7F">
        <w:rPr>
          <w:rFonts w:cs="Arial"/>
        </w:rPr>
        <w:t xml:space="preserve">2023 </w:t>
      </w:r>
      <w:r w:rsidR="00E81F1C">
        <w:rPr>
          <w:rFonts w:cs="Arial"/>
        </w:rPr>
        <w:t>ont par ailleurs été</w:t>
      </w:r>
      <w:r w:rsidRPr="00F86C7F">
        <w:rPr>
          <w:rFonts w:cs="Arial"/>
        </w:rPr>
        <w:t xml:space="preserve"> menées dans un contexte </w:t>
      </w:r>
      <w:r w:rsidR="00E81F1C">
        <w:rPr>
          <w:rFonts w:cs="Arial"/>
        </w:rPr>
        <w:t>exceptionnel</w:t>
      </w:r>
      <w:r w:rsidRPr="00F86C7F">
        <w:rPr>
          <w:rFonts w:cs="Arial"/>
        </w:rPr>
        <w:t xml:space="preserve"> </w:t>
      </w:r>
      <w:r w:rsidR="00C46D78">
        <w:rPr>
          <w:rFonts w:cs="Arial"/>
        </w:rPr>
        <w:t>de</w:t>
      </w:r>
      <w:r w:rsidRPr="00F86C7F">
        <w:rPr>
          <w:rFonts w:cs="Arial"/>
        </w:rPr>
        <w:t xml:space="preserve"> forte inflation. Cette situation a</w:t>
      </w:r>
      <w:r w:rsidR="00E81F1C">
        <w:rPr>
          <w:rFonts w:cs="Arial"/>
        </w:rPr>
        <w:t xml:space="preserve"> conduit la Direction, en réponse à une demande des Organisations Syndicales, a une </w:t>
      </w:r>
      <w:r w:rsidRPr="00F86C7F">
        <w:rPr>
          <w:rFonts w:cs="Arial"/>
        </w:rPr>
        <w:t>anticipation exceptionnelle des NAO 2023</w:t>
      </w:r>
      <w:r w:rsidR="00E81F1C">
        <w:rPr>
          <w:rFonts w:cs="Arial"/>
        </w:rPr>
        <w:t xml:space="preserve">. </w:t>
      </w:r>
    </w:p>
    <w:p w14:paraId="3B92B126" w14:textId="5B471181" w:rsidP="00F86C7F" w:rsidR="00F86C7F" w:rsidRDefault="00F86C7F">
      <w:pPr>
        <w:rPr>
          <w:rFonts w:cs="Arial"/>
        </w:rPr>
      </w:pPr>
      <w:r w:rsidRPr="00F86C7F">
        <w:rPr>
          <w:rFonts w:cs="Arial"/>
        </w:rPr>
        <w:t xml:space="preserve">Il est convenu que le calendrier des </w:t>
      </w:r>
      <w:r w:rsidR="00E81F1C">
        <w:rPr>
          <w:rFonts w:cs="Arial"/>
        </w:rPr>
        <w:t>NAO</w:t>
      </w:r>
      <w:r w:rsidRPr="00F86C7F">
        <w:rPr>
          <w:rFonts w:cs="Arial"/>
        </w:rPr>
        <w:t xml:space="preserve"> 2023 est tout à fait exceptionnel et que les NAO 2024 se dérouleront donc selon le calendrier habituel, c’est-à-dire postérieurement à la présentation des résultats du Groupe 2023.</w:t>
      </w:r>
    </w:p>
    <w:p w14:paraId="50776870" w14:textId="0FEE8415" w:rsidP="00F86C7F" w:rsidR="002116E4" w:rsidRDefault="002116E4">
      <w:pPr>
        <w:rPr>
          <w:rFonts w:cs="Arial"/>
        </w:rPr>
      </w:pPr>
    </w:p>
    <w:p w14:paraId="271A8C6C" w14:textId="3420E44D" w:rsidP="002116E4" w:rsidR="002116E4" w:rsidRDefault="00E132B7">
      <w:pPr>
        <w:rPr>
          <w:rFonts w:cs="Arial"/>
        </w:rPr>
      </w:pPr>
      <w:r>
        <w:rPr>
          <w:rFonts w:cs="Arial"/>
        </w:rPr>
        <w:t>Dans ce contexte, au terme des négociations, il est convenu de mettre en œuvre les mesures salariales qui suivent au titre de l’année 2023.</w:t>
      </w:r>
    </w:p>
    <w:p w14:paraId="74327E07" w14:textId="5019C316" w:rsidP="00F86C7F" w:rsidR="00F86C7F" w:rsidRDefault="00F86C7F">
      <w:pPr>
        <w:rPr>
          <w:rFonts w:cs="Arial"/>
        </w:rPr>
      </w:pPr>
    </w:p>
    <w:p w14:paraId="698E06F7" w14:textId="4BFBC700" w:rsidR="0016488E" w:rsidRDefault="0016488E" w:rsidRPr="00A63B3E">
      <w:pPr>
        <w:widowControl/>
        <w:spacing w:after="200" w:line="276" w:lineRule="auto"/>
        <w:jc w:val="left"/>
        <w:rPr>
          <w:rFonts w:cs="Arial"/>
        </w:rPr>
      </w:pPr>
      <w:r w:rsidRPr="00A63B3E">
        <w:rPr>
          <w:rFonts w:cs="Arial"/>
        </w:rPr>
        <w:br w:type="page"/>
      </w:r>
    </w:p>
    <w:p w14:paraId="4F68F008" w14:textId="77777777" w:rsidP="00C07E5E" w:rsidR="00E26DE2" w:rsidRDefault="00E26DE2">
      <w:pPr>
        <w:pStyle w:val="Titre1"/>
        <w:tabs>
          <w:tab w:pos="709" w:val="left"/>
        </w:tabs>
        <w:jc w:val="both"/>
      </w:pPr>
      <w:bookmarkStart w:id="7" w:name="_Toc84243377"/>
      <w:bookmarkStart w:id="8" w:name="_Toc84243434"/>
      <w:bookmarkStart w:id="9" w:name="_Toc84248077"/>
    </w:p>
    <w:p w14:paraId="044917CD" w14:textId="6FCE10D7" w:rsidP="00C07E5E" w:rsidR="00C07E5E" w:rsidRDefault="0086223B">
      <w:pPr>
        <w:pStyle w:val="Titre1"/>
        <w:tabs>
          <w:tab w:pos="709" w:val="left"/>
        </w:tabs>
        <w:jc w:val="both"/>
      </w:pPr>
      <w:bookmarkStart w:id="10" w:name="_Toc126223297"/>
      <w:r w:rsidRPr="00A63B3E">
        <w:t xml:space="preserve">TITRE 1 – </w:t>
      </w:r>
      <w:bookmarkEnd w:id="7"/>
      <w:bookmarkEnd w:id="8"/>
      <w:bookmarkEnd w:id="9"/>
      <w:r w:rsidR="006945F2">
        <w:t>MESURES EN FAVEUR DES SALARIES NON-CADRES</w:t>
      </w:r>
      <w:bookmarkEnd w:id="10"/>
    </w:p>
    <w:p w14:paraId="531A93C9" w14:textId="4A9C6C9D" w:rsidP="00C07E5E" w:rsidR="00C07E5E" w:rsidRDefault="00C07E5E">
      <w:pPr>
        <w:pStyle w:val="Titre1"/>
        <w:tabs>
          <w:tab w:pos="709" w:val="left"/>
        </w:tabs>
        <w:ind w:firstLine="0"/>
        <w:jc w:val="both"/>
      </w:pPr>
    </w:p>
    <w:p w14:paraId="6DFFAC88" w14:textId="31643B50" w:rsidP="002116E4" w:rsidR="002116E4" w:rsidRDefault="002116E4">
      <w:r w:rsidRPr="002116E4">
        <w:t>Il est précisé que pour le personnel Non-Cadre impacté par l’augmentation du SMIC au 1er janvier 2023, l’ensemble des mesures salariales ci-dessous s’appliqueront sur le salaire de base revalorisé au niveau du SMIC 2023</w:t>
      </w:r>
      <w:r w:rsidR="00427340">
        <w:t>.</w:t>
      </w:r>
    </w:p>
    <w:p w14:paraId="654654DE" w14:textId="77777777" w:rsidP="00C07E5E" w:rsidR="00C07E5E" w:rsidRDefault="00C07E5E" w:rsidRPr="00A63B3E"/>
    <w:p w14:paraId="6B05D366" w14:textId="1EEF4E16" w:rsidP="00193A61" w:rsidR="00193A61" w:rsidRDefault="00193A61" w:rsidRPr="00A63B3E">
      <w:pPr>
        <w:pStyle w:val="Titre2"/>
      </w:pPr>
      <w:bookmarkStart w:id="11" w:name="_Toc126223298"/>
      <w:r w:rsidRPr="00A63B3E">
        <w:t>Article 1</w:t>
      </w:r>
      <w:r w:rsidR="00CF4EDF">
        <w:t>.1</w:t>
      </w:r>
      <w:r w:rsidRPr="00A63B3E">
        <w:t xml:space="preserve"> – </w:t>
      </w:r>
      <w:r w:rsidR="006945F2">
        <w:t>Mesures en faveur des salariés Non-Cadres</w:t>
      </w:r>
      <w:bookmarkEnd w:id="11"/>
    </w:p>
    <w:p w14:paraId="03D0C168" w14:textId="35B4F6DE" w:rsidP="00193A61" w:rsidR="000908FD" w:rsidRDefault="000908FD"/>
    <w:p w14:paraId="14EF7F6E" w14:textId="761314D4" w:rsidP="006945F2" w:rsidR="006945F2" w:rsidRDefault="006945F2" w:rsidRPr="00193E1A">
      <w:pPr>
        <w:pStyle w:val="Titre3"/>
        <w:rPr>
          <w:b/>
          <w:bCs w:val="0"/>
        </w:rPr>
      </w:pPr>
      <w:bookmarkStart w:id="12" w:name="_Toc126223299"/>
      <w:r w:rsidRPr="00193E1A">
        <w:rPr>
          <w:b/>
          <w:bCs w:val="0"/>
        </w:rPr>
        <w:t>Article 1.1</w:t>
      </w:r>
      <w:r w:rsidR="00CF4EDF" w:rsidRPr="00193E1A">
        <w:rPr>
          <w:b/>
          <w:bCs w:val="0"/>
        </w:rPr>
        <w:t>.1</w:t>
      </w:r>
      <w:r w:rsidRPr="00193E1A">
        <w:rPr>
          <w:b/>
          <w:bCs w:val="0"/>
        </w:rPr>
        <w:t xml:space="preserve"> – </w:t>
      </w:r>
      <w:r w:rsidR="00AE74D0" w:rsidRPr="00193E1A">
        <w:rPr>
          <w:b/>
          <w:bCs w:val="0"/>
        </w:rPr>
        <w:t>Budget global</w:t>
      </w:r>
      <w:bookmarkEnd w:id="12"/>
    </w:p>
    <w:p w14:paraId="7A6F6ABA" w14:textId="5618C843" w:rsidP="00193A61" w:rsidR="006945F2" w:rsidRDefault="006945F2"/>
    <w:p w14:paraId="023D5FE8" w14:textId="77777777" w:rsidP="006E0350" w:rsidR="006E0350" w:rsidRDefault="006E0350" w:rsidRPr="009E77E8">
      <w:pPr>
        <w:widowControl/>
        <w:spacing w:after="160" w:line="259" w:lineRule="auto"/>
        <w:jc w:val="left"/>
        <w:rPr>
          <w:lang w:bidi="th-TH"/>
        </w:rPr>
      </w:pPr>
      <w:r w:rsidRPr="009E77E8">
        <w:rPr>
          <w:lang w:bidi="th-TH"/>
        </w:rPr>
        <w:t xml:space="preserve">Un budget global de 5% d’augmentation sera appliqué sur le salaire de base au 1er janvier 2023, pour les salariés présents à la date du versement. </w:t>
      </w:r>
    </w:p>
    <w:p w14:paraId="7268B04E" w14:textId="3EE46DD2" w:rsidP="00367012" w:rsidR="00367012" w:rsidRDefault="006E0350">
      <w:pPr>
        <w:rPr>
          <w:lang w:bidi="th-TH"/>
        </w:rPr>
      </w:pPr>
      <w:r w:rsidRPr="009E77E8">
        <w:rPr>
          <w:lang w:bidi="th-TH"/>
        </w:rPr>
        <w:t>Ce budget englobe des AG et des AI et bénéficiera à l’ensemble des salariés.</w:t>
      </w:r>
    </w:p>
    <w:p w14:paraId="5C55DB04" w14:textId="77777777" w:rsidP="00367012" w:rsidR="00367012" w:rsidRDefault="00367012" w:rsidRPr="00367012"/>
    <w:p w14:paraId="5E291E25" w14:textId="752FC72E" w:rsidP="00C07E5E" w:rsidR="00C07E5E" w:rsidRDefault="00C07E5E" w:rsidRPr="00384C16">
      <w:pPr>
        <w:pStyle w:val="Titre3"/>
        <w:rPr>
          <w:b/>
          <w:bCs w:val="0"/>
        </w:rPr>
      </w:pPr>
      <w:bookmarkStart w:id="13" w:name="_Toc126223300"/>
      <w:r w:rsidRPr="00384C16">
        <w:rPr>
          <w:b/>
          <w:bCs w:val="0"/>
        </w:rPr>
        <w:t>Article 1.</w:t>
      </w:r>
      <w:r w:rsidR="00CF4EDF" w:rsidRPr="00384C16">
        <w:rPr>
          <w:b/>
          <w:bCs w:val="0"/>
        </w:rPr>
        <w:t>1.2</w:t>
      </w:r>
      <w:r w:rsidRPr="00384C16">
        <w:rPr>
          <w:b/>
          <w:bCs w:val="0"/>
        </w:rPr>
        <w:t> –</w:t>
      </w:r>
      <w:r w:rsidR="00367012">
        <w:rPr>
          <w:b/>
          <w:bCs w:val="0"/>
        </w:rPr>
        <w:t xml:space="preserve"> Mesure spécifique</w:t>
      </w:r>
      <w:bookmarkEnd w:id="13"/>
    </w:p>
    <w:p w14:paraId="7151EB6E" w14:textId="77777777" w:rsidP="00725B8E" w:rsidR="00A20384" w:rsidRDefault="00A20384"/>
    <w:p w14:paraId="1F953F04" w14:textId="3A206759" w:rsidP="00725B8E" w:rsidR="00532038" w:rsidRDefault="00A20384" w:rsidRPr="0041402A">
      <w:r w:rsidRPr="00A20384">
        <w:t>Faisant suite à</w:t>
      </w:r>
      <w:r w:rsidR="00277954" w:rsidRPr="00A20384">
        <w:t xml:space="preserve"> la mise en place du Synchrone court en </w:t>
      </w:r>
      <w:r w:rsidR="00D41894">
        <w:t>a</w:t>
      </w:r>
      <w:r w:rsidR="00277954" w:rsidRPr="00A20384">
        <w:t xml:space="preserve">oût 2022 avec </w:t>
      </w:r>
      <w:r>
        <w:t>le</w:t>
      </w:r>
      <w:r w:rsidR="00277954" w:rsidRPr="00A20384">
        <w:t xml:space="preserve"> client principal</w:t>
      </w:r>
      <w:r>
        <w:t xml:space="preserve"> de TRECIA</w:t>
      </w:r>
      <w:r w:rsidR="00277954" w:rsidRPr="00A20384">
        <w:t xml:space="preserve">, </w:t>
      </w:r>
      <w:proofErr w:type="spellStart"/>
      <w:r w:rsidR="00277954" w:rsidRPr="00A20384">
        <w:t>Stellantis</w:t>
      </w:r>
      <w:proofErr w:type="spellEnd"/>
      <w:r w:rsidR="00277954" w:rsidRPr="00A20384">
        <w:t xml:space="preserve"> Mulhouse, il a été décidé, à titre exceptionnel, d’attribuer une mesure spécifique pour les personnels non</w:t>
      </w:r>
      <w:r w:rsidR="00D41894">
        <w:t>-</w:t>
      </w:r>
      <w:r w:rsidR="00277954" w:rsidRPr="00A20384">
        <w:t>cadres. Cette mesure exceptionnelle vise à accompagner un contexte industriel nouveau qui induit des horaires strictement ajustés à ceux du client (</w:t>
      </w:r>
      <w:r w:rsidR="00443D86">
        <w:t>p</w:t>
      </w:r>
      <w:r w:rsidR="00277954" w:rsidRPr="00A20384">
        <w:t xml:space="preserve">rolongations de séances de travail, programmations de séances de travail le samedi matin </w:t>
      </w:r>
      <w:r w:rsidR="00277954" w:rsidRPr="0041402A">
        <w:t>et dans la nuit du dimanche au lundi).</w:t>
      </w:r>
      <w:r w:rsidR="00D41894">
        <w:t xml:space="preserve"> Le </w:t>
      </w:r>
      <w:r w:rsidR="00277954" w:rsidRPr="0041402A">
        <w:t xml:space="preserve">Synchrone court </w:t>
      </w:r>
      <w:r w:rsidR="00443D86" w:rsidRPr="0041402A">
        <w:t xml:space="preserve">a généré, dans le contexte </w:t>
      </w:r>
      <w:r w:rsidR="009E4C8B" w:rsidRPr="0041402A">
        <w:t>global d</w:t>
      </w:r>
      <w:r w:rsidR="00443D86" w:rsidRPr="0041402A">
        <w:t xml:space="preserve">es </w:t>
      </w:r>
      <w:r w:rsidR="00277954" w:rsidRPr="0041402A">
        <w:t>« </w:t>
      </w:r>
      <w:r w:rsidR="009E4C8B" w:rsidRPr="00901A53">
        <w:rPr>
          <w:i/>
          <w:iCs/>
        </w:rPr>
        <w:t>S</w:t>
      </w:r>
      <w:r w:rsidR="00277954" w:rsidRPr="00901A53">
        <w:rPr>
          <w:i/>
          <w:iCs/>
        </w:rPr>
        <w:t xml:space="preserve">top and </w:t>
      </w:r>
      <w:r w:rsidR="009E4C8B" w:rsidRPr="00901A53">
        <w:rPr>
          <w:i/>
          <w:iCs/>
        </w:rPr>
        <w:t>G</w:t>
      </w:r>
      <w:r w:rsidR="00277954" w:rsidRPr="00901A53">
        <w:rPr>
          <w:i/>
          <w:iCs/>
        </w:rPr>
        <w:t>o</w:t>
      </w:r>
      <w:r w:rsidR="00277954" w:rsidRPr="0041402A">
        <w:t xml:space="preserve"> » </w:t>
      </w:r>
      <w:r w:rsidR="009E4C8B" w:rsidRPr="0041402A">
        <w:t>auquel l’Entreprise a dû faire face en 2022</w:t>
      </w:r>
      <w:r w:rsidR="00532038" w:rsidRPr="0041402A">
        <w:t xml:space="preserve">, une adaptation nouvelle </w:t>
      </w:r>
      <w:r w:rsidR="00277954" w:rsidRPr="0041402A">
        <w:t xml:space="preserve">au rythme d’activité </w:t>
      </w:r>
      <w:r w:rsidR="00532038" w:rsidRPr="0041402A">
        <w:t>du</w:t>
      </w:r>
      <w:r w:rsidR="00277954" w:rsidRPr="0041402A">
        <w:t xml:space="preserve"> client</w:t>
      </w:r>
      <w:r w:rsidR="00532038" w:rsidRPr="0041402A">
        <w:t xml:space="preserve">. </w:t>
      </w:r>
    </w:p>
    <w:p w14:paraId="65B3A6FC" w14:textId="77777777" w:rsidP="00725B8E" w:rsidR="00532038" w:rsidRDefault="00532038" w:rsidRPr="0041402A"/>
    <w:p w14:paraId="13689BF0" w14:textId="357AB8B1" w:rsidP="00725B8E" w:rsidR="00725B8E" w:rsidRDefault="00532038">
      <w:pPr>
        <w:rPr>
          <w:rFonts w:cs="Arial"/>
        </w:rPr>
      </w:pPr>
      <w:r w:rsidRPr="0041402A">
        <w:rPr>
          <w:rFonts w:cs="Arial"/>
        </w:rPr>
        <w:t>Aussi</w:t>
      </w:r>
      <w:r w:rsidR="00725B8E" w:rsidRPr="0041402A">
        <w:rPr>
          <w:rFonts w:cs="Arial"/>
        </w:rPr>
        <w:t>, pour tenir compte d</w:t>
      </w:r>
      <w:r w:rsidR="0041402A" w:rsidRPr="0041402A">
        <w:rPr>
          <w:rFonts w:cs="Arial"/>
        </w:rPr>
        <w:t xml:space="preserve">es éléments ci-avant explicités, </w:t>
      </w:r>
      <w:r w:rsidR="00725B8E" w:rsidRPr="0041402A">
        <w:rPr>
          <w:rFonts w:cs="Arial"/>
        </w:rPr>
        <w:t>il est convenu la disposition spécifique suivante pour les salariés</w:t>
      </w:r>
      <w:r w:rsidR="00725B8E">
        <w:rPr>
          <w:rFonts w:cs="Arial"/>
        </w:rPr>
        <w:t xml:space="preserve"> non-cadres de la société TRECIA </w:t>
      </w:r>
      <w:r w:rsidR="00725B8E" w:rsidRPr="00506D8A">
        <w:rPr>
          <w:rFonts w:cs="Arial"/>
        </w:rPr>
        <w:t>:</w:t>
      </w:r>
    </w:p>
    <w:p w14:paraId="0D87BCAF" w14:textId="77777777" w:rsidP="00725B8E" w:rsidR="00725B8E" w:rsidRDefault="00725B8E" w:rsidRPr="00506D8A">
      <w:pPr>
        <w:rPr>
          <w:rFonts w:cs="Arial"/>
        </w:rPr>
      </w:pPr>
    </w:p>
    <w:p w14:paraId="2F32FFD0" w14:textId="03C0A2BD" w:rsidP="00725B8E" w:rsidR="00725B8E" w:rsidRDefault="00725B8E" w:rsidRPr="00506D8A">
      <w:pPr>
        <w:rPr>
          <w:rFonts w:cs="Arial"/>
        </w:rPr>
      </w:pPr>
      <w:r w:rsidRPr="00506D8A">
        <w:rPr>
          <w:rFonts w:cs="Arial"/>
        </w:rPr>
        <w:t xml:space="preserve">Le budget global prévu </w:t>
      </w:r>
      <w:r w:rsidR="00BC0A86" w:rsidRPr="00BC0A86">
        <w:rPr>
          <w:rFonts w:cs="Arial"/>
        </w:rPr>
        <w:t>à l’Article 1.1.1</w:t>
      </w:r>
      <w:r w:rsidRPr="00506D8A">
        <w:rPr>
          <w:rFonts w:cs="Arial"/>
        </w:rPr>
        <w:t xml:space="preserve"> </w:t>
      </w:r>
      <w:r w:rsidR="00BC0A86">
        <w:rPr>
          <w:rFonts w:cs="Arial"/>
        </w:rPr>
        <w:t>du présent accord</w:t>
      </w:r>
      <w:r w:rsidRPr="00506D8A">
        <w:rPr>
          <w:rFonts w:cs="Arial"/>
        </w:rPr>
        <w:t xml:space="preserve"> est réparti d’une part et complété d’autre part de la façon suivante : </w:t>
      </w:r>
    </w:p>
    <w:p w14:paraId="528C8CD4" w14:textId="77777777" w:rsidP="00725B8E" w:rsidR="00725B8E" w:rsidRDefault="00725B8E" w:rsidRPr="00506D8A">
      <w:pPr>
        <w:rPr>
          <w:rFonts w:cs="Arial"/>
        </w:rPr>
      </w:pPr>
      <w:r w:rsidRPr="00506D8A">
        <w:rPr>
          <w:rFonts w:cs="Arial"/>
        </w:rPr>
        <w:t>Une augmentation générale de 5% des salaires de base des salariés non-cadres au 1</w:t>
      </w:r>
      <w:r w:rsidRPr="00506D8A">
        <w:rPr>
          <w:rFonts w:cs="Arial"/>
          <w:vertAlign w:val="superscript"/>
        </w:rPr>
        <w:t>er</w:t>
      </w:r>
      <w:r w:rsidRPr="00506D8A">
        <w:rPr>
          <w:rFonts w:cs="Arial"/>
        </w:rPr>
        <w:t xml:space="preserve"> janvier 2023 complété d’un budget spécifique de 1% des salaires de base non-cadres alloué aux augmentations individuelles. </w:t>
      </w:r>
    </w:p>
    <w:p w14:paraId="750378AE" w14:textId="65546F61" w:rsidP="00725B8E" w:rsidR="00725B8E" w:rsidRDefault="00725B8E">
      <w:pPr>
        <w:rPr>
          <w:rFonts w:cs="Arial"/>
        </w:rPr>
      </w:pPr>
      <w:r w:rsidRPr="00506D8A">
        <w:rPr>
          <w:rFonts w:cs="Arial"/>
        </w:rPr>
        <w:t>Ce budget bénéficiera, à hauteur de son taux, à l’ensemble du personnel non-cadre au 1</w:t>
      </w:r>
      <w:r w:rsidRPr="00506D8A">
        <w:rPr>
          <w:rFonts w:cs="Arial"/>
          <w:vertAlign w:val="superscript"/>
        </w:rPr>
        <w:t>er</w:t>
      </w:r>
      <w:r w:rsidRPr="00506D8A">
        <w:rPr>
          <w:rFonts w:cs="Arial"/>
        </w:rPr>
        <w:t xml:space="preserve"> janvier 2023.</w:t>
      </w:r>
    </w:p>
    <w:p w14:paraId="7341D612" w14:textId="3FBE57B7" w:rsidP="00725B8E" w:rsidR="00AD2EB4" w:rsidRDefault="00AD2EB4">
      <w:pPr>
        <w:rPr>
          <w:rFonts w:cs="Arial"/>
        </w:rPr>
      </w:pPr>
    </w:p>
    <w:p w14:paraId="0437E5F8" w14:textId="38FDC4DA" w:rsidP="00725B8E" w:rsidR="00AD2EB4" w:rsidRDefault="00AD2EB4" w:rsidRPr="00506D8A">
      <w:pPr>
        <w:rPr>
          <w:b/>
          <w:bCs/>
        </w:rPr>
      </w:pPr>
      <w:r>
        <w:rPr>
          <w:rFonts w:cs="Arial"/>
        </w:rPr>
        <w:t xml:space="preserve">L’application de </w:t>
      </w:r>
      <w:r w:rsidR="00BA2D73">
        <w:rPr>
          <w:rFonts w:cs="Arial"/>
        </w:rPr>
        <w:t>cette mesure spécifique interviendra sur le bulletin de paie du mois de février 2023, avec effet rétroactif au 1</w:t>
      </w:r>
      <w:r w:rsidR="00BA2D73" w:rsidRPr="00BA2D73">
        <w:rPr>
          <w:rFonts w:cs="Arial"/>
          <w:vertAlign w:val="superscript"/>
        </w:rPr>
        <w:t>er</w:t>
      </w:r>
      <w:r w:rsidR="00BA2D73">
        <w:rPr>
          <w:rFonts w:cs="Arial"/>
        </w:rPr>
        <w:t xml:space="preserve"> janvier 2023. </w:t>
      </w:r>
    </w:p>
    <w:p w14:paraId="74B0BE37" w14:textId="3B7E3CEA" w:rsidP="00193A61" w:rsidR="00C07E5E" w:rsidRDefault="00C07E5E"/>
    <w:p w14:paraId="77B486E3" w14:textId="3BCDE757" w:rsidP="00B23CE0" w:rsidR="00B23CE0" w:rsidRDefault="00B23CE0">
      <w:pPr>
        <w:pStyle w:val="Titre2"/>
      </w:pPr>
      <w:bookmarkStart w:id="14" w:name="_Toc126223301"/>
      <w:r w:rsidRPr="00A63B3E">
        <w:t xml:space="preserve">Article </w:t>
      </w:r>
      <w:r w:rsidR="00CF4EDF">
        <w:t>1.</w:t>
      </w:r>
      <w:r w:rsidR="00E26DE2">
        <w:t>2</w:t>
      </w:r>
      <w:r w:rsidRPr="00A63B3E">
        <w:t xml:space="preserve"> – </w:t>
      </w:r>
      <w:r>
        <w:t>Mesure relative aux primes</w:t>
      </w:r>
      <w:bookmarkEnd w:id="14"/>
      <w:r>
        <w:t xml:space="preserve"> </w:t>
      </w:r>
    </w:p>
    <w:p w14:paraId="14694973" w14:textId="263388A3" w:rsidP="00B23CE0" w:rsidR="00B23CE0" w:rsidRDefault="00B23CE0"/>
    <w:p w14:paraId="18A26A53" w14:textId="09AA7C4B" w:rsidP="00FE7DD5" w:rsidR="00813C4B" w:rsidRDefault="000E72B6">
      <w:r w:rsidRPr="003556DE">
        <w:t>Le montant de</w:t>
      </w:r>
      <w:r w:rsidR="00510C83" w:rsidRPr="003556DE">
        <w:t xml:space="preserve"> la Prime de </w:t>
      </w:r>
      <w:r w:rsidRPr="003556DE">
        <w:t>rentrée</w:t>
      </w:r>
      <w:r w:rsidR="00510C83" w:rsidRPr="003556DE">
        <w:t xml:space="preserve"> </w:t>
      </w:r>
      <w:r w:rsidRPr="003556DE">
        <w:t xml:space="preserve">est porté à </w:t>
      </w:r>
      <w:r w:rsidR="00417C6A" w:rsidRPr="003556DE">
        <w:t>1 635</w:t>
      </w:r>
      <w:r w:rsidRPr="003556DE">
        <w:t xml:space="preserve">,00 € </w:t>
      </w:r>
      <w:r w:rsidR="0090675B" w:rsidRPr="003556DE">
        <w:t>bruts/an</w:t>
      </w:r>
      <w:r w:rsidR="00813C4B" w:rsidRPr="003556DE">
        <w:t>, les conditions d’attribution de cette prime</w:t>
      </w:r>
      <w:r w:rsidR="003556DE" w:rsidRPr="003556DE">
        <w:t xml:space="preserve"> </w:t>
      </w:r>
      <w:r w:rsidR="00813C4B" w:rsidRPr="003556DE">
        <w:t>demeurant inchangées.</w:t>
      </w:r>
      <w:r w:rsidR="00813C4B">
        <w:t xml:space="preserve"> </w:t>
      </w:r>
    </w:p>
    <w:p w14:paraId="23456581" w14:textId="77777777" w:rsidP="00833C20" w:rsidR="00E26DE2" w:rsidRDefault="00E26DE2">
      <w:pPr>
        <w:pStyle w:val="Titre1"/>
        <w:tabs>
          <w:tab w:pos="709" w:val="left"/>
        </w:tabs>
        <w:jc w:val="both"/>
      </w:pPr>
      <w:bookmarkStart w:id="15" w:name="_Toc30755525"/>
      <w:bookmarkStart w:id="16" w:name="_Toc30787839"/>
    </w:p>
    <w:p w14:paraId="76720D7A" w14:textId="55889C33" w:rsidP="00833C20" w:rsidR="00833C20" w:rsidRDefault="00833C20">
      <w:pPr>
        <w:pStyle w:val="Titre1"/>
        <w:tabs>
          <w:tab w:pos="709" w:val="left"/>
        </w:tabs>
        <w:jc w:val="both"/>
      </w:pPr>
      <w:bookmarkStart w:id="17" w:name="_Toc126223302"/>
      <w:r w:rsidRPr="00A63B3E">
        <w:t xml:space="preserve">TITRE </w:t>
      </w:r>
      <w:r w:rsidR="00B23CE0">
        <w:t>2</w:t>
      </w:r>
      <w:r w:rsidRPr="00A63B3E">
        <w:t xml:space="preserve"> – </w:t>
      </w:r>
      <w:r>
        <w:t>MESURES EN FAVEUR DES SALARIES CADRES</w:t>
      </w:r>
      <w:bookmarkEnd w:id="17"/>
    </w:p>
    <w:p w14:paraId="7CF43CCC" w14:textId="44C27808" w:rsidP="00833C20" w:rsidR="00833C20" w:rsidRDefault="00833C20"/>
    <w:p w14:paraId="3F988ED3" w14:textId="4ABC90BF" w:rsidP="00E37A95" w:rsidR="00E37A95" w:rsidRDefault="00E37A95">
      <w:r>
        <w:t xml:space="preserve">Compte tenu de la nature des fonctions exercées par les </w:t>
      </w:r>
      <w:r w:rsidR="00417C6A">
        <w:t>C</w:t>
      </w:r>
      <w:r>
        <w:t>adres et de leurs modalités d'exercice, les mesures concernant les personnels Cadres prendront exclusivement la forme d’Augmentations Individuelles et feront l’objet d’une campagne annuelle unique.</w:t>
      </w:r>
    </w:p>
    <w:p w14:paraId="5AAC0520" w14:textId="77777777" w:rsidP="00E37A95" w:rsidR="00E37A95" w:rsidRDefault="00E37A95"/>
    <w:p w14:paraId="7383AB1D" w14:textId="750BF81E" w:rsidP="00E37A95" w:rsidR="00E37A95" w:rsidRDefault="00E37A95">
      <w:r>
        <w:t xml:space="preserve">Le niveau moyen des augmentations attribuées aux </w:t>
      </w:r>
      <w:r w:rsidR="004C3ACB">
        <w:t>C</w:t>
      </w:r>
      <w:r>
        <w:t xml:space="preserve">adres sera au moins équivalent à celui des augmentations </w:t>
      </w:r>
      <w:r w:rsidR="00FE7DD5">
        <w:t xml:space="preserve">prévues à l’article </w:t>
      </w:r>
      <w:r w:rsidR="00357C5F">
        <w:t xml:space="preserve">1.1.1. du présent Accord. </w:t>
      </w:r>
    </w:p>
    <w:p w14:paraId="7CE21E99" w14:textId="09BCC015" w:rsidP="00E37A95" w:rsidR="00E37A95" w:rsidRDefault="00E37A95"/>
    <w:p w14:paraId="7608FA62" w14:textId="33099C96" w:rsidP="00E37A95" w:rsidR="00E37A95" w:rsidRDefault="00E37A95">
      <w:pPr>
        <w:rPr>
          <w:rFonts w:eastAsia="Times New Roman"/>
          <w:strike/>
          <w:color w:val="FF0000"/>
        </w:rPr>
      </w:pPr>
      <w:r>
        <w:t xml:space="preserve">Cette mesure sera mise en œuvre </w:t>
      </w:r>
      <w:bookmarkStart w:id="18" w:name="_Hlk126135711"/>
      <w:r w:rsidRPr="00510C83">
        <w:t>en mai 2023</w:t>
      </w:r>
      <w:r>
        <w:t xml:space="preserve"> et sera</w:t>
      </w:r>
      <w:r w:rsidR="00224C3A">
        <w:t xml:space="preserve"> exceptionnellement</w:t>
      </w:r>
      <w:r>
        <w:t xml:space="preserve"> rétroactive au 1</w:t>
      </w:r>
      <w:r>
        <w:rPr>
          <w:vertAlign w:val="superscript"/>
        </w:rPr>
        <w:t>er</w:t>
      </w:r>
      <w:r>
        <w:t xml:space="preserve"> avril 2023</w:t>
      </w:r>
      <w:bookmarkEnd w:id="18"/>
      <w:r>
        <w:t>.</w:t>
      </w:r>
    </w:p>
    <w:p w14:paraId="32B0722F" w14:textId="0BD8CC87" w:rsidP="00E37A95" w:rsidR="00E37A95" w:rsidRDefault="00E37A95"/>
    <w:p w14:paraId="6B8CA779" w14:textId="122CBF55" w:rsidP="00831492" w:rsidR="00831492" w:rsidRDefault="00831492">
      <w:r>
        <w:t>A titre exceptionnel, en 2023, l’augmentation individuelle dont bénéficierait le Cadre ne pourra pas être inférieure à 2%.</w:t>
      </w:r>
    </w:p>
    <w:p w14:paraId="59B4ED6E" w14:textId="0D056EBA" w:rsidP="00831492" w:rsidR="007B081D" w:rsidRDefault="007B081D"/>
    <w:p w14:paraId="2475A047" w14:textId="7054D02A" w:rsidP="007B081D" w:rsidR="007B081D" w:rsidRDefault="007B081D">
      <w:r>
        <w:t xml:space="preserve">Pour les Cadres qui bénéficieront d’une AI et qui ne bénéficient pas par ailleurs d’une </w:t>
      </w:r>
      <w:r w:rsidR="00B11E2B">
        <w:t>rémunération variable (</w:t>
      </w:r>
      <w:r>
        <w:t>FVC</w:t>
      </w:r>
      <w:r w:rsidR="00B11E2B">
        <w:t>)</w:t>
      </w:r>
      <w:r>
        <w:t xml:space="preserve">, les 2% d’AI minimum prévus </w:t>
      </w:r>
      <w:r w:rsidR="00FE7DD5">
        <w:t>à l’alinéa précédent</w:t>
      </w:r>
      <w:r>
        <w:t xml:space="preserve"> seront exceptionnellement rétroactifs au 1</w:t>
      </w:r>
      <w:r w:rsidRPr="00831492">
        <w:rPr>
          <w:vertAlign w:val="superscript"/>
        </w:rPr>
        <w:t>er</w:t>
      </w:r>
      <w:r>
        <w:t xml:space="preserve"> janvier 2023.</w:t>
      </w:r>
      <w:r w:rsidR="00FE7DD5">
        <w:t xml:space="preserve"> </w:t>
      </w:r>
      <w:r>
        <w:t xml:space="preserve">Le complément sera versé </w:t>
      </w:r>
      <w:r w:rsidR="00C16221" w:rsidRPr="00510C83">
        <w:t>en mai 2023</w:t>
      </w:r>
      <w:r w:rsidR="00C16221">
        <w:t>, avec effet rétroactif au 1</w:t>
      </w:r>
      <w:r w:rsidR="00C16221">
        <w:rPr>
          <w:vertAlign w:val="superscript"/>
        </w:rPr>
        <w:t>er</w:t>
      </w:r>
      <w:r w:rsidR="00C16221">
        <w:t xml:space="preserve"> avril 2023. </w:t>
      </w:r>
    </w:p>
    <w:p w14:paraId="12BC4A43" w14:textId="251CCF29" w:rsidP="001C0A04" w:rsidR="00E81F1C" w:rsidRDefault="001C0A04" w:rsidRPr="00A63B3E">
      <w:pPr>
        <w:tabs>
          <w:tab w:pos="1980" w:val="left"/>
        </w:tabs>
      </w:pPr>
      <w:r>
        <w:tab/>
      </w:r>
      <w:bookmarkEnd w:id="15"/>
      <w:bookmarkEnd w:id="16"/>
    </w:p>
    <w:p w14:paraId="7252E4C2" w14:textId="5E0C78A2" w:rsidP="00B11E2B" w:rsidR="0016488E" w:rsidRDefault="0086223B">
      <w:pPr>
        <w:pStyle w:val="Titre1"/>
        <w:jc w:val="left"/>
      </w:pPr>
      <w:bookmarkStart w:id="19" w:name="_Toc84243406"/>
      <w:bookmarkStart w:id="20" w:name="_Toc84243463"/>
      <w:bookmarkStart w:id="21" w:name="_Toc84248106"/>
      <w:bookmarkStart w:id="22" w:name="_Toc126223303"/>
      <w:bookmarkStart w:id="23" w:name="_Toc10637926"/>
      <w:bookmarkEnd w:id="2"/>
      <w:bookmarkEnd w:id="1"/>
      <w:r w:rsidRPr="00A63B3E">
        <w:t xml:space="preserve">TITRE </w:t>
      </w:r>
      <w:r w:rsidR="001C0A04">
        <w:t>3</w:t>
      </w:r>
      <w:r w:rsidRPr="00A63B3E">
        <w:t xml:space="preserve"> – DISPOSITIONS FINALES</w:t>
      </w:r>
      <w:bookmarkEnd w:id="19"/>
      <w:bookmarkEnd w:id="20"/>
      <w:bookmarkEnd w:id="21"/>
      <w:bookmarkEnd w:id="22"/>
    </w:p>
    <w:p w14:paraId="1F7CCFB2" w14:textId="77777777" w:rsidP="00B11E2B" w:rsidR="00B11E2B" w:rsidRDefault="00B11E2B" w:rsidRPr="00A63B3E">
      <w:pPr>
        <w:pStyle w:val="Titre1"/>
        <w:jc w:val="left"/>
      </w:pPr>
    </w:p>
    <w:p w14:paraId="7738847E" w14:textId="68A6F362" w:rsidP="001D00C6" w:rsidR="00513297" w:rsidRDefault="00AD3EC0" w:rsidRPr="00A63B3E">
      <w:pPr>
        <w:pStyle w:val="Titre2"/>
      </w:pPr>
      <w:bookmarkStart w:id="24" w:name="_Toc84243407"/>
      <w:bookmarkStart w:id="25" w:name="_Toc84243464"/>
      <w:bookmarkStart w:id="26" w:name="_Toc84248107"/>
      <w:bookmarkStart w:id="27" w:name="_Toc126223304"/>
      <w:r w:rsidRPr="00A63B3E">
        <w:t xml:space="preserve">Article </w:t>
      </w:r>
      <w:r w:rsidR="001C0A04">
        <w:t>3</w:t>
      </w:r>
      <w:r w:rsidR="00CF4EDF">
        <w:t>.1</w:t>
      </w:r>
      <w:r w:rsidR="00D27AE5" w:rsidRPr="00A63B3E">
        <w:t xml:space="preserve"> </w:t>
      </w:r>
      <w:r w:rsidR="00513297" w:rsidRPr="00A63B3E">
        <w:t xml:space="preserve">: Durée </w:t>
      </w:r>
      <w:bookmarkEnd w:id="23"/>
      <w:r w:rsidR="004111E6" w:rsidRPr="00A63B3E">
        <w:t>de validité</w:t>
      </w:r>
      <w:bookmarkEnd w:id="24"/>
      <w:bookmarkEnd w:id="25"/>
      <w:bookmarkEnd w:id="26"/>
      <w:bookmarkEnd w:id="27"/>
    </w:p>
    <w:p w14:paraId="2518BA94" w14:textId="77777777" w:rsidP="00FD602D" w:rsidR="0016488E" w:rsidRDefault="0016488E" w:rsidRPr="00A63B3E">
      <w:pPr>
        <w:rPr>
          <w:rFonts w:cs="Arial"/>
        </w:rPr>
      </w:pPr>
    </w:p>
    <w:p w14:paraId="7507427B" w14:textId="4237E17C" w:rsidP="0016488E" w:rsidR="000908FD" w:rsidRDefault="005D64ED">
      <w:pPr>
        <w:rPr>
          <w:rFonts w:cs="Arial"/>
        </w:rPr>
      </w:pPr>
      <w:bookmarkStart w:id="28" w:name="_Toc10637927"/>
      <w:r w:rsidRPr="005D64ED">
        <w:rPr>
          <w:rFonts w:cs="Arial"/>
        </w:rPr>
        <w:t xml:space="preserve">Le présent accord est conclu pour </w:t>
      </w:r>
      <w:r w:rsidR="00CF4EDF">
        <w:rPr>
          <w:rFonts w:cs="Arial"/>
        </w:rPr>
        <w:t xml:space="preserve">l’année 2023. </w:t>
      </w:r>
    </w:p>
    <w:p w14:paraId="699BEFF4" w14:textId="77777777" w:rsidP="0016488E" w:rsidR="006502D2" w:rsidRDefault="006502D2" w:rsidRPr="00A63B3E"/>
    <w:bookmarkEnd w:id="28"/>
    <w:p w14:paraId="4F558C4F" w14:textId="37AEDBBF" w:rsidP="001C0A04" w:rsidR="00F76B09" w:rsidRDefault="001C0A04">
      <w:pPr>
        <w:tabs>
          <w:tab w:pos="2820" w:val="left"/>
        </w:tabs>
        <w:rPr>
          <w:rFonts w:cs="Arial"/>
        </w:rPr>
      </w:pPr>
      <w:r>
        <w:rPr>
          <w:rFonts w:cs="Arial"/>
        </w:rPr>
        <w:tab/>
      </w:r>
    </w:p>
    <w:p w14:paraId="4D20C5A9" w14:textId="250E50A6" w:rsidP="001D00C6" w:rsidR="00513297" w:rsidRDefault="00513297" w:rsidRPr="00A63B3E">
      <w:pPr>
        <w:pStyle w:val="Titre2"/>
        <w:rPr>
          <w:bCs/>
        </w:rPr>
      </w:pPr>
      <w:bookmarkStart w:id="29" w:name="_bookmark40"/>
      <w:bookmarkStart w:id="30" w:name="_Toc10637928"/>
      <w:bookmarkStart w:id="31" w:name="_Toc84243409"/>
      <w:bookmarkStart w:id="32" w:name="_Toc84243466"/>
      <w:bookmarkStart w:id="33" w:name="_Toc84248109"/>
      <w:bookmarkStart w:id="34" w:name="_Toc126223305"/>
      <w:bookmarkEnd w:id="29"/>
      <w:r w:rsidRPr="00A63B3E">
        <w:t>Article</w:t>
      </w:r>
      <w:r w:rsidR="00070B73" w:rsidRPr="00A63B3E">
        <w:t> </w:t>
      </w:r>
      <w:r w:rsidR="003D3C96">
        <w:t>3</w:t>
      </w:r>
      <w:r w:rsidR="001C0A04">
        <w:t>.</w:t>
      </w:r>
      <w:r w:rsidR="00FE7DD5">
        <w:t>2</w:t>
      </w:r>
      <w:r w:rsidRPr="00A63B3E">
        <w:rPr>
          <w:spacing w:val="1"/>
        </w:rPr>
        <w:t xml:space="preserve"> </w:t>
      </w:r>
      <w:r w:rsidRPr="00A63B3E">
        <w:t>: Formalités</w:t>
      </w:r>
      <w:r w:rsidRPr="00A63B3E">
        <w:rPr>
          <w:spacing w:val="-2"/>
        </w:rPr>
        <w:t xml:space="preserve"> de</w:t>
      </w:r>
      <w:r w:rsidRPr="00A63B3E">
        <w:t xml:space="preserve"> </w:t>
      </w:r>
      <w:r w:rsidR="006502D2">
        <w:t xml:space="preserve">notification et de </w:t>
      </w:r>
      <w:r w:rsidRPr="00A63B3E">
        <w:t>dépôt</w:t>
      </w:r>
      <w:bookmarkEnd w:id="30"/>
      <w:bookmarkEnd w:id="31"/>
      <w:bookmarkEnd w:id="32"/>
      <w:bookmarkEnd w:id="33"/>
      <w:bookmarkEnd w:id="34"/>
    </w:p>
    <w:p w14:paraId="0BCF5063" w14:textId="77777777" w:rsidP="00FD602D" w:rsidR="0016488E" w:rsidRDefault="0016488E" w:rsidRPr="00A63B3E">
      <w:pPr>
        <w:rPr>
          <w:rFonts w:cs="Arial"/>
        </w:rPr>
      </w:pPr>
    </w:p>
    <w:p w14:paraId="66E0F7A7" w14:textId="76689386" w:rsidP="005D64ED" w:rsidR="005D64ED" w:rsidRDefault="005D64ED" w:rsidRPr="006502D2">
      <w:pPr>
        <w:rPr>
          <w:rFonts w:cs="Arial"/>
        </w:rPr>
      </w:pPr>
      <w:r w:rsidRPr="006502D2">
        <w:rPr>
          <w:rFonts w:cs="Arial"/>
        </w:rPr>
        <w:t xml:space="preserve">Un exemplaire original du présent </w:t>
      </w:r>
      <w:r w:rsidR="006502D2">
        <w:rPr>
          <w:rFonts w:cs="Arial"/>
        </w:rPr>
        <w:t>accord</w:t>
      </w:r>
      <w:r w:rsidRPr="006502D2">
        <w:rPr>
          <w:rFonts w:cs="Arial"/>
        </w:rPr>
        <w:t xml:space="preserve"> sera remis à chaque Organisation Syndicale</w:t>
      </w:r>
      <w:r w:rsidR="006502D2">
        <w:rPr>
          <w:rFonts w:cs="Arial"/>
        </w:rPr>
        <w:t xml:space="preserve"> Représentative</w:t>
      </w:r>
      <w:r w:rsidRPr="006502D2">
        <w:rPr>
          <w:rFonts w:cs="Arial"/>
        </w:rPr>
        <w:t xml:space="preserve"> et leur sera notifié par voie électronique. </w:t>
      </w:r>
    </w:p>
    <w:p w14:paraId="383AC55F" w14:textId="77777777" w:rsidP="005D64ED" w:rsidR="006502D2" w:rsidRDefault="006502D2">
      <w:pPr>
        <w:rPr>
          <w:rFonts w:cs="Arial"/>
        </w:rPr>
      </w:pPr>
    </w:p>
    <w:p w14:paraId="5F89AAF1" w14:textId="189086CD" w:rsidP="005D64ED" w:rsidR="005D64ED" w:rsidRDefault="006502D2" w:rsidRPr="006502D2">
      <w:pPr>
        <w:rPr>
          <w:rFonts w:cs="Arial"/>
        </w:rPr>
      </w:pPr>
      <w:r w:rsidRPr="006502D2">
        <w:rPr>
          <w:rFonts w:cs="Arial"/>
        </w:rPr>
        <w:t>Le présent accord sera déposé</w:t>
      </w:r>
      <w:r w:rsidR="005D64ED" w:rsidRPr="006502D2">
        <w:rPr>
          <w:rFonts w:cs="Arial"/>
        </w:rPr>
        <w:t xml:space="preserve"> par la Direction</w:t>
      </w:r>
      <w:r w:rsidR="00EF327B">
        <w:rPr>
          <w:rFonts w:cs="Arial"/>
        </w:rPr>
        <w:t xml:space="preserve"> régionale de l’économie, de l’emploi, du travail et des solidarités de Besançon – Unité </w:t>
      </w:r>
      <w:r w:rsidR="005D64ED" w:rsidRPr="006502D2">
        <w:rPr>
          <w:rFonts w:cs="Arial"/>
        </w:rPr>
        <w:t>de</w:t>
      </w:r>
      <w:r>
        <w:rPr>
          <w:rFonts w:cs="Arial"/>
        </w:rPr>
        <w:t xml:space="preserve"> </w:t>
      </w:r>
      <w:r w:rsidR="001A016E">
        <w:rPr>
          <w:rFonts w:cs="Arial"/>
        </w:rPr>
        <w:t>Bourgogne - Franche-Comté</w:t>
      </w:r>
      <w:r w:rsidR="00BE24D2">
        <w:rPr>
          <w:rFonts w:cs="Arial"/>
        </w:rPr>
        <w:t xml:space="preserve"> (25)</w:t>
      </w:r>
      <w:r w:rsidR="005D64ED" w:rsidRPr="006502D2">
        <w:rPr>
          <w:rFonts w:cs="Arial"/>
        </w:rPr>
        <w:t xml:space="preserve">, de manière dématérialisée sur le site </w:t>
      </w:r>
      <w:hyperlink r:id="rId9" w:history="1">
        <w:r w:rsidR="005D64ED" w:rsidRPr="006502D2">
          <w:rPr>
            <w:rFonts w:cs="Arial"/>
          </w:rPr>
          <w:t>www.teleaccords.travail-emploi.gouv.fr</w:t>
        </w:r>
      </w:hyperlink>
      <w:r w:rsidR="005D64ED" w:rsidRPr="006502D2">
        <w:rPr>
          <w:rFonts w:cs="Arial"/>
        </w:rPr>
        <w:t xml:space="preserve">, et auprès du Greffe du Conseil des Prud’hommes </w:t>
      </w:r>
      <w:r>
        <w:rPr>
          <w:rFonts w:cs="Arial"/>
        </w:rPr>
        <w:t xml:space="preserve">de </w:t>
      </w:r>
      <w:r w:rsidR="00357C5F">
        <w:rPr>
          <w:rFonts w:cs="Arial"/>
        </w:rPr>
        <w:t>Montbéliard</w:t>
      </w:r>
      <w:r w:rsidR="001A016E">
        <w:rPr>
          <w:rFonts w:cs="Arial"/>
        </w:rPr>
        <w:t xml:space="preserve"> (25)</w:t>
      </w:r>
      <w:r w:rsidR="005D64ED" w:rsidRPr="006502D2">
        <w:rPr>
          <w:rFonts w:cs="Arial"/>
        </w:rPr>
        <w:t>, conformément aux dispositions légales.</w:t>
      </w:r>
    </w:p>
    <w:p w14:paraId="27EB5CE9" w14:textId="77777777" w:rsidP="00F55FC6" w:rsidR="005D64ED" w:rsidRDefault="005D64ED">
      <w:pPr>
        <w:spacing w:line="360" w:lineRule="exact"/>
        <w:rPr>
          <w:rFonts w:cs="Arial"/>
        </w:rPr>
      </w:pPr>
    </w:p>
    <w:p w14:paraId="1D4C9B7B" w14:textId="77777777" w:rsidP="00F55FC6" w:rsidR="001C0A04" w:rsidRDefault="001C0A04">
      <w:pPr>
        <w:spacing w:line="20" w:lineRule="exact"/>
        <w:rPr>
          <w:rFonts w:cs="Arial"/>
          <w:lang w:eastAsia="fr-FR"/>
        </w:rPr>
      </w:pPr>
    </w:p>
    <w:p w14:paraId="38CFFD55" w14:textId="26E213F3" w:rsidP="00FD602D" w:rsidR="00513297" w:rsidRDefault="00513297" w:rsidRPr="00A63B3E">
      <w:pPr>
        <w:rPr>
          <w:rFonts w:cs="Arial"/>
          <w:lang w:eastAsia="fr-FR"/>
        </w:rPr>
      </w:pPr>
      <w:r w:rsidRPr="00A63B3E">
        <w:rPr>
          <w:rFonts w:cs="Arial"/>
          <w:lang w:eastAsia="fr-FR"/>
        </w:rPr>
        <w:t xml:space="preserve">Fait à </w:t>
      </w:r>
      <w:r w:rsidR="00274D45">
        <w:rPr>
          <w:rFonts w:cs="Arial"/>
          <w:lang w:eastAsia="fr-FR"/>
        </w:rPr>
        <w:t>Etupes</w:t>
      </w:r>
      <w:r w:rsidRPr="0062434B">
        <w:rPr>
          <w:rFonts w:cs="Arial"/>
          <w:lang w:eastAsia="fr-FR"/>
        </w:rPr>
        <w:t xml:space="preserve">, le </w:t>
      </w:r>
      <w:r w:rsidR="001144A8">
        <w:rPr>
          <w:rFonts w:cs="Arial"/>
          <w:lang w:eastAsia="fr-FR"/>
        </w:rPr>
        <w:t>2</w:t>
      </w:r>
      <w:r w:rsidR="00716ED3">
        <w:rPr>
          <w:rFonts w:cs="Arial"/>
          <w:lang w:eastAsia="fr-FR"/>
        </w:rPr>
        <w:t xml:space="preserve"> février</w:t>
      </w:r>
      <w:r w:rsidRPr="0062434B">
        <w:rPr>
          <w:rFonts w:cs="Arial"/>
          <w:lang w:eastAsia="fr-FR"/>
        </w:rPr>
        <w:t xml:space="preserve"> 20</w:t>
      </w:r>
      <w:r w:rsidR="00E9747C" w:rsidRPr="0062434B">
        <w:rPr>
          <w:rFonts w:cs="Arial"/>
          <w:lang w:eastAsia="fr-FR"/>
        </w:rPr>
        <w:t>2</w:t>
      </w:r>
      <w:r w:rsidR="005D64ED">
        <w:rPr>
          <w:rFonts w:cs="Arial"/>
          <w:lang w:eastAsia="fr-FR"/>
        </w:rPr>
        <w:t>3</w:t>
      </w:r>
      <w:r w:rsidR="005F4F5F" w:rsidRPr="0062434B">
        <w:rPr>
          <w:rFonts w:cs="Arial"/>
          <w:lang w:eastAsia="fr-FR"/>
        </w:rPr>
        <w:t xml:space="preserve"> en </w:t>
      </w:r>
      <w:r w:rsidR="00115EDB">
        <w:rPr>
          <w:rFonts w:cs="Arial"/>
          <w:lang w:eastAsia="fr-FR"/>
        </w:rPr>
        <w:t>6</w:t>
      </w:r>
      <w:r w:rsidR="005F4F5F" w:rsidRPr="0062434B">
        <w:rPr>
          <w:rFonts w:cs="Arial"/>
          <w:lang w:eastAsia="fr-FR"/>
        </w:rPr>
        <w:t xml:space="preserve"> exemplaires</w:t>
      </w:r>
      <w:r w:rsidR="005F4F5F" w:rsidRPr="00A63B3E">
        <w:rPr>
          <w:rFonts w:cs="Arial"/>
          <w:lang w:eastAsia="fr-FR"/>
        </w:rPr>
        <w:t xml:space="preserve"> originaux</w:t>
      </w:r>
      <w:r w:rsidR="005E1511">
        <w:rPr>
          <w:rFonts w:cs="Arial"/>
          <w:lang w:eastAsia="fr-FR"/>
        </w:rPr>
        <w:t>.</w:t>
      </w:r>
    </w:p>
    <w:p w14:paraId="2D52A186" w14:textId="7ACAD716" w:rsidP="00FD602D" w:rsidR="00D27AE5" w:rsidRDefault="00D27AE5" w:rsidRPr="00A63B3E">
      <w:pPr>
        <w:rPr>
          <w:rFonts w:cs="Arial"/>
          <w:lang w:eastAsia="fr-FR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096"/>
        <w:gridCol w:w="2622"/>
      </w:tblGrid>
      <w:tr w14:paraId="1D5D37BB" w14:textId="77777777" w:rsidR="002E4486" w:rsidRPr="00A63B3E" w:rsidTr="00FE7DD5">
        <w:tc>
          <w:tcPr>
            <w:tcW w:type="dxa" w:w="6096"/>
            <w:shd w:color="auto" w:fill="auto" w:val="clear"/>
          </w:tcPr>
          <w:p w14:paraId="34E2BC86" w14:textId="3A960D47" w:rsidP="00292A9D" w:rsidR="002E4486" w:rsidRDefault="002E4486" w:rsidRPr="00C92518">
            <w:pPr>
              <w:ind w:left="-105"/>
              <w:rPr>
                <w:rFonts w:cs="Arial"/>
                <w:b/>
              </w:rPr>
            </w:pPr>
            <w:r w:rsidRPr="00C92518">
              <w:rPr>
                <w:rFonts w:cs="Arial"/>
                <w:b/>
              </w:rPr>
              <w:t xml:space="preserve">Pour </w:t>
            </w:r>
            <w:r w:rsidR="00C01BF1" w:rsidRPr="00C92518">
              <w:rPr>
                <w:rFonts w:cs="Arial"/>
                <w:b/>
              </w:rPr>
              <w:t>la Société</w:t>
            </w:r>
            <w:r w:rsidRPr="00C92518">
              <w:rPr>
                <w:rFonts w:cs="Arial"/>
                <w:b/>
              </w:rPr>
              <w:t xml:space="preserve"> </w:t>
            </w:r>
          </w:p>
          <w:p w14:paraId="79673CD7" w14:textId="77777777" w:rsidP="00FD59C2" w:rsidR="002E4486" w:rsidRDefault="002E4486" w:rsidRPr="00C92518">
            <w:pPr>
              <w:rPr>
                <w:rFonts w:cs="Arial"/>
              </w:rPr>
            </w:pPr>
          </w:p>
          <w:p w14:paraId="09B43A94" w14:textId="7E8D1105" w:rsidP="00716ED3" w:rsidR="00716ED3" w:rsidRDefault="00716ED3" w:rsidRPr="00716ED3">
            <w:pPr>
              <w:ind w:left="-105"/>
              <w:rPr>
                <w:rFonts w:cs="Arial"/>
                <w:b/>
                <w:bCs/>
              </w:rPr>
            </w:pPr>
          </w:p>
          <w:p w14:paraId="5E132503" w14:textId="7B1FB01D" w:rsidP="00716ED3" w:rsidR="00995C82" w:rsidRDefault="00C92518" w:rsidRPr="00C92518">
            <w:pPr>
              <w:ind w:left="-105"/>
              <w:rPr>
                <w:rFonts w:cs="Arial"/>
              </w:rPr>
            </w:pPr>
            <w:r w:rsidRPr="00C92518">
              <w:rPr>
                <w:rFonts w:cs="Arial"/>
              </w:rPr>
              <w:t>Directeur Usine</w:t>
            </w:r>
          </w:p>
          <w:p w14:paraId="62FFD1C8" w14:textId="0B1FCD49" w:rsidP="00995C82" w:rsidR="002E4486" w:rsidRDefault="00995C82" w:rsidRPr="00C92518">
            <w:pPr>
              <w:ind w:left="-105"/>
              <w:rPr>
                <w:rFonts w:cs="Arial"/>
              </w:rPr>
            </w:pPr>
            <w:r w:rsidRPr="00C92518">
              <w:rPr>
                <w:rFonts w:cs="Arial"/>
              </w:rPr>
              <w:t xml:space="preserve"> </w:t>
            </w:r>
          </w:p>
          <w:p w14:paraId="38C8DE5B" w14:textId="36B814F4" w:rsidP="00115EDB" w:rsidR="00995C82" w:rsidRDefault="00115EDB" w:rsidRPr="00C92518">
            <w:pPr>
              <w:tabs>
                <w:tab w:pos="4005" w:val="left"/>
              </w:tabs>
              <w:ind w:left="-10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type="dxa" w:w="2622"/>
            <w:shd w:color="auto" w:fill="auto" w:val="clear"/>
          </w:tcPr>
          <w:p w14:paraId="0D07169D" w14:textId="77777777" w:rsidP="00FD59C2" w:rsidR="002E4486" w:rsidRDefault="002E4486" w:rsidRPr="00C92518">
            <w:pPr>
              <w:ind w:left="22"/>
              <w:rPr>
                <w:rFonts w:cs="Arial"/>
                <w:b/>
              </w:rPr>
            </w:pPr>
            <w:r w:rsidRPr="00C92518">
              <w:rPr>
                <w:rFonts w:cs="Arial"/>
                <w:b/>
              </w:rPr>
              <w:t>Pour les Organisations Syndicales :</w:t>
            </w:r>
          </w:p>
          <w:p w14:paraId="63FB386F" w14:textId="77777777" w:rsidP="00FD59C2" w:rsidR="002E4486" w:rsidRDefault="002E4486" w:rsidRPr="00C92518">
            <w:pPr>
              <w:ind w:left="22"/>
              <w:rPr>
                <w:rFonts w:cs="Arial"/>
              </w:rPr>
            </w:pPr>
          </w:p>
          <w:p w14:paraId="18946985" w14:textId="69C518DA" w:rsidP="000908FD" w:rsidR="00C92518" w:rsidRDefault="00C92518" w:rsidRPr="00C92518">
            <w:pPr>
              <w:ind w:left="22"/>
              <w:rPr>
                <w:rFonts w:cs="Arial"/>
                <w:b/>
              </w:rPr>
            </w:pPr>
          </w:p>
          <w:p w14:paraId="42E85DF5" w14:textId="2CDE7375" w:rsidP="000908FD" w:rsidR="002E4486" w:rsidRDefault="001D018F" w:rsidRPr="00C92518">
            <w:pPr>
              <w:ind w:left="22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</w:t>
            </w:r>
            <w:r w:rsidR="00995C82" w:rsidRPr="00C92518">
              <w:rPr>
                <w:rFonts w:cs="Arial"/>
                <w:bCs/>
              </w:rPr>
              <w:t xml:space="preserve">our la CFDT </w:t>
            </w:r>
          </w:p>
          <w:p w14:paraId="67694F47" w14:textId="77777777" w:rsidP="00FD59C2" w:rsidR="002E4486" w:rsidRDefault="002E4486" w:rsidRPr="00C92518">
            <w:pPr>
              <w:ind w:left="22"/>
              <w:rPr>
                <w:rFonts w:cs="Arial"/>
              </w:rPr>
            </w:pPr>
          </w:p>
          <w:p w14:paraId="24E89193" w14:textId="43148DFA" w:rsidP="00FD59C2" w:rsidR="002E4486" w:rsidRDefault="002E4486" w:rsidRPr="00C92518">
            <w:pPr>
              <w:ind w:left="22"/>
              <w:rPr>
                <w:rFonts w:cs="Arial"/>
              </w:rPr>
            </w:pPr>
          </w:p>
          <w:p w14:paraId="06978AB6" w14:textId="6097F8B2" w:rsidP="00FD59C2" w:rsidR="00C92518" w:rsidRDefault="00C92518">
            <w:pPr>
              <w:ind w:left="22"/>
              <w:rPr>
                <w:rFonts w:cs="Arial"/>
              </w:rPr>
            </w:pPr>
          </w:p>
          <w:p w14:paraId="38DD57C8" w14:textId="77777777" w:rsidP="00FD59C2" w:rsidR="00C92518" w:rsidRDefault="00C92518" w:rsidRPr="00C92518">
            <w:pPr>
              <w:ind w:left="22"/>
              <w:rPr>
                <w:rFonts w:cs="Arial"/>
              </w:rPr>
            </w:pPr>
          </w:p>
          <w:p w14:paraId="5AD61C3A" w14:textId="34B76A7A" w:rsidP="00C01BF1" w:rsidR="00C01BF1" w:rsidRDefault="00C01BF1" w:rsidRPr="00C92518">
            <w:pPr>
              <w:ind w:left="22"/>
              <w:rPr>
                <w:rFonts w:cs="Arial"/>
                <w:b/>
              </w:rPr>
            </w:pPr>
          </w:p>
          <w:p w14:paraId="19ACD28C" w14:textId="38BAD81A" w:rsidP="000E251C" w:rsidR="00995C82" w:rsidRDefault="001D018F">
            <w:pPr>
              <w:ind w:left="22"/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995C82" w:rsidRPr="00C92518">
              <w:rPr>
                <w:rFonts w:cs="Arial"/>
              </w:rPr>
              <w:t xml:space="preserve">our </w:t>
            </w:r>
            <w:r>
              <w:rPr>
                <w:rFonts w:cs="Arial"/>
              </w:rPr>
              <w:t>la CFTC</w:t>
            </w:r>
          </w:p>
          <w:p w14:paraId="656997BB" w14:textId="1EEEDF1D" w:rsidP="000E251C" w:rsidR="001D018F" w:rsidRDefault="001D018F">
            <w:pPr>
              <w:ind w:left="22"/>
              <w:rPr>
                <w:rFonts w:cs="Arial"/>
              </w:rPr>
            </w:pPr>
          </w:p>
          <w:p w14:paraId="4CF230E1" w14:textId="6F08530C" w:rsidP="000E251C" w:rsidR="001D018F" w:rsidRDefault="001D018F">
            <w:pPr>
              <w:ind w:left="22"/>
              <w:rPr>
                <w:rFonts w:cs="Arial"/>
              </w:rPr>
            </w:pPr>
          </w:p>
          <w:p w14:paraId="7AB78F7B" w14:textId="77777777" w:rsidP="000E251C" w:rsidR="00BE24D2" w:rsidRDefault="00BE24D2">
            <w:pPr>
              <w:ind w:left="22"/>
              <w:rPr>
                <w:rFonts w:cs="Arial"/>
              </w:rPr>
            </w:pPr>
          </w:p>
          <w:p w14:paraId="40E6E5CC" w14:textId="77777777" w:rsidP="000E251C" w:rsidR="00F55FC6" w:rsidRDefault="00F55FC6">
            <w:pPr>
              <w:ind w:left="22"/>
              <w:rPr>
                <w:rFonts w:cs="Arial"/>
                <w:b/>
                <w:bCs/>
              </w:rPr>
            </w:pPr>
          </w:p>
          <w:p w14:paraId="09929BAE" w14:textId="5F99572F" w:rsidP="000E251C" w:rsidR="001D018F" w:rsidRDefault="001D018F" w:rsidRPr="001D018F">
            <w:pPr>
              <w:ind w:left="22"/>
              <w:rPr>
                <w:rFonts w:cs="Arial"/>
                <w:b/>
                <w:bCs/>
              </w:rPr>
            </w:pPr>
          </w:p>
          <w:p w14:paraId="1EC8EDF3" w14:textId="26F73242" w:rsidP="00FE7DD5" w:rsidR="00E81F1C" w:rsidRDefault="001D018F" w:rsidRPr="00A63B3E">
            <w:pPr>
              <w:ind w:left="22"/>
              <w:rPr>
                <w:rFonts w:cs="Arial"/>
              </w:rPr>
            </w:pPr>
            <w:r>
              <w:rPr>
                <w:rFonts w:cs="Arial"/>
              </w:rPr>
              <w:t>pour la CGT</w:t>
            </w:r>
          </w:p>
        </w:tc>
      </w:tr>
    </w:tbl>
    <w:p w14:paraId="521D0A39" w14:textId="77777777" w:rsidP="00F55FC6" w:rsidR="00924037" w:rsidRDefault="00924037" w:rsidRPr="00047792">
      <w:pPr>
        <w:widowControl/>
        <w:spacing w:after="200" w:line="276" w:lineRule="auto"/>
        <w:jc w:val="left"/>
        <w:rPr>
          <w:rFonts w:cs="Arial"/>
          <w:b/>
          <w:lang w:eastAsia="fr-FR"/>
        </w:rPr>
      </w:pPr>
    </w:p>
    <w:sectPr w:rsidR="00924037" w:rsidRPr="00047792" w:rsidSect="00322475">
      <w:headerReference r:id="rId10" w:type="even"/>
      <w:headerReference r:id="rId11" w:type="default"/>
      <w:footerReference r:id="rId12" w:type="default"/>
      <w:headerReference r:id="rId13" w:type="first"/>
      <w:pgSz w:h="16838" w:w="11906"/>
      <w:pgMar w:bottom="1418" w:footer="709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BFA4" w14:textId="77777777" w:rsidR="0050686D" w:rsidRDefault="0050686D" w:rsidP="00FD602D">
      <w:r>
        <w:separator/>
      </w:r>
    </w:p>
  </w:endnote>
  <w:endnote w:type="continuationSeparator" w:id="0">
    <w:p w14:paraId="2B2533C9" w14:textId="77777777" w:rsidR="0050686D" w:rsidRDefault="0050686D" w:rsidP="00FD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029718432"/>
      <w:docPartObj>
        <w:docPartGallery w:val="Page Numbers (Bottom of Page)"/>
        <w:docPartUnique/>
      </w:docPartObj>
    </w:sdtPr>
    <w:sdtEndPr>
      <w:rPr>
        <w:rFonts w:asciiTheme="minorHAnsi" w:cstheme="minorHAnsi" w:hAnsiTheme="minorHAnsi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cstheme="minorHAnsi" w:hAnsiTheme="minorHAnsi"/>
          </w:rPr>
        </w:sdtEndPr>
        <w:sdtContent>
          <w:p w14:paraId="3B0A3A01" w14:textId="0F5B895D" w:rsidP="00F8325B" w:rsidR="002226E8" w:rsidRDefault="002226E8">
            <w:pPr>
              <w:pStyle w:val="Pieddepage"/>
              <w:jc w:val="center"/>
              <w:rPr>
                <w:rFonts w:asciiTheme="minorHAnsi" w:cstheme="minorHAnsi" w:hAnsiTheme="minorHAnsi"/>
                <w:b/>
                <w:bCs/>
              </w:rPr>
            </w:pPr>
            <w:r w:rsidRPr="00FA0740">
              <w:rPr>
                <w:rFonts w:asciiTheme="minorHAnsi" w:cstheme="minorHAnsi" w:hAnsiTheme="minorHAnsi"/>
              </w:rPr>
              <w:t xml:space="preserve">Page </w: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begin"/>
            </w:r>
            <w:r w:rsidRPr="00FA0740">
              <w:rPr>
                <w:rFonts w:asciiTheme="minorHAnsi" w:cstheme="minorHAnsi" w:hAnsiTheme="minorHAnsi"/>
                <w:b/>
                <w:bCs/>
              </w:rPr>
              <w:instrText>PAGE</w:instrTex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separate"/>
            </w:r>
            <w:r>
              <w:rPr>
                <w:rFonts w:asciiTheme="minorHAnsi" w:cstheme="minorHAnsi" w:hAnsiTheme="minorHAnsi"/>
                <w:b/>
                <w:bCs/>
                <w:noProof/>
              </w:rPr>
              <w:t>10</w: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end"/>
            </w:r>
            <w:r w:rsidRPr="00FA0740">
              <w:rPr>
                <w:rFonts w:asciiTheme="minorHAnsi" w:cstheme="minorHAnsi" w:hAnsiTheme="minorHAnsi"/>
              </w:rPr>
              <w:t xml:space="preserve"> sur </w: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begin"/>
            </w:r>
            <w:r w:rsidRPr="00FA0740">
              <w:rPr>
                <w:rFonts w:asciiTheme="minorHAnsi" w:cstheme="minorHAnsi" w:hAnsiTheme="minorHAnsi"/>
                <w:b/>
                <w:bCs/>
              </w:rPr>
              <w:instrText>NUMPAGES</w:instrTex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separate"/>
            </w:r>
            <w:r>
              <w:rPr>
                <w:rFonts w:asciiTheme="minorHAnsi" w:cstheme="minorHAnsi" w:hAnsiTheme="minorHAnsi"/>
                <w:b/>
                <w:bCs/>
                <w:noProof/>
              </w:rPr>
              <w:t>18</w: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end"/>
            </w:r>
          </w:p>
          <w:p w14:paraId="08B87A3C" w14:textId="0A56B27E" w:rsidP="00F8325B" w:rsidR="002226E8" w:rsidRDefault="001B7E73">
            <w:pPr>
              <w:pStyle w:val="Pieddepage"/>
              <w:jc w:val="center"/>
              <w:rPr>
                <w:rFonts w:asciiTheme="minorHAnsi" w:cstheme="minorHAnsi" w:hAnsiTheme="minorHAnsi"/>
              </w:rPr>
            </w:pPr>
          </w:p>
        </w:sdtContent>
      </w:sdt>
    </w:sdtContent>
  </w:sdt>
  <w:p w14:paraId="04015A03" w14:textId="11F5E291" w:rsidP="0033342D" w:rsidR="002226E8" w:rsidRDefault="002226E8">
    <w:pPr>
      <w:pStyle w:val="Pieddepage"/>
      <w:jc w:val="center"/>
      <w:rPr>
        <w:rFonts w:asciiTheme="minorHAnsi" w:cstheme="minorHAnsi" w:hAnsiTheme="minorHAnsi"/>
        <w:i/>
        <w:iCs/>
      </w:rPr>
    </w:pPr>
    <w:r w:rsidRPr="0033342D">
      <w:rPr>
        <w:rFonts w:asciiTheme="minorHAnsi" w:cstheme="minorHAnsi" w:hAnsiTheme="minorHAnsi"/>
        <w:i/>
        <w:iCs/>
      </w:rPr>
      <w:t xml:space="preserve">Accord </w:t>
    </w:r>
    <w:r w:rsidR="00C01BF1">
      <w:rPr>
        <w:rFonts w:asciiTheme="minorHAnsi" w:cstheme="minorHAnsi" w:hAnsiTheme="minorHAnsi"/>
        <w:i/>
        <w:iCs/>
      </w:rPr>
      <w:t>salarial 2023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5B6C06B" w14:textId="77777777" w:rsidP="00FD602D" w:rsidR="0050686D" w:rsidRDefault="0050686D">
      <w:r>
        <w:separator/>
      </w:r>
    </w:p>
  </w:footnote>
  <w:footnote w:id="0" w:type="continuationSeparator">
    <w:p w14:paraId="5D008622" w14:textId="77777777" w:rsidP="00FD602D" w:rsidR="0050686D" w:rsidRDefault="0050686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9C67257" w14:textId="3048ADA6" w:rsidP="00FE5D37" w:rsidR="002226E8" w:rsidRDefault="002226E8" w:rsidRPr="00DA049B">
    <w:pPr>
      <w:pStyle w:val="En-tte"/>
      <w:jc w:val="left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50FC711" w14:textId="1823E9CF" w:rsidP="00FE5D37" w:rsidR="002226E8" w:rsidRDefault="00C01BF1" w:rsidRPr="00DA049B">
    <w:pPr>
      <w:pStyle w:val="En-tte"/>
      <w:jc w:val="left"/>
    </w:pPr>
    <w:r>
      <w:rPr>
        <w:noProof/>
      </w:rPr>
      <w:drawing>
        <wp:anchor allowOverlap="1" behindDoc="1" distB="0" distL="114300" distR="114300" distT="0" layoutInCell="1" locked="1" relativeHeight="251659264" simplePos="0" wp14:anchorId="34CD6B63" wp14:editId="6D1D3203">
          <wp:simplePos x="0" y="0"/>
          <wp:positionH relativeFrom="margin">
            <wp:posOffset>3905250</wp:posOffset>
          </wp:positionH>
          <wp:positionV relativeFrom="page">
            <wp:posOffset>297180</wp:posOffset>
          </wp:positionV>
          <wp:extent cx="1786890" cy="542925"/>
          <wp:effectExtent b="9525" l="0" r="3810" t="0"/>
          <wp:wrapTight wrapText="bothSides">
            <wp:wrapPolygon edited="0">
              <wp:start x="0" y="0"/>
              <wp:lineTo x="0" y="10611"/>
              <wp:lineTo x="10823" y="12126"/>
              <wp:lineTo x="9672" y="16674"/>
              <wp:lineTo x="9902" y="21221"/>
              <wp:lineTo x="21416" y="21221"/>
              <wp:lineTo x="21416" y="15158"/>
              <wp:lineTo x="10823" y="12126"/>
              <wp:lineTo x="21416" y="10611"/>
              <wp:lineTo x="21416" y="8337"/>
              <wp:lineTo x="20495" y="0"/>
              <wp:lineTo x="0" y="0"/>
            </wp:wrapPolygon>
          </wp:wrapTight>
          <wp:docPr id="146" name="Graphique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689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A65B02" w14:textId="7BDEE01D" w:rsidP="00FE5D37" w:rsidR="002226E8" w:rsidRDefault="002226E8" w:rsidRPr="00DA049B">
    <w:pPr>
      <w:pStyle w:val="En-tte"/>
      <w:jc w:val="left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3"/>
    <w:multiLevelType w:val="singleLevel"/>
    <w:tmpl w:val="F79CA7A6"/>
    <w:lvl w:ilvl="0">
      <w:start w:val="1"/>
      <w:numFmt w:val="bullet"/>
      <w:pStyle w:val="Listepuces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">
    <w:nsid w:val="08C652A3"/>
    <w:multiLevelType w:val="hybridMultilevel"/>
    <w:tmpl w:val="20E20528"/>
    <w:lvl w:ilvl="0" w:tplc="040C0001">
      <w:start w:val="1"/>
      <w:numFmt w:val="bullet"/>
      <w:pStyle w:val="Listepuces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9750C08"/>
    <w:multiLevelType w:val="hybridMultilevel"/>
    <w:tmpl w:val="98E64B08"/>
    <w:lvl w:ilvl="0" w:tplc="F9DE404E">
      <w:start w:val="45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B6E3DD6"/>
    <w:multiLevelType w:val="hybridMultilevel"/>
    <w:tmpl w:val="EEFE33E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0000"/>
        <w:sz w:val="21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EA73F50"/>
    <w:multiLevelType w:val="hybridMultilevel"/>
    <w:tmpl w:val="E024828A"/>
    <w:lvl w:ilvl="0" w:tplc="C506F10C">
      <w:start w:val="1"/>
      <w:numFmt w:val="bullet"/>
      <w:lvlText w:val="-"/>
      <w:lvlJc w:val="left"/>
      <w:pPr>
        <w:ind w:hanging="708" w:left="1068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21556F7"/>
    <w:multiLevelType w:val="hybridMultilevel"/>
    <w:tmpl w:val="13C838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6">
    <w:nsid w:val="179979D2"/>
    <w:multiLevelType w:val="hybridMultilevel"/>
    <w:tmpl w:val="00841A9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8AF1DEF"/>
    <w:multiLevelType w:val="hybridMultilevel"/>
    <w:tmpl w:val="ED3461CA"/>
    <w:lvl w:ilvl="0" w:tplc="A94EB298">
      <w:start w:val="28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F216BD2"/>
    <w:multiLevelType w:val="hybridMultilevel"/>
    <w:tmpl w:val="97B4746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F2206CA"/>
    <w:multiLevelType w:val="hybridMultilevel"/>
    <w:tmpl w:val="906AC86C"/>
    <w:lvl w:ilvl="0" w:tplc="F9DE404E">
      <w:start w:val="45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  <w:color w:val="auto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2A72AEB"/>
    <w:multiLevelType w:val="hybridMultilevel"/>
    <w:tmpl w:val="44F84F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4766BD0"/>
    <w:multiLevelType w:val="hybridMultilevel"/>
    <w:tmpl w:val="B57257EE"/>
    <w:lvl w:ilvl="0" w:tplc="0F801986">
      <w:numFmt w:val="bullet"/>
      <w:pStyle w:val="td1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pStyle w:val="td2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4D53DB3"/>
    <w:multiLevelType w:val="hybridMultilevel"/>
    <w:tmpl w:val="9184ED8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62F171E"/>
    <w:multiLevelType w:val="hybridMultilevel"/>
    <w:tmpl w:val="248C67A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68B6E94"/>
    <w:multiLevelType w:val="hybridMultilevel"/>
    <w:tmpl w:val="F74CB9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88D7489"/>
    <w:multiLevelType w:val="hybridMultilevel"/>
    <w:tmpl w:val="1B14103A"/>
    <w:lvl w:ilvl="0" w:tplc="3BE8C70E">
      <w:start w:val="28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93170E9"/>
    <w:multiLevelType w:val="hybridMultilevel"/>
    <w:tmpl w:val="ED8CD40A"/>
    <w:lvl w:ilvl="0" w:tplc="D3D06BEA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B1870C5"/>
    <w:multiLevelType w:val="hybridMultilevel"/>
    <w:tmpl w:val="0256E928"/>
    <w:lvl w:ilvl="0" w:tplc="040C0001">
      <w:start w:val="1"/>
      <w:numFmt w:val="bullet"/>
      <w:lvlText w:val=""/>
      <w:lvlJc w:val="left"/>
      <w:pPr>
        <w:ind w:hanging="708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DD27F9E"/>
    <w:multiLevelType w:val="hybridMultilevel"/>
    <w:tmpl w:val="54C6C396"/>
    <w:lvl w:ilvl="0" w:tplc="040C000B">
      <w:start w:val="1"/>
      <w:numFmt w:val="bullet"/>
      <w:lvlText w:val=""/>
      <w:lvlJc w:val="left"/>
      <w:pPr>
        <w:ind w:hanging="360" w:left="128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19">
    <w:nsid w:val="2E801125"/>
    <w:multiLevelType w:val="hybridMultilevel"/>
    <w:tmpl w:val="B2DE9E8A"/>
    <w:lvl w:ilvl="0" w:tplc="FFFFFFFF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B933881"/>
    <w:multiLevelType w:val="hybridMultilevel"/>
    <w:tmpl w:val="EB2C9914"/>
    <w:lvl w:ilvl="0" w:tplc="1B4A4874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3D3E364C"/>
    <w:multiLevelType w:val="hybridMultilevel"/>
    <w:tmpl w:val="40F6B154"/>
    <w:lvl w:ilvl="0" w:tplc="A0F2E6E4">
      <w:start w:val="3"/>
      <w:numFmt w:val="bullet"/>
      <w:lvlText w:val=""/>
      <w:lvlJc w:val="left"/>
      <w:pPr>
        <w:ind w:hanging="360" w:left="720"/>
      </w:pPr>
      <w:rPr>
        <w:rFonts w:ascii="Wingdings" w:cs="Arial" w:eastAsia="Calibri" w:hAnsi="Wingdings" w:hint="default"/>
        <w:color w:val="000000"/>
        <w:sz w:val="21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3320A98"/>
    <w:multiLevelType w:val="hybridMultilevel"/>
    <w:tmpl w:val="2DE4F38E"/>
    <w:lvl w:ilvl="0" w:tplc="D3D06BEA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4B6469B"/>
    <w:multiLevelType w:val="hybridMultilevel"/>
    <w:tmpl w:val="93967C3C"/>
    <w:lvl w:ilvl="0" w:tplc="74D46748">
      <w:start w:val="23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6E4522A"/>
    <w:multiLevelType w:val="hybridMultilevel"/>
    <w:tmpl w:val="706C71B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751232C"/>
    <w:multiLevelType w:val="hybridMultilevel"/>
    <w:tmpl w:val="A0A44CD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530708D3"/>
    <w:multiLevelType w:val="hybridMultilevel"/>
    <w:tmpl w:val="65CCB99E"/>
    <w:lvl w:ilvl="0" w:tplc="16AADAF4">
      <w:start w:val="1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3F81FF6"/>
    <w:multiLevelType w:val="hybridMultilevel"/>
    <w:tmpl w:val="967EEA38"/>
    <w:lvl w:ilvl="0" w:tplc="D3D06BEA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52D6E54"/>
    <w:multiLevelType w:val="hybridMultilevel"/>
    <w:tmpl w:val="C400C68A"/>
    <w:lvl w:ilvl="0" w:tplc="E8AEF698">
      <w:start w:val="3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3F752AB"/>
    <w:multiLevelType w:val="hybridMultilevel"/>
    <w:tmpl w:val="1714C8D8"/>
    <w:lvl w:ilvl="0" w:tplc="2DD48FDE">
      <w:numFmt w:val="bullet"/>
      <w:lvlText w:val="-"/>
      <w:lvlJc w:val="left"/>
      <w:pPr>
        <w:ind w:hanging="360" w:left="1068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0">
    <w:nsid w:val="679F1C67"/>
    <w:multiLevelType w:val="hybridMultilevel"/>
    <w:tmpl w:val="A6F80F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70715D8B"/>
    <w:multiLevelType w:val="hybridMultilevel"/>
    <w:tmpl w:val="B4E08BFE"/>
    <w:lvl w:ilvl="0" w:tplc="1B4A4874">
      <w:start w:val="2"/>
      <w:numFmt w:val="bullet"/>
      <w:lvlText w:val="-"/>
      <w:lvlJc w:val="left"/>
      <w:pPr>
        <w:ind w:hanging="360" w:left="78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15:restartNumberingAfterBreak="0" w:abstractNumId="32">
    <w:nsid w:val="7A4F0989"/>
    <w:multiLevelType w:val="hybridMultilevel"/>
    <w:tmpl w:val="7E34120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A770B8F"/>
    <w:multiLevelType w:val="hybridMultilevel"/>
    <w:tmpl w:val="C2C486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30"/>
  </w:num>
  <w:num w:numId="7">
    <w:abstractNumId w:val="10"/>
  </w:num>
  <w:num w:numId="8">
    <w:abstractNumId w:val="31"/>
  </w:num>
  <w:num w:numId="9">
    <w:abstractNumId w:val="20"/>
  </w:num>
  <w:num w:numId="10">
    <w:abstractNumId w:val="27"/>
  </w:num>
  <w:num w:numId="11">
    <w:abstractNumId w:val="22"/>
  </w:num>
  <w:num w:numId="12">
    <w:abstractNumId w:val="16"/>
  </w:num>
  <w:num w:numId="13">
    <w:abstractNumId w:val="9"/>
  </w:num>
  <w:num w:numId="14">
    <w:abstractNumId w:val="2"/>
  </w:num>
  <w:num w:numId="15">
    <w:abstractNumId w:val="5"/>
  </w:num>
  <w:num w:numId="16">
    <w:abstractNumId w:val="6"/>
  </w:num>
  <w:num w:numId="17">
    <w:abstractNumId w:val="29"/>
  </w:num>
  <w:num w:numId="18">
    <w:abstractNumId w:val="23"/>
  </w:num>
  <w:num w:numId="19">
    <w:abstractNumId w:val="19"/>
  </w:num>
  <w:num w:numId="20">
    <w:abstractNumId w:val="24"/>
  </w:num>
  <w:num w:numId="21">
    <w:abstractNumId w:val="13"/>
  </w:num>
  <w:num w:numId="22">
    <w:abstractNumId w:val="14"/>
  </w:num>
  <w:num w:numId="23">
    <w:abstractNumId w:val="21"/>
  </w:num>
  <w:num w:numId="24">
    <w:abstractNumId w:val="3"/>
  </w:num>
  <w:num w:numId="25">
    <w:abstractNumId w:val="32"/>
  </w:num>
  <w:num w:numId="26">
    <w:abstractNumId w:val="15"/>
  </w:num>
  <w:num w:numId="27">
    <w:abstractNumId w:val="7"/>
  </w:num>
  <w:num w:numId="28">
    <w:abstractNumId w:val="28"/>
  </w:num>
  <w:num w:numId="29">
    <w:abstractNumId w:val="33"/>
  </w:num>
  <w:num w:numId="30">
    <w:abstractNumId w:val="18"/>
  </w:num>
  <w:num w:numId="31">
    <w:abstractNumId w:val="4"/>
  </w:num>
  <w:num w:numId="32">
    <w:abstractNumId w:val="17"/>
  </w:num>
  <w:num w:numId="33">
    <w:abstractNumId w:val="26"/>
  </w:num>
  <w:num w:numId="34">
    <w:abstractNumId w:val="25"/>
  </w:num>
  <w:numIdMacAtCleanup w:val="16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02"/>
    <w:rsid w:val="00000062"/>
    <w:rsid w:val="0000037D"/>
    <w:rsid w:val="00000B77"/>
    <w:rsid w:val="00002124"/>
    <w:rsid w:val="000054DB"/>
    <w:rsid w:val="0000636E"/>
    <w:rsid w:val="0000749C"/>
    <w:rsid w:val="00007B19"/>
    <w:rsid w:val="00007F62"/>
    <w:rsid w:val="00010002"/>
    <w:rsid w:val="00010579"/>
    <w:rsid w:val="00011BFE"/>
    <w:rsid w:val="00014990"/>
    <w:rsid w:val="00014A4A"/>
    <w:rsid w:val="00015EA0"/>
    <w:rsid w:val="000210C4"/>
    <w:rsid w:val="00022A7E"/>
    <w:rsid w:val="000231C3"/>
    <w:rsid w:val="000241CA"/>
    <w:rsid w:val="000243C0"/>
    <w:rsid w:val="000248F4"/>
    <w:rsid w:val="00024972"/>
    <w:rsid w:val="000253BE"/>
    <w:rsid w:val="00025C86"/>
    <w:rsid w:val="000276D3"/>
    <w:rsid w:val="000279B6"/>
    <w:rsid w:val="00031BE4"/>
    <w:rsid w:val="00033E28"/>
    <w:rsid w:val="00033ED3"/>
    <w:rsid w:val="000353DB"/>
    <w:rsid w:val="00036BD4"/>
    <w:rsid w:val="00036C8E"/>
    <w:rsid w:val="00036EEE"/>
    <w:rsid w:val="000370B9"/>
    <w:rsid w:val="000408EA"/>
    <w:rsid w:val="00040FDE"/>
    <w:rsid w:val="00042BA9"/>
    <w:rsid w:val="0004586D"/>
    <w:rsid w:val="0004662E"/>
    <w:rsid w:val="000476C9"/>
    <w:rsid w:val="00047792"/>
    <w:rsid w:val="000501B0"/>
    <w:rsid w:val="00051882"/>
    <w:rsid w:val="000518CE"/>
    <w:rsid w:val="000546EA"/>
    <w:rsid w:val="00054A82"/>
    <w:rsid w:val="00054B5E"/>
    <w:rsid w:val="00055A7D"/>
    <w:rsid w:val="00055AB8"/>
    <w:rsid w:val="0005748E"/>
    <w:rsid w:val="00057CBA"/>
    <w:rsid w:val="00061766"/>
    <w:rsid w:val="00062185"/>
    <w:rsid w:val="00062E53"/>
    <w:rsid w:val="000639CA"/>
    <w:rsid w:val="00066EA2"/>
    <w:rsid w:val="000671E6"/>
    <w:rsid w:val="0006734C"/>
    <w:rsid w:val="00070361"/>
    <w:rsid w:val="00070B73"/>
    <w:rsid w:val="000716BF"/>
    <w:rsid w:val="00072080"/>
    <w:rsid w:val="00072E84"/>
    <w:rsid w:val="00073179"/>
    <w:rsid w:val="00074598"/>
    <w:rsid w:val="0007532C"/>
    <w:rsid w:val="00076C36"/>
    <w:rsid w:val="00080833"/>
    <w:rsid w:val="0008089A"/>
    <w:rsid w:val="00080A73"/>
    <w:rsid w:val="0008198B"/>
    <w:rsid w:val="00083043"/>
    <w:rsid w:val="000847E3"/>
    <w:rsid w:val="0008500D"/>
    <w:rsid w:val="0008776F"/>
    <w:rsid w:val="000908FD"/>
    <w:rsid w:val="00091BCA"/>
    <w:rsid w:val="000951F4"/>
    <w:rsid w:val="000954A7"/>
    <w:rsid w:val="00095F32"/>
    <w:rsid w:val="000967D9"/>
    <w:rsid w:val="000A0E45"/>
    <w:rsid w:val="000A17A4"/>
    <w:rsid w:val="000A1966"/>
    <w:rsid w:val="000A255B"/>
    <w:rsid w:val="000A2E37"/>
    <w:rsid w:val="000A3F96"/>
    <w:rsid w:val="000A4D11"/>
    <w:rsid w:val="000A6480"/>
    <w:rsid w:val="000A6855"/>
    <w:rsid w:val="000A6C3F"/>
    <w:rsid w:val="000B1827"/>
    <w:rsid w:val="000B1A88"/>
    <w:rsid w:val="000B1DF6"/>
    <w:rsid w:val="000B4D4A"/>
    <w:rsid w:val="000B5046"/>
    <w:rsid w:val="000C0603"/>
    <w:rsid w:val="000C06DC"/>
    <w:rsid w:val="000C1B52"/>
    <w:rsid w:val="000C2755"/>
    <w:rsid w:val="000C3263"/>
    <w:rsid w:val="000C389E"/>
    <w:rsid w:val="000C4DB0"/>
    <w:rsid w:val="000C4FC7"/>
    <w:rsid w:val="000C58E6"/>
    <w:rsid w:val="000C5E4B"/>
    <w:rsid w:val="000C6150"/>
    <w:rsid w:val="000C7DD3"/>
    <w:rsid w:val="000D0344"/>
    <w:rsid w:val="000D10B0"/>
    <w:rsid w:val="000D10E5"/>
    <w:rsid w:val="000D24CB"/>
    <w:rsid w:val="000D3979"/>
    <w:rsid w:val="000E0A5B"/>
    <w:rsid w:val="000E1082"/>
    <w:rsid w:val="000E1B27"/>
    <w:rsid w:val="000E251C"/>
    <w:rsid w:val="000E2EA0"/>
    <w:rsid w:val="000E431A"/>
    <w:rsid w:val="000E44D3"/>
    <w:rsid w:val="000E48AA"/>
    <w:rsid w:val="000E4D2B"/>
    <w:rsid w:val="000E52EB"/>
    <w:rsid w:val="000E5C73"/>
    <w:rsid w:val="000E72B6"/>
    <w:rsid w:val="000F08DC"/>
    <w:rsid w:val="000F1118"/>
    <w:rsid w:val="000F335E"/>
    <w:rsid w:val="000F3BDD"/>
    <w:rsid w:val="000F5E5F"/>
    <w:rsid w:val="000F63E7"/>
    <w:rsid w:val="00101957"/>
    <w:rsid w:val="0010414A"/>
    <w:rsid w:val="00104F7D"/>
    <w:rsid w:val="0010686F"/>
    <w:rsid w:val="00107048"/>
    <w:rsid w:val="001112F7"/>
    <w:rsid w:val="001114C5"/>
    <w:rsid w:val="00111569"/>
    <w:rsid w:val="00111DF4"/>
    <w:rsid w:val="001127FD"/>
    <w:rsid w:val="00113B3E"/>
    <w:rsid w:val="001144A8"/>
    <w:rsid w:val="0011482F"/>
    <w:rsid w:val="00115EDB"/>
    <w:rsid w:val="001207E3"/>
    <w:rsid w:val="00120E78"/>
    <w:rsid w:val="00121A1F"/>
    <w:rsid w:val="00123BE8"/>
    <w:rsid w:val="00124D8B"/>
    <w:rsid w:val="001266C8"/>
    <w:rsid w:val="001276E1"/>
    <w:rsid w:val="001277AF"/>
    <w:rsid w:val="00130C53"/>
    <w:rsid w:val="001320E4"/>
    <w:rsid w:val="00132D1F"/>
    <w:rsid w:val="00135556"/>
    <w:rsid w:val="001367D8"/>
    <w:rsid w:val="0013715B"/>
    <w:rsid w:val="00142039"/>
    <w:rsid w:val="00142ADF"/>
    <w:rsid w:val="0014327F"/>
    <w:rsid w:val="0014337C"/>
    <w:rsid w:val="00144056"/>
    <w:rsid w:val="00145992"/>
    <w:rsid w:val="0014709F"/>
    <w:rsid w:val="0015049F"/>
    <w:rsid w:val="00150EE6"/>
    <w:rsid w:val="00151C38"/>
    <w:rsid w:val="00151CC4"/>
    <w:rsid w:val="00152A21"/>
    <w:rsid w:val="0015486D"/>
    <w:rsid w:val="00155E99"/>
    <w:rsid w:val="00157053"/>
    <w:rsid w:val="001600EB"/>
    <w:rsid w:val="00160440"/>
    <w:rsid w:val="00160B0C"/>
    <w:rsid w:val="00161D84"/>
    <w:rsid w:val="00161E4E"/>
    <w:rsid w:val="00163893"/>
    <w:rsid w:val="0016488E"/>
    <w:rsid w:val="00166C1A"/>
    <w:rsid w:val="0017064E"/>
    <w:rsid w:val="0017188F"/>
    <w:rsid w:val="00171E42"/>
    <w:rsid w:val="00173CF1"/>
    <w:rsid w:val="00177B82"/>
    <w:rsid w:val="0018038F"/>
    <w:rsid w:val="001810CC"/>
    <w:rsid w:val="001811F9"/>
    <w:rsid w:val="00185EA0"/>
    <w:rsid w:val="0018704C"/>
    <w:rsid w:val="001903BE"/>
    <w:rsid w:val="00190CFE"/>
    <w:rsid w:val="001911A6"/>
    <w:rsid w:val="001917FE"/>
    <w:rsid w:val="00192125"/>
    <w:rsid w:val="00193A61"/>
    <w:rsid w:val="00193E1A"/>
    <w:rsid w:val="00195930"/>
    <w:rsid w:val="00196606"/>
    <w:rsid w:val="00196AA0"/>
    <w:rsid w:val="00197FDB"/>
    <w:rsid w:val="001A0072"/>
    <w:rsid w:val="001A016E"/>
    <w:rsid w:val="001A1E04"/>
    <w:rsid w:val="001A20A2"/>
    <w:rsid w:val="001A25CD"/>
    <w:rsid w:val="001A2E75"/>
    <w:rsid w:val="001A498D"/>
    <w:rsid w:val="001A50A6"/>
    <w:rsid w:val="001A5DED"/>
    <w:rsid w:val="001A5E86"/>
    <w:rsid w:val="001A65E0"/>
    <w:rsid w:val="001A72D3"/>
    <w:rsid w:val="001B16B3"/>
    <w:rsid w:val="001B5353"/>
    <w:rsid w:val="001B6180"/>
    <w:rsid w:val="001B7E73"/>
    <w:rsid w:val="001C0A04"/>
    <w:rsid w:val="001C149A"/>
    <w:rsid w:val="001C17F3"/>
    <w:rsid w:val="001C19DA"/>
    <w:rsid w:val="001C2AE6"/>
    <w:rsid w:val="001C3525"/>
    <w:rsid w:val="001C6088"/>
    <w:rsid w:val="001C79EB"/>
    <w:rsid w:val="001C7D4F"/>
    <w:rsid w:val="001D00C6"/>
    <w:rsid w:val="001D018F"/>
    <w:rsid w:val="001D03F6"/>
    <w:rsid w:val="001D0806"/>
    <w:rsid w:val="001D1391"/>
    <w:rsid w:val="001D3B82"/>
    <w:rsid w:val="001D42D9"/>
    <w:rsid w:val="001D4D86"/>
    <w:rsid w:val="001D5913"/>
    <w:rsid w:val="001D5A82"/>
    <w:rsid w:val="001D63CB"/>
    <w:rsid w:val="001D6652"/>
    <w:rsid w:val="001D7152"/>
    <w:rsid w:val="001D718E"/>
    <w:rsid w:val="001E0C64"/>
    <w:rsid w:val="001E0DA1"/>
    <w:rsid w:val="001E13D2"/>
    <w:rsid w:val="001E1922"/>
    <w:rsid w:val="001E2CB0"/>
    <w:rsid w:val="001E31BE"/>
    <w:rsid w:val="001E3201"/>
    <w:rsid w:val="001E382E"/>
    <w:rsid w:val="001E3B4D"/>
    <w:rsid w:val="001E44B6"/>
    <w:rsid w:val="001E49B8"/>
    <w:rsid w:val="001E4CAB"/>
    <w:rsid w:val="001E5508"/>
    <w:rsid w:val="001E5F34"/>
    <w:rsid w:val="001E7244"/>
    <w:rsid w:val="001F27E0"/>
    <w:rsid w:val="001F36D4"/>
    <w:rsid w:val="001F3E56"/>
    <w:rsid w:val="001F40A6"/>
    <w:rsid w:val="001F62F3"/>
    <w:rsid w:val="001F64D5"/>
    <w:rsid w:val="001F756D"/>
    <w:rsid w:val="001F7FF5"/>
    <w:rsid w:val="0020009C"/>
    <w:rsid w:val="00201200"/>
    <w:rsid w:val="002013E3"/>
    <w:rsid w:val="00203D3F"/>
    <w:rsid w:val="00204CBB"/>
    <w:rsid w:val="00206045"/>
    <w:rsid w:val="00211306"/>
    <w:rsid w:val="002116E4"/>
    <w:rsid w:val="00213663"/>
    <w:rsid w:val="00214E63"/>
    <w:rsid w:val="00216214"/>
    <w:rsid w:val="002171B9"/>
    <w:rsid w:val="00221AF9"/>
    <w:rsid w:val="002226E8"/>
    <w:rsid w:val="00224AF6"/>
    <w:rsid w:val="00224C3A"/>
    <w:rsid w:val="00224ED0"/>
    <w:rsid w:val="00226CAE"/>
    <w:rsid w:val="00227669"/>
    <w:rsid w:val="00230082"/>
    <w:rsid w:val="00230992"/>
    <w:rsid w:val="002309A5"/>
    <w:rsid w:val="00230D4C"/>
    <w:rsid w:val="002311F4"/>
    <w:rsid w:val="00233E3B"/>
    <w:rsid w:val="00235805"/>
    <w:rsid w:val="00235AD2"/>
    <w:rsid w:val="00237DB8"/>
    <w:rsid w:val="002420F2"/>
    <w:rsid w:val="00242618"/>
    <w:rsid w:val="00246149"/>
    <w:rsid w:val="00246A53"/>
    <w:rsid w:val="002470D5"/>
    <w:rsid w:val="0025091F"/>
    <w:rsid w:val="00251E14"/>
    <w:rsid w:val="00253221"/>
    <w:rsid w:val="002534D1"/>
    <w:rsid w:val="00253781"/>
    <w:rsid w:val="0025449A"/>
    <w:rsid w:val="00254AC4"/>
    <w:rsid w:val="00255111"/>
    <w:rsid w:val="00256439"/>
    <w:rsid w:val="002603D4"/>
    <w:rsid w:val="00260922"/>
    <w:rsid w:val="002621F8"/>
    <w:rsid w:val="0026318E"/>
    <w:rsid w:val="00264E40"/>
    <w:rsid w:val="00265109"/>
    <w:rsid w:val="002660A0"/>
    <w:rsid w:val="00270424"/>
    <w:rsid w:val="0027125D"/>
    <w:rsid w:val="00274D45"/>
    <w:rsid w:val="0027557F"/>
    <w:rsid w:val="00276AF9"/>
    <w:rsid w:val="00276FAB"/>
    <w:rsid w:val="002774C0"/>
    <w:rsid w:val="00277954"/>
    <w:rsid w:val="00277AD6"/>
    <w:rsid w:val="0028048A"/>
    <w:rsid w:val="00281124"/>
    <w:rsid w:val="00281577"/>
    <w:rsid w:val="00282B1D"/>
    <w:rsid w:val="00283460"/>
    <w:rsid w:val="00283B42"/>
    <w:rsid w:val="0028645F"/>
    <w:rsid w:val="002868A4"/>
    <w:rsid w:val="0028778F"/>
    <w:rsid w:val="00292A9D"/>
    <w:rsid w:val="00293AC9"/>
    <w:rsid w:val="00293F8B"/>
    <w:rsid w:val="002978A4"/>
    <w:rsid w:val="002A0B82"/>
    <w:rsid w:val="002A16DD"/>
    <w:rsid w:val="002A3192"/>
    <w:rsid w:val="002A41C4"/>
    <w:rsid w:val="002A4A47"/>
    <w:rsid w:val="002A4ADB"/>
    <w:rsid w:val="002A73BA"/>
    <w:rsid w:val="002B125E"/>
    <w:rsid w:val="002B3654"/>
    <w:rsid w:val="002B6902"/>
    <w:rsid w:val="002B6A63"/>
    <w:rsid w:val="002B6E3E"/>
    <w:rsid w:val="002B7F27"/>
    <w:rsid w:val="002C055B"/>
    <w:rsid w:val="002C09CC"/>
    <w:rsid w:val="002C0DBC"/>
    <w:rsid w:val="002C1DF2"/>
    <w:rsid w:val="002C1F87"/>
    <w:rsid w:val="002C2FAA"/>
    <w:rsid w:val="002C2FE8"/>
    <w:rsid w:val="002C3909"/>
    <w:rsid w:val="002C4D57"/>
    <w:rsid w:val="002C4F5C"/>
    <w:rsid w:val="002C5724"/>
    <w:rsid w:val="002C603E"/>
    <w:rsid w:val="002C7387"/>
    <w:rsid w:val="002D059A"/>
    <w:rsid w:val="002D091E"/>
    <w:rsid w:val="002D1936"/>
    <w:rsid w:val="002D3FF6"/>
    <w:rsid w:val="002D48C8"/>
    <w:rsid w:val="002D5AB1"/>
    <w:rsid w:val="002D67E4"/>
    <w:rsid w:val="002E19B4"/>
    <w:rsid w:val="002E19FB"/>
    <w:rsid w:val="002E1D15"/>
    <w:rsid w:val="002E1D42"/>
    <w:rsid w:val="002E2443"/>
    <w:rsid w:val="002E367D"/>
    <w:rsid w:val="002E4486"/>
    <w:rsid w:val="002E47F8"/>
    <w:rsid w:val="002E52DC"/>
    <w:rsid w:val="002F1EF1"/>
    <w:rsid w:val="002F2194"/>
    <w:rsid w:val="002F2A34"/>
    <w:rsid w:val="002F2A72"/>
    <w:rsid w:val="002F2CDE"/>
    <w:rsid w:val="002F2E1F"/>
    <w:rsid w:val="002F309C"/>
    <w:rsid w:val="002F5357"/>
    <w:rsid w:val="002F671A"/>
    <w:rsid w:val="002F7B1C"/>
    <w:rsid w:val="003008B0"/>
    <w:rsid w:val="00300DC7"/>
    <w:rsid w:val="0030310F"/>
    <w:rsid w:val="00303CD4"/>
    <w:rsid w:val="00307D56"/>
    <w:rsid w:val="00310334"/>
    <w:rsid w:val="00310E56"/>
    <w:rsid w:val="00311A2F"/>
    <w:rsid w:val="003125F6"/>
    <w:rsid w:val="00312C0D"/>
    <w:rsid w:val="00314F92"/>
    <w:rsid w:val="0031553E"/>
    <w:rsid w:val="00316789"/>
    <w:rsid w:val="00317473"/>
    <w:rsid w:val="00317476"/>
    <w:rsid w:val="00317939"/>
    <w:rsid w:val="00317AE7"/>
    <w:rsid w:val="0032038F"/>
    <w:rsid w:val="00320CF4"/>
    <w:rsid w:val="00322475"/>
    <w:rsid w:val="00325F8B"/>
    <w:rsid w:val="0032607D"/>
    <w:rsid w:val="00331E06"/>
    <w:rsid w:val="0033330F"/>
    <w:rsid w:val="0033342D"/>
    <w:rsid w:val="00333474"/>
    <w:rsid w:val="00334C68"/>
    <w:rsid w:val="00335D0B"/>
    <w:rsid w:val="00336AF3"/>
    <w:rsid w:val="0034168A"/>
    <w:rsid w:val="003420DE"/>
    <w:rsid w:val="00342A52"/>
    <w:rsid w:val="00342BCF"/>
    <w:rsid w:val="00350CB2"/>
    <w:rsid w:val="0035150B"/>
    <w:rsid w:val="00351613"/>
    <w:rsid w:val="00355220"/>
    <w:rsid w:val="003556DE"/>
    <w:rsid w:val="00357A6B"/>
    <w:rsid w:val="00357C5F"/>
    <w:rsid w:val="003654DE"/>
    <w:rsid w:val="003667F8"/>
    <w:rsid w:val="00367012"/>
    <w:rsid w:val="0036738E"/>
    <w:rsid w:val="0036794B"/>
    <w:rsid w:val="003714A1"/>
    <w:rsid w:val="00372048"/>
    <w:rsid w:val="00373B3D"/>
    <w:rsid w:val="00373EF7"/>
    <w:rsid w:val="00374098"/>
    <w:rsid w:val="0037573A"/>
    <w:rsid w:val="00375ADA"/>
    <w:rsid w:val="0038072A"/>
    <w:rsid w:val="0038210B"/>
    <w:rsid w:val="00382811"/>
    <w:rsid w:val="003841E1"/>
    <w:rsid w:val="00384C16"/>
    <w:rsid w:val="0038596F"/>
    <w:rsid w:val="003867C3"/>
    <w:rsid w:val="00387177"/>
    <w:rsid w:val="00390E5E"/>
    <w:rsid w:val="00391293"/>
    <w:rsid w:val="00394C3C"/>
    <w:rsid w:val="003958BA"/>
    <w:rsid w:val="00396842"/>
    <w:rsid w:val="003A1755"/>
    <w:rsid w:val="003A1B50"/>
    <w:rsid w:val="003A3D2C"/>
    <w:rsid w:val="003A4164"/>
    <w:rsid w:val="003B0714"/>
    <w:rsid w:val="003B1767"/>
    <w:rsid w:val="003B3180"/>
    <w:rsid w:val="003B403D"/>
    <w:rsid w:val="003B49B4"/>
    <w:rsid w:val="003B7222"/>
    <w:rsid w:val="003B7B7E"/>
    <w:rsid w:val="003C1408"/>
    <w:rsid w:val="003C163D"/>
    <w:rsid w:val="003C2048"/>
    <w:rsid w:val="003C3BC2"/>
    <w:rsid w:val="003C4BF1"/>
    <w:rsid w:val="003C7A7B"/>
    <w:rsid w:val="003D1036"/>
    <w:rsid w:val="003D238C"/>
    <w:rsid w:val="003D28F5"/>
    <w:rsid w:val="003D33C2"/>
    <w:rsid w:val="003D3C96"/>
    <w:rsid w:val="003D4021"/>
    <w:rsid w:val="003D44ED"/>
    <w:rsid w:val="003D4D7B"/>
    <w:rsid w:val="003D5C20"/>
    <w:rsid w:val="003D5C73"/>
    <w:rsid w:val="003D6F66"/>
    <w:rsid w:val="003E0576"/>
    <w:rsid w:val="003E15A9"/>
    <w:rsid w:val="003E1915"/>
    <w:rsid w:val="003E351F"/>
    <w:rsid w:val="003E5294"/>
    <w:rsid w:val="003E5C44"/>
    <w:rsid w:val="003E63C1"/>
    <w:rsid w:val="003E66D1"/>
    <w:rsid w:val="003E7153"/>
    <w:rsid w:val="003F0B70"/>
    <w:rsid w:val="003F13F3"/>
    <w:rsid w:val="003F1635"/>
    <w:rsid w:val="003F2091"/>
    <w:rsid w:val="003F2EAF"/>
    <w:rsid w:val="003F2ECD"/>
    <w:rsid w:val="003F45B2"/>
    <w:rsid w:val="003F62CF"/>
    <w:rsid w:val="00402BB7"/>
    <w:rsid w:val="004032A1"/>
    <w:rsid w:val="00403AAA"/>
    <w:rsid w:val="0040438A"/>
    <w:rsid w:val="004061AD"/>
    <w:rsid w:val="00406CDB"/>
    <w:rsid w:val="00410352"/>
    <w:rsid w:val="004111E6"/>
    <w:rsid w:val="0041234B"/>
    <w:rsid w:val="004138DC"/>
    <w:rsid w:val="0041402A"/>
    <w:rsid w:val="00416735"/>
    <w:rsid w:val="004177EE"/>
    <w:rsid w:val="00417C6A"/>
    <w:rsid w:val="00420E27"/>
    <w:rsid w:val="00422CEF"/>
    <w:rsid w:val="00422DB5"/>
    <w:rsid w:val="00423F66"/>
    <w:rsid w:val="00425A2F"/>
    <w:rsid w:val="00427340"/>
    <w:rsid w:val="00433631"/>
    <w:rsid w:val="004378F9"/>
    <w:rsid w:val="00437E68"/>
    <w:rsid w:val="00440E1A"/>
    <w:rsid w:val="0044126A"/>
    <w:rsid w:val="00441477"/>
    <w:rsid w:val="00441505"/>
    <w:rsid w:val="00441CAD"/>
    <w:rsid w:val="00442FDF"/>
    <w:rsid w:val="0044374D"/>
    <w:rsid w:val="00443D86"/>
    <w:rsid w:val="00444020"/>
    <w:rsid w:val="00444309"/>
    <w:rsid w:val="0044533E"/>
    <w:rsid w:val="004457DB"/>
    <w:rsid w:val="004473B6"/>
    <w:rsid w:val="004478DC"/>
    <w:rsid w:val="00447E8A"/>
    <w:rsid w:val="00450BF8"/>
    <w:rsid w:val="00450C67"/>
    <w:rsid w:val="00450DE2"/>
    <w:rsid w:val="0045124B"/>
    <w:rsid w:val="00452CB2"/>
    <w:rsid w:val="0045353D"/>
    <w:rsid w:val="00454F5D"/>
    <w:rsid w:val="004557E7"/>
    <w:rsid w:val="00455B3C"/>
    <w:rsid w:val="00455DCC"/>
    <w:rsid w:val="00455F90"/>
    <w:rsid w:val="00456336"/>
    <w:rsid w:val="004574B0"/>
    <w:rsid w:val="004577D6"/>
    <w:rsid w:val="00457F5E"/>
    <w:rsid w:val="00460AC6"/>
    <w:rsid w:val="004625AE"/>
    <w:rsid w:val="004629D0"/>
    <w:rsid w:val="00464384"/>
    <w:rsid w:val="004659F9"/>
    <w:rsid w:val="00465BDA"/>
    <w:rsid w:val="00466791"/>
    <w:rsid w:val="00466DB6"/>
    <w:rsid w:val="004703CF"/>
    <w:rsid w:val="0047144A"/>
    <w:rsid w:val="00472BA0"/>
    <w:rsid w:val="00472FDA"/>
    <w:rsid w:val="0047318D"/>
    <w:rsid w:val="004737D5"/>
    <w:rsid w:val="00473F34"/>
    <w:rsid w:val="004749A4"/>
    <w:rsid w:val="00476B67"/>
    <w:rsid w:val="00477458"/>
    <w:rsid w:val="00480717"/>
    <w:rsid w:val="00480F57"/>
    <w:rsid w:val="00481DBD"/>
    <w:rsid w:val="004822A0"/>
    <w:rsid w:val="00482738"/>
    <w:rsid w:val="0048286B"/>
    <w:rsid w:val="004839D3"/>
    <w:rsid w:val="00484FD7"/>
    <w:rsid w:val="004869A1"/>
    <w:rsid w:val="00487F73"/>
    <w:rsid w:val="00491837"/>
    <w:rsid w:val="00491C2D"/>
    <w:rsid w:val="00494106"/>
    <w:rsid w:val="004945C8"/>
    <w:rsid w:val="00494DA2"/>
    <w:rsid w:val="00494E7D"/>
    <w:rsid w:val="00495E39"/>
    <w:rsid w:val="00495E9A"/>
    <w:rsid w:val="004A1B09"/>
    <w:rsid w:val="004A2036"/>
    <w:rsid w:val="004A2788"/>
    <w:rsid w:val="004A521C"/>
    <w:rsid w:val="004A590B"/>
    <w:rsid w:val="004A68DA"/>
    <w:rsid w:val="004A7400"/>
    <w:rsid w:val="004A7AE3"/>
    <w:rsid w:val="004A7FA3"/>
    <w:rsid w:val="004B136C"/>
    <w:rsid w:val="004B1D41"/>
    <w:rsid w:val="004B25E6"/>
    <w:rsid w:val="004B2E8C"/>
    <w:rsid w:val="004B2F7D"/>
    <w:rsid w:val="004B3558"/>
    <w:rsid w:val="004B51F4"/>
    <w:rsid w:val="004B599C"/>
    <w:rsid w:val="004B69B3"/>
    <w:rsid w:val="004B7596"/>
    <w:rsid w:val="004C082C"/>
    <w:rsid w:val="004C0AAF"/>
    <w:rsid w:val="004C247F"/>
    <w:rsid w:val="004C3ACB"/>
    <w:rsid w:val="004C3B8F"/>
    <w:rsid w:val="004C77F0"/>
    <w:rsid w:val="004D00A9"/>
    <w:rsid w:val="004D2C09"/>
    <w:rsid w:val="004D2F76"/>
    <w:rsid w:val="004D393F"/>
    <w:rsid w:val="004D6264"/>
    <w:rsid w:val="004D72CD"/>
    <w:rsid w:val="004E0315"/>
    <w:rsid w:val="004E1101"/>
    <w:rsid w:val="004E159B"/>
    <w:rsid w:val="004E2E2C"/>
    <w:rsid w:val="004E53BE"/>
    <w:rsid w:val="004E5F0A"/>
    <w:rsid w:val="004F09C8"/>
    <w:rsid w:val="004F13CD"/>
    <w:rsid w:val="004F1AF1"/>
    <w:rsid w:val="004F2ED4"/>
    <w:rsid w:val="004F369E"/>
    <w:rsid w:val="004F5508"/>
    <w:rsid w:val="004F62F4"/>
    <w:rsid w:val="004F683A"/>
    <w:rsid w:val="004F6E65"/>
    <w:rsid w:val="005002E6"/>
    <w:rsid w:val="0050190A"/>
    <w:rsid w:val="00501E2A"/>
    <w:rsid w:val="00501EF4"/>
    <w:rsid w:val="00502AD2"/>
    <w:rsid w:val="00503260"/>
    <w:rsid w:val="00504DCD"/>
    <w:rsid w:val="0050579A"/>
    <w:rsid w:val="0050686D"/>
    <w:rsid w:val="00507C4C"/>
    <w:rsid w:val="00510C83"/>
    <w:rsid w:val="005122A7"/>
    <w:rsid w:val="005127E8"/>
    <w:rsid w:val="00513297"/>
    <w:rsid w:val="00513A32"/>
    <w:rsid w:val="00514A11"/>
    <w:rsid w:val="005167A2"/>
    <w:rsid w:val="005206E2"/>
    <w:rsid w:val="00520E03"/>
    <w:rsid w:val="005218BC"/>
    <w:rsid w:val="0052237D"/>
    <w:rsid w:val="00522C27"/>
    <w:rsid w:val="00523816"/>
    <w:rsid w:val="00523B86"/>
    <w:rsid w:val="00523F92"/>
    <w:rsid w:val="00524785"/>
    <w:rsid w:val="005270BA"/>
    <w:rsid w:val="005271FB"/>
    <w:rsid w:val="0052750A"/>
    <w:rsid w:val="0053020D"/>
    <w:rsid w:val="00530309"/>
    <w:rsid w:val="00530420"/>
    <w:rsid w:val="00531AA4"/>
    <w:rsid w:val="00531B7B"/>
    <w:rsid w:val="00531DD4"/>
    <w:rsid w:val="00532038"/>
    <w:rsid w:val="00532568"/>
    <w:rsid w:val="00532F26"/>
    <w:rsid w:val="00533652"/>
    <w:rsid w:val="005344C6"/>
    <w:rsid w:val="00534DA8"/>
    <w:rsid w:val="0053653C"/>
    <w:rsid w:val="00536754"/>
    <w:rsid w:val="00537486"/>
    <w:rsid w:val="00540265"/>
    <w:rsid w:val="005418CC"/>
    <w:rsid w:val="005421AE"/>
    <w:rsid w:val="00542B7E"/>
    <w:rsid w:val="00543CFE"/>
    <w:rsid w:val="00544BE2"/>
    <w:rsid w:val="005451C5"/>
    <w:rsid w:val="00545BB0"/>
    <w:rsid w:val="00546487"/>
    <w:rsid w:val="005470A9"/>
    <w:rsid w:val="00547827"/>
    <w:rsid w:val="005500D7"/>
    <w:rsid w:val="00550BCD"/>
    <w:rsid w:val="0055175B"/>
    <w:rsid w:val="00551DBC"/>
    <w:rsid w:val="00552C17"/>
    <w:rsid w:val="00552C89"/>
    <w:rsid w:val="00553125"/>
    <w:rsid w:val="0055499C"/>
    <w:rsid w:val="00555DF4"/>
    <w:rsid w:val="005562DF"/>
    <w:rsid w:val="005569EC"/>
    <w:rsid w:val="00557A97"/>
    <w:rsid w:val="005607AE"/>
    <w:rsid w:val="00560E69"/>
    <w:rsid w:val="00562BA4"/>
    <w:rsid w:val="00564536"/>
    <w:rsid w:val="00565018"/>
    <w:rsid w:val="005662E1"/>
    <w:rsid w:val="00566E71"/>
    <w:rsid w:val="005700FF"/>
    <w:rsid w:val="005735CE"/>
    <w:rsid w:val="00574799"/>
    <w:rsid w:val="00574C6C"/>
    <w:rsid w:val="005762B1"/>
    <w:rsid w:val="005770F1"/>
    <w:rsid w:val="00581C91"/>
    <w:rsid w:val="00582A61"/>
    <w:rsid w:val="00583354"/>
    <w:rsid w:val="005835EA"/>
    <w:rsid w:val="00583E71"/>
    <w:rsid w:val="00584623"/>
    <w:rsid w:val="005860BB"/>
    <w:rsid w:val="00586803"/>
    <w:rsid w:val="00586CE1"/>
    <w:rsid w:val="00586E51"/>
    <w:rsid w:val="00587531"/>
    <w:rsid w:val="00591D08"/>
    <w:rsid w:val="00593A88"/>
    <w:rsid w:val="00594C3D"/>
    <w:rsid w:val="005959D7"/>
    <w:rsid w:val="00596129"/>
    <w:rsid w:val="005969AC"/>
    <w:rsid w:val="005A029A"/>
    <w:rsid w:val="005A0753"/>
    <w:rsid w:val="005A0BA4"/>
    <w:rsid w:val="005A14B8"/>
    <w:rsid w:val="005A43B1"/>
    <w:rsid w:val="005A4517"/>
    <w:rsid w:val="005A4FAB"/>
    <w:rsid w:val="005A6C3B"/>
    <w:rsid w:val="005B0021"/>
    <w:rsid w:val="005B5264"/>
    <w:rsid w:val="005B697E"/>
    <w:rsid w:val="005C3A27"/>
    <w:rsid w:val="005C5EF2"/>
    <w:rsid w:val="005C6DA9"/>
    <w:rsid w:val="005D010E"/>
    <w:rsid w:val="005D3208"/>
    <w:rsid w:val="005D3E34"/>
    <w:rsid w:val="005D46CD"/>
    <w:rsid w:val="005D50BD"/>
    <w:rsid w:val="005D64ED"/>
    <w:rsid w:val="005D6819"/>
    <w:rsid w:val="005D73A0"/>
    <w:rsid w:val="005D7D3B"/>
    <w:rsid w:val="005E0791"/>
    <w:rsid w:val="005E1511"/>
    <w:rsid w:val="005E15DA"/>
    <w:rsid w:val="005E1870"/>
    <w:rsid w:val="005E26C8"/>
    <w:rsid w:val="005E27BD"/>
    <w:rsid w:val="005E28E8"/>
    <w:rsid w:val="005E2B0D"/>
    <w:rsid w:val="005E3D5B"/>
    <w:rsid w:val="005E413A"/>
    <w:rsid w:val="005E476F"/>
    <w:rsid w:val="005F20E3"/>
    <w:rsid w:val="005F3587"/>
    <w:rsid w:val="005F3822"/>
    <w:rsid w:val="005F3A79"/>
    <w:rsid w:val="005F4156"/>
    <w:rsid w:val="005F4F5F"/>
    <w:rsid w:val="005F5B51"/>
    <w:rsid w:val="005F5FC9"/>
    <w:rsid w:val="00600520"/>
    <w:rsid w:val="00600DCE"/>
    <w:rsid w:val="006013B7"/>
    <w:rsid w:val="0060184A"/>
    <w:rsid w:val="006018B9"/>
    <w:rsid w:val="00602E78"/>
    <w:rsid w:val="00603630"/>
    <w:rsid w:val="006036BA"/>
    <w:rsid w:val="00606B9F"/>
    <w:rsid w:val="00606D4D"/>
    <w:rsid w:val="00606FC9"/>
    <w:rsid w:val="006107DB"/>
    <w:rsid w:val="0061587C"/>
    <w:rsid w:val="00615D48"/>
    <w:rsid w:val="0062007E"/>
    <w:rsid w:val="006215A9"/>
    <w:rsid w:val="006222FF"/>
    <w:rsid w:val="00622BBC"/>
    <w:rsid w:val="0062434B"/>
    <w:rsid w:val="00625445"/>
    <w:rsid w:val="0063001B"/>
    <w:rsid w:val="00630446"/>
    <w:rsid w:val="00630525"/>
    <w:rsid w:val="00630F75"/>
    <w:rsid w:val="00631029"/>
    <w:rsid w:val="0063120A"/>
    <w:rsid w:val="00631441"/>
    <w:rsid w:val="006318EC"/>
    <w:rsid w:val="00635329"/>
    <w:rsid w:val="0063705E"/>
    <w:rsid w:val="00637734"/>
    <w:rsid w:val="006378E6"/>
    <w:rsid w:val="00637C74"/>
    <w:rsid w:val="006409A9"/>
    <w:rsid w:val="006421BB"/>
    <w:rsid w:val="00645034"/>
    <w:rsid w:val="006459AE"/>
    <w:rsid w:val="00647695"/>
    <w:rsid w:val="006500D6"/>
    <w:rsid w:val="006502D2"/>
    <w:rsid w:val="0065052C"/>
    <w:rsid w:val="006534D4"/>
    <w:rsid w:val="00654B1F"/>
    <w:rsid w:val="00657198"/>
    <w:rsid w:val="006575D0"/>
    <w:rsid w:val="00661D3C"/>
    <w:rsid w:val="006626B4"/>
    <w:rsid w:val="00666426"/>
    <w:rsid w:val="0066729D"/>
    <w:rsid w:val="00671E8B"/>
    <w:rsid w:val="0067367A"/>
    <w:rsid w:val="006811E0"/>
    <w:rsid w:val="0068280C"/>
    <w:rsid w:val="00683033"/>
    <w:rsid w:val="00685EA1"/>
    <w:rsid w:val="006917C0"/>
    <w:rsid w:val="0069305D"/>
    <w:rsid w:val="006934FB"/>
    <w:rsid w:val="00693966"/>
    <w:rsid w:val="006945F2"/>
    <w:rsid w:val="00694D1D"/>
    <w:rsid w:val="006972F1"/>
    <w:rsid w:val="00697324"/>
    <w:rsid w:val="006A04AF"/>
    <w:rsid w:val="006A15F2"/>
    <w:rsid w:val="006A1F6E"/>
    <w:rsid w:val="006A5EF9"/>
    <w:rsid w:val="006A7978"/>
    <w:rsid w:val="006B1E2E"/>
    <w:rsid w:val="006B21C0"/>
    <w:rsid w:val="006B30C8"/>
    <w:rsid w:val="006B3A99"/>
    <w:rsid w:val="006B4100"/>
    <w:rsid w:val="006B4981"/>
    <w:rsid w:val="006B5803"/>
    <w:rsid w:val="006B6003"/>
    <w:rsid w:val="006B6145"/>
    <w:rsid w:val="006B70FA"/>
    <w:rsid w:val="006B7CE3"/>
    <w:rsid w:val="006B7E80"/>
    <w:rsid w:val="006C46DE"/>
    <w:rsid w:val="006C4F12"/>
    <w:rsid w:val="006C4FD4"/>
    <w:rsid w:val="006C5DD6"/>
    <w:rsid w:val="006C7E40"/>
    <w:rsid w:val="006D0387"/>
    <w:rsid w:val="006D0F02"/>
    <w:rsid w:val="006D3118"/>
    <w:rsid w:val="006D34B3"/>
    <w:rsid w:val="006D698A"/>
    <w:rsid w:val="006E0242"/>
    <w:rsid w:val="006E02E4"/>
    <w:rsid w:val="006E0350"/>
    <w:rsid w:val="006E0586"/>
    <w:rsid w:val="006E107B"/>
    <w:rsid w:val="006E1BBE"/>
    <w:rsid w:val="006E33A2"/>
    <w:rsid w:val="006E3F4F"/>
    <w:rsid w:val="006E5DBD"/>
    <w:rsid w:val="006E618F"/>
    <w:rsid w:val="006E6C4A"/>
    <w:rsid w:val="006E6DC1"/>
    <w:rsid w:val="006E70A8"/>
    <w:rsid w:val="006E743F"/>
    <w:rsid w:val="006E7F45"/>
    <w:rsid w:val="006F1F2B"/>
    <w:rsid w:val="006F2DE4"/>
    <w:rsid w:val="006F3F8D"/>
    <w:rsid w:val="006F5853"/>
    <w:rsid w:val="006F62B4"/>
    <w:rsid w:val="006F6614"/>
    <w:rsid w:val="0070263E"/>
    <w:rsid w:val="00702C5D"/>
    <w:rsid w:val="00703C21"/>
    <w:rsid w:val="007047E6"/>
    <w:rsid w:val="00704C55"/>
    <w:rsid w:val="00705F28"/>
    <w:rsid w:val="007109B5"/>
    <w:rsid w:val="007111AE"/>
    <w:rsid w:val="0071130F"/>
    <w:rsid w:val="007118A1"/>
    <w:rsid w:val="00716ED3"/>
    <w:rsid w:val="0071712D"/>
    <w:rsid w:val="0071769F"/>
    <w:rsid w:val="00717A2E"/>
    <w:rsid w:val="00723859"/>
    <w:rsid w:val="00725744"/>
    <w:rsid w:val="00725B8E"/>
    <w:rsid w:val="00731410"/>
    <w:rsid w:val="007338A8"/>
    <w:rsid w:val="00734128"/>
    <w:rsid w:val="007353C8"/>
    <w:rsid w:val="00736299"/>
    <w:rsid w:val="00736CFC"/>
    <w:rsid w:val="00737200"/>
    <w:rsid w:val="007409C5"/>
    <w:rsid w:val="007409CC"/>
    <w:rsid w:val="007430D1"/>
    <w:rsid w:val="0074595F"/>
    <w:rsid w:val="00745A42"/>
    <w:rsid w:val="007462D1"/>
    <w:rsid w:val="00746857"/>
    <w:rsid w:val="007475D8"/>
    <w:rsid w:val="0074766E"/>
    <w:rsid w:val="0074783F"/>
    <w:rsid w:val="007502F6"/>
    <w:rsid w:val="00753072"/>
    <w:rsid w:val="0075374F"/>
    <w:rsid w:val="00754D26"/>
    <w:rsid w:val="00755BFE"/>
    <w:rsid w:val="00757064"/>
    <w:rsid w:val="007571E6"/>
    <w:rsid w:val="00760761"/>
    <w:rsid w:val="00760838"/>
    <w:rsid w:val="0076201F"/>
    <w:rsid w:val="00762A3B"/>
    <w:rsid w:val="00762C28"/>
    <w:rsid w:val="007637E8"/>
    <w:rsid w:val="00763FAD"/>
    <w:rsid w:val="0076443B"/>
    <w:rsid w:val="00764B3C"/>
    <w:rsid w:val="0076628E"/>
    <w:rsid w:val="007703A9"/>
    <w:rsid w:val="00770EDE"/>
    <w:rsid w:val="007723EA"/>
    <w:rsid w:val="00773B3C"/>
    <w:rsid w:val="007749BC"/>
    <w:rsid w:val="00775630"/>
    <w:rsid w:val="00776272"/>
    <w:rsid w:val="0077687E"/>
    <w:rsid w:val="007776EB"/>
    <w:rsid w:val="007777AF"/>
    <w:rsid w:val="00780306"/>
    <w:rsid w:val="00780E87"/>
    <w:rsid w:val="007814A2"/>
    <w:rsid w:val="00781C2D"/>
    <w:rsid w:val="00782BAD"/>
    <w:rsid w:val="007831F2"/>
    <w:rsid w:val="007833DF"/>
    <w:rsid w:val="00784119"/>
    <w:rsid w:val="00785ABB"/>
    <w:rsid w:val="00787928"/>
    <w:rsid w:val="007904F5"/>
    <w:rsid w:val="00793BC2"/>
    <w:rsid w:val="00797173"/>
    <w:rsid w:val="0079792C"/>
    <w:rsid w:val="00797C37"/>
    <w:rsid w:val="007A0EBB"/>
    <w:rsid w:val="007A2A3E"/>
    <w:rsid w:val="007A333A"/>
    <w:rsid w:val="007A408F"/>
    <w:rsid w:val="007A508F"/>
    <w:rsid w:val="007A659A"/>
    <w:rsid w:val="007A7BE0"/>
    <w:rsid w:val="007B020B"/>
    <w:rsid w:val="007B081D"/>
    <w:rsid w:val="007B1123"/>
    <w:rsid w:val="007B14EF"/>
    <w:rsid w:val="007B15CA"/>
    <w:rsid w:val="007B2DB6"/>
    <w:rsid w:val="007B3765"/>
    <w:rsid w:val="007B3B98"/>
    <w:rsid w:val="007B4947"/>
    <w:rsid w:val="007B4C77"/>
    <w:rsid w:val="007B5C75"/>
    <w:rsid w:val="007B6090"/>
    <w:rsid w:val="007B689D"/>
    <w:rsid w:val="007B69A4"/>
    <w:rsid w:val="007B78E8"/>
    <w:rsid w:val="007B7CB2"/>
    <w:rsid w:val="007C08D9"/>
    <w:rsid w:val="007C14B3"/>
    <w:rsid w:val="007C345C"/>
    <w:rsid w:val="007C59C9"/>
    <w:rsid w:val="007C5DD3"/>
    <w:rsid w:val="007D0B87"/>
    <w:rsid w:val="007D0BB9"/>
    <w:rsid w:val="007D2459"/>
    <w:rsid w:val="007D32B1"/>
    <w:rsid w:val="007D77EF"/>
    <w:rsid w:val="007E0371"/>
    <w:rsid w:val="007E07FC"/>
    <w:rsid w:val="007E0E2F"/>
    <w:rsid w:val="007E102D"/>
    <w:rsid w:val="007E265A"/>
    <w:rsid w:val="007E3669"/>
    <w:rsid w:val="007E5DD5"/>
    <w:rsid w:val="007E619B"/>
    <w:rsid w:val="007E638A"/>
    <w:rsid w:val="007E7634"/>
    <w:rsid w:val="007F0B2A"/>
    <w:rsid w:val="007F0E87"/>
    <w:rsid w:val="007F2415"/>
    <w:rsid w:val="007F2FA5"/>
    <w:rsid w:val="007F3259"/>
    <w:rsid w:val="007F34C0"/>
    <w:rsid w:val="007F3A55"/>
    <w:rsid w:val="007F509D"/>
    <w:rsid w:val="007F6212"/>
    <w:rsid w:val="007F690D"/>
    <w:rsid w:val="007F6AD5"/>
    <w:rsid w:val="007F7C5B"/>
    <w:rsid w:val="00802E6D"/>
    <w:rsid w:val="00803498"/>
    <w:rsid w:val="008038CD"/>
    <w:rsid w:val="0080493C"/>
    <w:rsid w:val="00807352"/>
    <w:rsid w:val="008105D8"/>
    <w:rsid w:val="008107A7"/>
    <w:rsid w:val="008107AB"/>
    <w:rsid w:val="0081080D"/>
    <w:rsid w:val="00812110"/>
    <w:rsid w:val="00812433"/>
    <w:rsid w:val="0081312C"/>
    <w:rsid w:val="00813C4B"/>
    <w:rsid w:val="00815B7D"/>
    <w:rsid w:val="00816386"/>
    <w:rsid w:val="00816B2F"/>
    <w:rsid w:val="00821249"/>
    <w:rsid w:val="0082139C"/>
    <w:rsid w:val="00821CE7"/>
    <w:rsid w:val="008224C8"/>
    <w:rsid w:val="00822623"/>
    <w:rsid w:val="0082273A"/>
    <w:rsid w:val="00822FC0"/>
    <w:rsid w:val="00824054"/>
    <w:rsid w:val="008257A9"/>
    <w:rsid w:val="008266F2"/>
    <w:rsid w:val="008269DD"/>
    <w:rsid w:val="00826C3B"/>
    <w:rsid w:val="00827805"/>
    <w:rsid w:val="0083001E"/>
    <w:rsid w:val="00831492"/>
    <w:rsid w:val="0083273B"/>
    <w:rsid w:val="00833C20"/>
    <w:rsid w:val="00834B35"/>
    <w:rsid w:val="008362AC"/>
    <w:rsid w:val="00836FAF"/>
    <w:rsid w:val="00837CE6"/>
    <w:rsid w:val="00841E5E"/>
    <w:rsid w:val="0084270B"/>
    <w:rsid w:val="0084348D"/>
    <w:rsid w:val="00845648"/>
    <w:rsid w:val="00845FE5"/>
    <w:rsid w:val="00846E2E"/>
    <w:rsid w:val="00850FF0"/>
    <w:rsid w:val="00852075"/>
    <w:rsid w:val="008526DC"/>
    <w:rsid w:val="00853135"/>
    <w:rsid w:val="00853497"/>
    <w:rsid w:val="00853EA2"/>
    <w:rsid w:val="008547F1"/>
    <w:rsid w:val="00855C17"/>
    <w:rsid w:val="008612B5"/>
    <w:rsid w:val="008618EF"/>
    <w:rsid w:val="0086223B"/>
    <w:rsid w:val="008624BB"/>
    <w:rsid w:val="0086346B"/>
    <w:rsid w:val="00863BB6"/>
    <w:rsid w:val="00863FB1"/>
    <w:rsid w:val="00865514"/>
    <w:rsid w:val="00865A5E"/>
    <w:rsid w:val="00866488"/>
    <w:rsid w:val="0086701D"/>
    <w:rsid w:val="008702AC"/>
    <w:rsid w:val="00870308"/>
    <w:rsid w:val="008719F1"/>
    <w:rsid w:val="00871B57"/>
    <w:rsid w:val="00871FDB"/>
    <w:rsid w:val="008726E2"/>
    <w:rsid w:val="00872B8C"/>
    <w:rsid w:val="00873132"/>
    <w:rsid w:val="008736DB"/>
    <w:rsid w:val="00873AE5"/>
    <w:rsid w:val="00876979"/>
    <w:rsid w:val="00877220"/>
    <w:rsid w:val="00880B86"/>
    <w:rsid w:val="008814B7"/>
    <w:rsid w:val="0088180A"/>
    <w:rsid w:val="00884AD0"/>
    <w:rsid w:val="00886F0B"/>
    <w:rsid w:val="0088765C"/>
    <w:rsid w:val="00893A59"/>
    <w:rsid w:val="00893C74"/>
    <w:rsid w:val="00895CA4"/>
    <w:rsid w:val="00897246"/>
    <w:rsid w:val="008A00B3"/>
    <w:rsid w:val="008A0CD3"/>
    <w:rsid w:val="008A2126"/>
    <w:rsid w:val="008A2536"/>
    <w:rsid w:val="008A2C20"/>
    <w:rsid w:val="008A2EFD"/>
    <w:rsid w:val="008A39E4"/>
    <w:rsid w:val="008A4A41"/>
    <w:rsid w:val="008A4C9F"/>
    <w:rsid w:val="008A7479"/>
    <w:rsid w:val="008B01F5"/>
    <w:rsid w:val="008B0F91"/>
    <w:rsid w:val="008B1F54"/>
    <w:rsid w:val="008B3417"/>
    <w:rsid w:val="008B3972"/>
    <w:rsid w:val="008B3C94"/>
    <w:rsid w:val="008B4D01"/>
    <w:rsid w:val="008B66BC"/>
    <w:rsid w:val="008B66BE"/>
    <w:rsid w:val="008B7440"/>
    <w:rsid w:val="008B78CD"/>
    <w:rsid w:val="008B794E"/>
    <w:rsid w:val="008C02E1"/>
    <w:rsid w:val="008C4BF1"/>
    <w:rsid w:val="008C4C90"/>
    <w:rsid w:val="008C5277"/>
    <w:rsid w:val="008C68FD"/>
    <w:rsid w:val="008D1310"/>
    <w:rsid w:val="008D1681"/>
    <w:rsid w:val="008D45A1"/>
    <w:rsid w:val="008D4ABD"/>
    <w:rsid w:val="008D5C36"/>
    <w:rsid w:val="008D6CD1"/>
    <w:rsid w:val="008E03B7"/>
    <w:rsid w:val="008E3E31"/>
    <w:rsid w:val="008E4FA1"/>
    <w:rsid w:val="008E5737"/>
    <w:rsid w:val="008E7BC6"/>
    <w:rsid w:val="008F356F"/>
    <w:rsid w:val="008F563E"/>
    <w:rsid w:val="008F7E95"/>
    <w:rsid w:val="00901A53"/>
    <w:rsid w:val="00903AEE"/>
    <w:rsid w:val="0090675B"/>
    <w:rsid w:val="00907399"/>
    <w:rsid w:val="00907ABB"/>
    <w:rsid w:val="0091129F"/>
    <w:rsid w:val="0091162D"/>
    <w:rsid w:val="00915C89"/>
    <w:rsid w:val="0091636E"/>
    <w:rsid w:val="009169B2"/>
    <w:rsid w:val="00920036"/>
    <w:rsid w:val="00920855"/>
    <w:rsid w:val="0092096B"/>
    <w:rsid w:val="00920AF7"/>
    <w:rsid w:val="00920F94"/>
    <w:rsid w:val="0092214E"/>
    <w:rsid w:val="009222A1"/>
    <w:rsid w:val="009226F8"/>
    <w:rsid w:val="00924037"/>
    <w:rsid w:val="00925C39"/>
    <w:rsid w:val="00925F5D"/>
    <w:rsid w:val="009278CF"/>
    <w:rsid w:val="0093117D"/>
    <w:rsid w:val="00933955"/>
    <w:rsid w:val="00933CF4"/>
    <w:rsid w:val="009367A7"/>
    <w:rsid w:val="0093782F"/>
    <w:rsid w:val="00937AC0"/>
    <w:rsid w:val="0094002B"/>
    <w:rsid w:val="00940D0C"/>
    <w:rsid w:val="00940E47"/>
    <w:rsid w:val="00941184"/>
    <w:rsid w:val="00941DEF"/>
    <w:rsid w:val="00943635"/>
    <w:rsid w:val="0094391D"/>
    <w:rsid w:val="00946636"/>
    <w:rsid w:val="0094740A"/>
    <w:rsid w:val="00947C1F"/>
    <w:rsid w:val="00951272"/>
    <w:rsid w:val="00953FC5"/>
    <w:rsid w:val="009541FD"/>
    <w:rsid w:val="00954DF2"/>
    <w:rsid w:val="00955578"/>
    <w:rsid w:val="00957525"/>
    <w:rsid w:val="009579F7"/>
    <w:rsid w:val="00960AA9"/>
    <w:rsid w:val="00960D6D"/>
    <w:rsid w:val="00961CD4"/>
    <w:rsid w:val="0096259E"/>
    <w:rsid w:val="00962C4A"/>
    <w:rsid w:val="009646D1"/>
    <w:rsid w:val="0096617F"/>
    <w:rsid w:val="00966344"/>
    <w:rsid w:val="00966F42"/>
    <w:rsid w:val="009709B7"/>
    <w:rsid w:val="0097110A"/>
    <w:rsid w:val="009737A0"/>
    <w:rsid w:val="009743A0"/>
    <w:rsid w:val="00974528"/>
    <w:rsid w:val="0097678D"/>
    <w:rsid w:val="00980D17"/>
    <w:rsid w:val="009820CC"/>
    <w:rsid w:val="00983FD0"/>
    <w:rsid w:val="009846B2"/>
    <w:rsid w:val="00985B21"/>
    <w:rsid w:val="009916A0"/>
    <w:rsid w:val="00991A21"/>
    <w:rsid w:val="00995C82"/>
    <w:rsid w:val="00996E5A"/>
    <w:rsid w:val="009971D0"/>
    <w:rsid w:val="0099742C"/>
    <w:rsid w:val="00997C7B"/>
    <w:rsid w:val="00997D2E"/>
    <w:rsid w:val="009A01AE"/>
    <w:rsid w:val="009A041D"/>
    <w:rsid w:val="009A12E1"/>
    <w:rsid w:val="009A1428"/>
    <w:rsid w:val="009A202E"/>
    <w:rsid w:val="009A2518"/>
    <w:rsid w:val="009A2D02"/>
    <w:rsid w:val="009A3924"/>
    <w:rsid w:val="009A48F6"/>
    <w:rsid w:val="009B05F6"/>
    <w:rsid w:val="009B1CB2"/>
    <w:rsid w:val="009B2A5D"/>
    <w:rsid w:val="009B4076"/>
    <w:rsid w:val="009B6B85"/>
    <w:rsid w:val="009C0B68"/>
    <w:rsid w:val="009C13BB"/>
    <w:rsid w:val="009C29F0"/>
    <w:rsid w:val="009C348E"/>
    <w:rsid w:val="009C3A52"/>
    <w:rsid w:val="009C42BB"/>
    <w:rsid w:val="009C471F"/>
    <w:rsid w:val="009C539D"/>
    <w:rsid w:val="009C5860"/>
    <w:rsid w:val="009C7E5E"/>
    <w:rsid w:val="009D0772"/>
    <w:rsid w:val="009D1213"/>
    <w:rsid w:val="009D3D07"/>
    <w:rsid w:val="009D442D"/>
    <w:rsid w:val="009D4582"/>
    <w:rsid w:val="009D4FC6"/>
    <w:rsid w:val="009D5A93"/>
    <w:rsid w:val="009D6C21"/>
    <w:rsid w:val="009D6D8F"/>
    <w:rsid w:val="009D71BD"/>
    <w:rsid w:val="009D7A8E"/>
    <w:rsid w:val="009E15EB"/>
    <w:rsid w:val="009E1D07"/>
    <w:rsid w:val="009E3646"/>
    <w:rsid w:val="009E4C8B"/>
    <w:rsid w:val="009E4DA4"/>
    <w:rsid w:val="009E4F1F"/>
    <w:rsid w:val="009F006D"/>
    <w:rsid w:val="009F18D6"/>
    <w:rsid w:val="009F1A15"/>
    <w:rsid w:val="009F2070"/>
    <w:rsid w:val="009F2ED5"/>
    <w:rsid w:val="009F32A5"/>
    <w:rsid w:val="009F32F7"/>
    <w:rsid w:val="009F37C6"/>
    <w:rsid w:val="009F666C"/>
    <w:rsid w:val="00A04037"/>
    <w:rsid w:val="00A0443B"/>
    <w:rsid w:val="00A04CFC"/>
    <w:rsid w:val="00A04F90"/>
    <w:rsid w:val="00A05913"/>
    <w:rsid w:val="00A07E73"/>
    <w:rsid w:val="00A07F10"/>
    <w:rsid w:val="00A103E3"/>
    <w:rsid w:val="00A12B0D"/>
    <w:rsid w:val="00A12EC3"/>
    <w:rsid w:val="00A12FD5"/>
    <w:rsid w:val="00A13D56"/>
    <w:rsid w:val="00A13EFC"/>
    <w:rsid w:val="00A13F1B"/>
    <w:rsid w:val="00A148C9"/>
    <w:rsid w:val="00A1660E"/>
    <w:rsid w:val="00A17039"/>
    <w:rsid w:val="00A17D14"/>
    <w:rsid w:val="00A2010B"/>
    <w:rsid w:val="00A20384"/>
    <w:rsid w:val="00A233FE"/>
    <w:rsid w:val="00A23D39"/>
    <w:rsid w:val="00A259C0"/>
    <w:rsid w:val="00A26545"/>
    <w:rsid w:val="00A27018"/>
    <w:rsid w:val="00A27776"/>
    <w:rsid w:val="00A27833"/>
    <w:rsid w:val="00A27C3E"/>
    <w:rsid w:val="00A27E3A"/>
    <w:rsid w:val="00A34FA7"/>
    <w:rsid w:val="00A35099"/>
    <w:rsid w:val="00A357E7"/>
    <w:rsid w:val="00A3580D"/>
    <w:rsid w:val="00A35864"/>
    <w:rsid w:val="00A35E25"/>
    <w:rsid w:val="00A36DCF"/>
    <w:rsid w:val="00A37C38"/>
    <w:rsid w:val="00A4109C"/>
    <w:rsid w:val="00A41284"/>
    <w:rsid w:val="00A42C0B"/>
    <w:rsid w:val="00A43341"/>
    <w:rsid w:val="00A4495A"/>
    <w:rsid w:val="00A44C19"/>
    <w:rsid w:val="00A45F1F"/>
    <w:rsid w:val="00A46FF6"/>
    <w:rsid w:val="00A4738A"/>
    <w:rsid w:val="00A47BE9"/>
    <w:rsid w:val="00A54435"/>
    <w:rsid w:val="00A545A6"/>
    <w:rsid w:val="00A54CF6"/>
    <w:rsid w:val="00A55CBE"/>
    <w:rsid w:val="00A56546"/>
    <w:rsid w:val="00A57E05"/>
    <w:rsid w:val="00A61C85"/>
    <w:rsid w:val="00A61E56"/>
    <w:rsid w:val="00A6201D"/>
    <w:rsid w:val="00A62AA2"/>
    <w:rsid w:val="00A62ADA"/>
    <w:rsid w:val="00A62CD9"/>
    <w:rsid w:val="00A63B3E"/>
    <w:rsid w:val="00A66E9E"/>
    <w:rsid w:val="00A67871"/>
    <w:rsid w:val="00A67BE8"/>
    <w:rsid w:val="00A67DD9"/>
    <w:rsid w:val="00A70415"/>
    <w:rsid w:val="00A71116"/>
    <w:rsid w:val="00A721F9"/>
    <w:rsid w:val="00A72699"/>
    <w:rsid w:val="00A7394C"/>
    <w:rsid w:val="00A73D7A"/>
    <w:rsid w:val="00A743E0"/>
    <w:rsid w:val="00A77CAD"/>
    <w:rsid w:val="00A8032C"/>
    <w:rsid w:val="00A80B96"/>
    <w:rsid w:val="00A811CF"/>
    <w:rsid w:val="00A82F37"/>
    <w:rsid w:val="00A8447B"/>
    <w:rsid w:val="00A84675"/>
    <w:rsid w:val="00A859EE"/>
    <w:rsid w:val="00A86323"/>
    <w:rsid w:val="00A87FE7"/>
    <w:rsid w:val="00A91188"/>
    <w:rsid w:val="00A9201A"/>
    <w:rsid w:val="00A96593"/>
    <w:rsid w:val="00A972FE"/>
    <w:rsid w:val="00A977E0"/>
    <w:rsid w:val="00A97C2A"/>
    <w:rsid w:val="00AA0BC3"/>
    <w:rsid w:val="00AA1B05"/>
    <w:rsid w:val="00AA6993"/>
    <w:rsid w:val="00AB16C9"/>
    <w:rsid w:val="00AB254D"/>
    <w:rsid w:val="00AB269A"/>
    <w:rsid w:val="00AB2B1A"/>
    <w:rsid w:val="00AB3224"/>
    <w:rsid w:val="00AB51B8"/>
    <w:rsid w:val="00AC091E"/>
    <w:rsid w:val="00AC13C8"/>
    <w:rsid w:val="00AC1B4E"/>
    <w:rsid w:val="00AC21F7"/>
    <w:rsid w:val="00AC388D"/>
    <w:rsid w:val="00AC38EF"/>
    <w:rsid w:val="00AC50C4"/>
    <w:rsid w:val="00AC6D12"/>
    <w:rsid w:val="00AC6F94"/>
    <w:rsid w:val="00AD0971"/>
    <w:rsid w:val="00AD09A3"/>
    <w:rsid w:val="00AD1057"/>
    <w:rsid w:val="00AD1747"/>
    <w:rsid w:val="00AD189F"/>
    <w:rsid w:val="00AD19C0"/>
    <w:rsid w:val="00AD2D16"/>
    <w:rsid w:val="00AD2EB4"/>
    <w:rsid w:val="00AD3EC0"/>
    <w:rsid w:val="00AD508E"/>
    <w:rsid w:val="00AD599A"/>
    <w:rsid w:val="00AD67D7"/>
    <w:rsid w:val="00AD7B1F"/>
    <w:rsid w:val="00AD7F8E"/>
    <w:rsid w:val="00AE2D2D"/>
    <w:rsid w:val="00AE3A73"/>
    <w:rsid w:val="00AE4414"/>
    <w:rsid w:val="00AE6582"/>
    <w:rsid w:val="00AE665F"/>
    <w:rsid w:val="00AE74D0"/>
    <w:rsid w:val="00AE7CC7"/>
    <w:rsid w:val="00AF1702"/>
    <w:rsid w:val="00AF175E"/>
    <w:rsid w:val="00AF19D1"/>
    <w:rsid w:val="00AF2D5B"/>
    <w:rsid w:val="00AF323A"/>
    <w:rsid w:val="00AF4117"/>
    <w:rsid w:val="00AF4C0D"/>
    <w:rsid w:val="00AF6415"/>
    <w:rsid w:val="00AF6842"/>
    <w:rsid w:val="00AF71E5"/>
    <w:rsid w:val="00B00046"/>
    <w:rsid w:val="00B00AF0"/>
    <w:rsid w:val="00B03993"/>
    <w:rsid w:val="00B06AE0"/>
    <w:rsid w:val="00B06DF1"/>
    <w:rsid w:val="00B077DD"/>
    <w:rsid w:val="00B0787A"/>
    <w:rsid w:val="00B07BDF"/>
    <w:rsid w:val="00B07E20"/>
    <w:rsid w:val="00B11DFE"/>
    <w:rsid w:val="00B11E2B"/>
    <w:rsid w:val="00B13066"/>
    <w:rsid w:val="00B138A5"/>
    <w:rsid w:val="00B1453C"/>
    <w:rsid w:val="00B14A75"/>
    <w:rsid w:val="00B14B39"/>
    <w:rsid w:val="00B15943"/>
    <w:rsid w:val="00B15EEF"/>
    <w:rsid w:val="00B20595"/>
    <w:rsid w:val="00B2116B"/>
    <w:rsid w:val="00B231FE"/>
    <w:rsid w:val="00B237BD"/>
    <w:rsid w:val="00B23CE0"/>
    <w:rsid w:val="00B24841"/>
    <w:rsid w:val="00B250DB"/>
    <w:rsid w:val="00B25860"/>
    <w:rsid w:val="00B26757"/>
    <w:rsid w:val="00B26B9E"/>
    <w:rsid w:val="00B3049C"/>
    <w:rsid w:val="00B329CB"/>
    <w:rsid w:val="00B34969"/>
    <w:rsid w:val="00B35592"/>
    <w:rsid w:val="00B363C6"/>
    <w:rsid w:val="00B41932"/>
    <w:rsid w:val="00B436F0"/>
    <w:rsid w:val="00B43714"/>
    <w:rsid w:val="00B4377D"/>
    <w:rsid w:val="00B4591F"/>
    <w:rsid w:val="00B47966"/>
    <w:rsid w:val="00B509C4"/>
    <w:rsid w:val="00B5102E"/>
    <w:rsid w:val="00B51394"/>
    <w:rsid w:val="00B52516"/>
    <w:rsid w:val="00B52A8D"/>
    <w:rsid w:val="00B53CC1"/>
    <w:rsid w:val="00B53CD7"/>
    <w:rsid w:val="00B5585C"/>
    <w:rsid w:val="00B55A54"/>
    <w:rsid w:val="00B55F18"/>
    <w:rsid w:val="00B56203"/>
    <w:rsid w:val="00B56805"/>
    <w:rsid w:val="00B579A7"/>
    <w:rsid w:val="00B60AC6"/>
    <w:rsid w:val="00B60E74"/>
    <w:rsid w:val="00B61D6D"/>
    <w:rsid w:val="00B62B3C"/>
    <w:rsid w:val="00B63393"/>
    <w:rsid w:val="00B64D1C"/>
    <w:rsid w:val="00B64F54"/>
    <w:rsid w:val="00B64F9B"/>
    <w:rsid w:val="00B65F48"/>
    <w:rsid w:val="00B677C3"/>
    <w:rsid w:val="00B70C59"/>
    <w:rsid w:val="00B711E4"/>
    <w:rsid w:val="00B71EB4"/>
    <w:rsid w:val="00B72233"/>
    <w:rsid w:val="00B722CC"/>
    <w:rsid w:val="00B732BE"/>
    <w:rsid w:val="00B73302"/>
    <w:rsid w:val="00B76724"/>
    <w:rsid w:val="00B81799"/>
    <w:rsid w:val="00B81B21"/>
    <w:rsid w:val="00B820D5"/>
    <w:rsid w:val="00B84227"/>
    <w:rsid w:val="00B91BA0"/>
    <w:rsid w:val="00B92C58"/>
    <w:rsid w:val="00B94A34"/>
    <w:rsid w:val="00BA1302"/>
    <w:rsid w:val="00BA1360"/>
    <w:rsid w:val="00BA2D73"/>
    <w:rsid w:val="00BA5BDA"/>
    <w:rsid w:val="00BB505C"/>
    <w:rsid w:val="00BB536A"/>
    <w:rsid w:val="00BB6672"/>
    <w:rsid w:val="00BB714F"/>
    <w:rsid w:val="00BC0A86"/>
    <w:rsid w:val="00BC251A"/>
    <w:rsid w:val="00BC31C0"/>
    <w:rsid w:val="00BC483F"/>
    <w:rsid w:val="00BD0BAA"/>
    <w:rsid w:val="00BD14A1"/>
    <w:rsid w:val="00BD22E8"/>
    <w:rsid w:val="00BD3907"/>
    <w:rsid w:val="00BD65A4"/>
    <w:rsid w:val="00BD6F11"/>
    <w:rsid w:val="00BE0B08"/>
    <w:rsid w:val="00BE19A6"/>
    <w:rsid w:val="00BE24D2"/>
    <w:rsid w:val="00BE28DD"/>
    <w:rsid w:val="00BE4E0A"/>
    <w:rsid w:val="00BE5280"/>
    <w:rsid w:val="00BE5FD8"/>
    <w:rsid w:val="00BE7803"/>
    <w:rsid w:val="00BE791D"/>
    <w:rsid w:val="00BF105E"/>
    <w:rsid w:val="00BF2037"/>
    <w:rsid w:val="00BF2736"/>
    <w:rsid w:val="00BF278D"/>
    <w:rsid w:val="00BF59CF"/>
    <w:rsid w:val="00BF5AAF"/>
    <w:rsid w:val="00BF61FA"/>
    <w:rsid w:val="00BF69CA"/>
    <w:rsid w:val="00BF6A72"/>
    <w:rsid w:val="00BF6B2E"/>
    <w:rsid w:val="00BF7FED"/>
    <w:rsid w:val="00C003B4"/>
    <w:rsid w:val="00C00697"/>
    <w:rsid w:val="00C01BF1"/>
    <w:rsid w:val="00C02731"/>
    <w:rsid w:val="00C028F4"/>
    <w:rsid w:val="00C04389"/>
    <w:rsid w:val="00C06460"/>
    <w:rsid w:val="00C07E5E"/>
    <w:rsid w:val="00C10375"/>
    <w:rsid w:val="00C128C0"/>
    <w:rsid w:val="00C13FC9"/>
    <w:rsid w:val="00C14076"/>
    <w:rsid w:val="00C14A6E"/>
    <w:rsid w:val="00C15FEF"/>
    <w:rsid w:val="00C16221"/>
    <w:rsid w:val="00C17D0C"/>
    <w:rsid w:val="00C2338C"/>
    <w:rsid w:val="00C24556"/>
    <w:rsid w:val="00C25669"/>
    <w:rsid w:val="00C2706B"/>
    <w:rsid w:val="00C27B14"/>
    <w:rsid w:val="00C316FA"/>
    <w:rsid w:val="00C32625"/>
    <w:rsid w:val="00C33A35"/>
    <w:rsid w:val="00C44086"/>
    <w:rsid w:val="00C46D78"/>
    <w:rsid w:val="00C47041"/>
    <w:rsid w:val="00C50315"/>
    <w:rsid w:val="00C506B8"/>
    <w:rsid w:val="00C52638"/>
    <w:rsid w:val="00C545E7"/>
    <w:rsid w:val="00C577F7"/>
    <w:rsid w:val="00C61206"/>
    <w:rsid w:val="00C6159B"/>
    <w:rsid w:val="00C62D97"/>
    <w:rsid w:val="00C62DC7"/>
    <w:rsid w:val="00C63717"/>
    <w:rsid w:val="00C63C18"/>
    <w:rsid w:val="00C660B3"/>
    <w:rsid w:val="00C714CC"/>
    <w:rsid w:val="00C71552"/>
    <w:rsid w:val="00C72661"/>
    <w:rsid w:val="00C72DEA"/>
    <w:rsid w:val="00C7363D"/>
    <w:rsid w:val="00C73B0F"/>
    <w:rsid w:val="00C7404A"/>
    <w:rsid w:val="00C7434A"/>
    <w:rsid w:val="00C74AB9"/>
    <w:rsid w:val="00C75F03"/>
    <w:rsid w:val="00C76FBD"/>
    <w:rsid w:val="00C77430"/>
    <w:rsid w:val="00C77442"/>
    <w:rsid w:val="00C7759F"/>
    <w:rsid w:val="00C77948"/>
    <w:rsid w:val="00C77E35"/>
    <w:rsid w:val="00C81E90"/>
    <w:rsid w:val="00C8216B"/>
    <w:rsid w:val="00C82ECE"/>
    <w:rsid w:val="00C831DA"/>
    <w:rsid w:val="00C836FC"/>
    <w:rsid w:val="00C85C68"/>
    <w:rsid w:val="00C90484"/>
    <w:rsid w:val="00C923F3"/>
    <w:rsid w:val="00C92518"/>
    <w:rsid w:val="00C92CB8"/>
    <w:rsid w:val="00C9345C"/>
    <w:rsid w:val="00C937B5"/>
    <w:rsid w:val="00C9527E"/>
    <w:rsid w:val="00C95AE2"/>
    <w:rsid w:val="00C96126"/>
    <w:rsid w:val="00C97BA6"/>
    <w:rsid w:val="00CA01BE"/>
    <w:rsid w:val="00CA1AD9"/>
    <w:rsid w:val="00CA2401"/>
    <w:rsid w:val="00CA45E9"/>
    <w:rsid w:val="00CA4F2A"/>
    <w:rsid w:val="00CA5651"/>
    <w:rsid w:val="00CB25FE"/>
    <w:rsid w:val="00CB2609"/>
    <w:rsid w:val="00CB4191"/>
    <w:rsid w:val="00CB5DCB"/>
    <w:rsid w:val="00CB6C45"/>
    <w:rsid w:val="00CB79D9"/>
    <w:rsid w:val="00CC0E11"/>
    <w:rsid w:val="00CC19C2"/>
    <w:rsid w:val="00CC1BE2"/>
    <w:rsid w:val="00CC3048"/>
    <w:rsid w:val="00CC31BA"/>
    <w:rsid w:val="00CC4073"/>
    <w:rsid w:val="00CC52A5"/>
    <w:rsid w:val="00CC59FA"/>
    <w:rsid w:val="00CC5CB6"/>
    <w:rsid w:val="00CC5FA0"/>
    <w:rsid w:val="00CC710E"/>
    <w:rsid w:val="00CC7E34"/>
    <w:rsid w:val="00CD0154"/>
    <w:rsid w:val="00CD0CD0"/>
    <w:rsid w:val="00CD264B"/>
    <w:rsid w:val="00CD2968"/>
    <w:rsid w:val="00CD2EB5"/>
    <w:rsid w:val="00CD3007"/>
    <w:rsid w:val="00CD44AB"/>
    <w:rsid w:val="00CD4E00"/>
    <w:rsid w:val="00CD6DA1"/>
    <w:rsid w:val="00CD788F"/>
    <w:rsid w:val="00CE0AEE"/>
    <w:rsid w:val="00CE1D91"/>
    <w:rsid w:val="00CE2811"/>
    <w:rsid w:val="00CE2C80"/>
    <w:rsid w:val="00CE32A4"/>
    <w:rsid w:val="00CE3370"/>
    <w:rsid w:val="00CE4FE5"/>
    <w:rsid w:val="00CE608A"/>
    <w:rsid w:val="00CF06D0"/>
    <w:rsid w:val="00CF30FB"/>
    <w:rsid w:val="00CF35BF"/>
    <w:rsid w:val="00CF39D6"/>
    <w:rsid w:val="00CF46D4"/>
    <w:rsid w:val="00CF4EDF"/>
    <w:rsid w:val="00CF7366"/>
    <w:rsid w:val="00CF7695"/>
    <w:rsid w:val="00CF7C2C"/>
    <w:rsid w:val="00D00BD2"/>
    <w:rsid w:val="00D068D0"/>
    <w:rsid w:val="00D07E9B"/>
    <w:rsid w:val="00D10924"/>
    <w:rsid w:val="00D111AF"/>
    <w:rsid w:val="00D112CD"/>
    <w:rsid w:val="00D14CBE"/>
    <w:rsid w:val="00D15065"/>
    <w:rsid w:val="00D16152"/>
    <w:rsid w:val="00D165B3"/>
    <w:rsid w:val="00D17055"/>
    <w:rsid w:val="00D25184"/>
    <w:rsid w:val="00D27AE5"/>
    <w:rsid w:val="00D301BF"/>
    <w:rsid w:val="00D31469"/>
    <w:rsid w:val="00D3509F"/>
    <w:rsid w:val="00D35E77"/>
    <w:rsid w:val="00D36EDC"/>
    <w:rsid w:val="00D40A2D"/>
    <w:rsid w:val="00D41894"/>
    <w:rsid w:val="00D41996"/>
    <w:rsid w:val="00D42CD9"/>
    <w:rsid w:val="00D43836"/>
    <w:rsid w:val="00D44294"/>
    <w:rsid w:val="00D45FC0"/>
    <w:rsid w:val="00D467E6"/>
    <w:rsid w:val="00D47301"/>
    <w:rsid w:val="00D4751A"/>
    <w:rsid w:val="00D50AA8"/>
    <w:rsid w:val="00D5295F"/>
    <w:rsid w:val="00D54284"/>
    <w:rsid w:val="00D54585"/>
    <w:rsid w:val="00D564E9"/>
    <w:rsid w:val="00D566B1"/>
    <w:rsid w:val="00D56702"/>
    <w:rsid w:val="00D56BEC"/>
    <w:rsid w:val="00D57D43"/>
    <w:rsid w:val="00D57EDE"/>
    <w:rsid w:val="00D6087B"/>
    <w:rsid w:val="00D60970"/>
    <w:rsid w:val="00D6148D"/>
    <w:rsid w:val="00D642C3"/>
    <w:rsid w:val="00D707DE"/>
    <w:rsid w:val="00D70851"/>
    <w:rsid w:val="00D70A12"/>
    <w:rsid w:val="00D71046"/>
    <w:rsid w:val="00D718C2"/>
    <w:rsid w:val="00D73877"/>
    <w:rsid w:val="00D74261"/>
    <w:rsid w:val="00D74E1B"/>
    <w:rsid w:val="00D75762"/>
    <w:rsid w:val="00D8116D"/>
    <w:rsid w:val="00D81443"/>
    <w:rsid w:val="00D81DF4"/>
    <w:rsid w:val="00D82282"/>
    <w:rsid w:val="00D82EB5"/>
    <w:rsid w:val="00D84743"/>
    <w:rsid w:val="00D84951"/>
    <w:rsid w:val="00D85362"/>
    <w:rsid w:val="00D85DA9"/>
    <w:rsid w:val="00D86798"/>
    <w:rsid w:val="00D871C2"/>
    <w:rsid w:val="00D91E2F"/>
    <w:rsid w:val="00D958D7"/>
    <w:rsid w:val="00D95E3D"/>
    <w:rsid w:val="00D96972"/>
    <w:rsid w:val="00DA049B"/>
    <w:rsid w:val="00DA07F0"/>
    <w:rsid w:val="00DA14D2"/>
    <w:rsid w:val="00DA4AF7"/>
    <w:rsid w:val="00DA4B0D"/>
    <w:rsid w:val="00DA5135"/>
    <w:rsid w:val="00DA5EDD"/>
    <w:rsid w:val="00DA70E7"/>
    <w:rsid w:val="00DA72C3"/>
    <w:rsid w:val="00DB075B"/>
    <w:rsid w:val="00DB09C9"/>
    <w:rsid w:val="00DB1C3A"/>
    <w:rsid w:val="00DB2AA8"/>
    <w:rsid w:val="00DB6D4D"/>
    <w:rsid w:val="00DC0FC1"/>
    <w:rsid w:val="00DC15E4"/>
    <w:rsid w:val="00DC366E"/>
    <w:rsid w:val="00DC3E48"/>
    <w:rsid w:val="00DC4388"/>
    <w:rsid w:val="00DC49EE"/>
    <w:rsid w:val="00DC4A1D"/>
    <w:rsid w:val="00DC5B9C"/>
    <w:rsid w:val="00DC75BB"/>
    <w:rsid w:val="00DD085B"/>
    <w:rsid w:val="00DD158D"/>
    <w:rsid w:val="00DD1A77"/>
    <w:rsid w:val="00DD2568"/>
    <w:rsid w:val="00DD37D4"/>
    <w:rsid w:val="00DD3CEA"/>
    <w:rsid w:val="00DD4554"/>
    <w:rsid w:val="00DD6DF0"/>
    <w:rsid w:val="00DD73A6"/>
    <w:rsid w:val="00DE055D"/>
    <w:rsid w:val="00DE10BA"/>
    <w:rsid w:val="00DE1455"/>
    <w:rsid w:val="00DE2955"/>
    <w:rsid w:val="00DE33FB"/>
    <w:rsid w:val="00DE45A3"/>
    <w:rsid w:val="00DE72A4"/>
    <w:rsid w:val="00DE7787"/>
    <w:rsid w:val="00DE796B"/>
    <w:rsid w:val="00DE7C06"/>
    <w:rsid w:val="00DF17BC"/>
    <w:rsid w:val="00DF1EF9"/>
    <w:rsid w:val="00DF2762"/>
    <w:rsid w:val="00DF2835"/>
    <w:rsid w:val="00DF3161"/>
    <w:rsid w:val="00DF39C6"/>
    <w:rsid w:val="00DF3A5B"/>
    <w:rsid w:val="00DF3C3B"/>
    <w:rsid w:val="00DF439A"/>
    <w:rsid w:val="00DF4D24"/>
    <w:rsid w:val="00DF783A"/>
    <w:rsid w:val="00E000AC"/>
    <w:rsid w:val="00E004F2"/>
    <w:rsid w:val="00E0074B"/>
    <w:rsid w:val="00E01EC4"/>
    <w:rsid w:val="00E02087"/>
    <w:rsid w:val="00E03A84"/>
    <w:rsid w:val="00E04972"/>
    <w:rsid w:val="00E05BE1"/>
    <w:rsid w:val="00E10256"/>
    <w:rsid w:val="00E11540"/>
    <w:rsid w:val="00E11C05"/>
    <w:rsid w:val="00E126E0"/>
    <w:rsid w:val="00E12D0E"/>
    <w:rsid w:val="00E132B7"/>
    <w:rsid w:val="00E13341"/>
    <w:rsid w:val="00E13648"/>
    <w:rsid w:val="00E141F1"/>
    <w:rsid w:val="00E15692"/>
    <w:rsid w:val="00E207D3"/>
    <w:rsid w:val="00E218A6"/>
    <w:rsid w:val="00E2208F"/>
    <w:rsid w:val="00E23F22"/>
    <w:rsid w:val="00E24C22"/>
    <w:rsid w:val="00E25E78"/>
    <w:rsid w:val="00E26DE2"/>
    <w:rsid w:val="00E27732"/>
    <w:rsid w:val="00E302EB"/>
    <w:rsid w:val="00E312CB"/>
    <w:rsid w:val="00E32A1F"/>
    <w:rsid w:val="00E344DA"/>
    <w:rsid w:val="00E36EC5"/>
    <w:rsid w:val="00E375EB"/>
    <w:rsid w:val="00E37A95"/>
    <w:rsid w:val="00E41792"/>
    <w:rsid w:val="00E43BFB"/>
    <w:rsid w:val="00E43E9B"/>
    <w:rsid w:val="00E45085"/>
    <w:rsid w:val="00E456B6"/>
    <w:rsid w:val="00E46125"/>
    <w:rsid w:val="00E4636D"/>
    <w:rsid w:val="00E46601"/>
    <w:rsid w:val="00E501AD"/>
    <w:rsid w:val="00E51735"/>
    <w:rsid w:val="00E52A7B"/>
    <w:rsid w:val="00E53714"/>
    <w:rsid w:val="00E53C3E"/>
    <w:rsid w:val="00E54DF3"/>
    <w:rsid w:val="00E603F2"/>
    <w:rsid w:val="00E61085"/>
    <w:rsid w:val="00E614D0"/>
    <w:rsid w:val="00E61C96"/>
    <w:rsid w:val="00E628B6"/>
    <w:rsid w:val="00E640AC"/>
    <w:rsid w:val="00E655E8"/>
    <w:rsid w:val="00E65E9C"/>
    <w:rsid w:val="00E672BB"/>
    <w:rsid w:val="00E67865"/>
    <w:rsid w:val="00E70269"/>
    <w:rsid w:val="00E70879"/>
    <w:rsid w:val="00E73C60"/>
    <w:rsid w:val="00E75573"/>
    <w:rsid w:val="00E75630"/>
    <w:rsid w:val="00E75DAF"/>
    <w:rsid w:val="00E76995"/>
    <w:rsid w:val="00E808DA"/>
    <w:rsid w:val="00E81F1C"/>
    <w:rsid w:val="00E81F4D"/>
    <w:rsid w:val="00E82217"/>
    <w:rsid w:val="00E8388D"/>
    <w:rsid w:val="00E85CFE"/>
    <w:rsid w:val="00E86073"/>
    <w:rsid w:val="00E873D0"/>
    <w:rsid w:val="00E909A7"/>
    <w:rsid w:val="00E90CCA"/>
    <w:rsid w:val="00E91C74"/>
    <w:rsid w:val="00E91FFA"/>
    <w:rsid w:val="00E9294C"/>
    <w:rsid w:val="00E93067"/>
    <w:rsid w:val="00E93D0A"/>
    <w:rsid w:val="00E950FF"/>
    <w:rsid w:val="00E95A0D"/>
    <w:rsid w:val="00E9600D"/>
    <w:rsid w:val="00E96DAD"/>
    <w:rsid w:val="00E971B0"/>
    <w:rsid w:val="00E972AF"/>
    <w:rsid w:val="00E9747C"/>
    <w:rsid w:val="00E97747"/>
    <w:rsid w:val="00EA004E"/>
    <w:rsid w:val="00EA22BE"/>
    <w:rsid w:val="00EA26B0"/>
    <w:rsid w:val="00EA3854"/>
    <w:rsid w:val="00EA3F71"/>
    <w:rsid w:val="00EA55F9"/>
    <w:rsid w:val="00EA7E65"/>
    <w:rsid w:val="00EA7FA5"/>
    <w:rsid w:val="00EB079E"/>
    <w:rsid w:val="00EB1502"/>
    <w:rsid w:val="00EB28E8"/>
    <w:rsid w:val="00EB322C"/>
    <w:rsid w:val="00EB5715"/>
    <w:rsid w:val="00EB5D6E"/>
    <w:rsid w:val="00EB77A9"/>
    <w:rsid w:val="00EC179F"/>
    <w:rsid w:val="00EC1939"/>
    <w:rsid w:val="00EC4C83"/>
    <w:rsid w:val="00ED0C7A"/>
    <w:rsid w:val="00ED118A"/>
    <w:rsid w:val="00ED2135"/>
    <w:rsid w:val="00ED2E20"/>
    <w:rsid w:val="00ED3DAA"/>
    <w:rsid w:val="00ED558E"/>
    <w:rsid w:val="00ED5F49"/>
    <w:rsid w:val="00ED6C0C"/>
    <w:rsid w:val="00EE0EBC"/>
    <w:rsid w:val="00EE1353"/>
    <w:rsid w:val="00EE3D8C"/>
    <w:rsid w:val="00EE5CA4"/>
    <w:rsid w:val="00EF0BFE"/>
    <w:rsid w:val="00EF26E7"/>
    <w:rsid w:val="00EF31DF"/>
    <w:rsid w:val="00EF327B"/>
    <w:rsid w:val="00EF3B27"/>
    <w:rsid w:val="00EF5BE2"/>
    <w:rsid w:val="00F0070F"/>
    <w:rsid w:val="00F01889"/>
    <w:rsid w:val="00F02094"/>
    <w:rsid w:val="00F036F4"/>
    <w:rsid w:val="00F04F3A"/>
    <w:rsid w:val="00F066D6"/>
    <w:rsid w:val="00F069CE"/>
    <w:rsid w:val="00F0727B"/>
    <w:rsid w:val="00F10E21"/>
    <w:rsid w:val="00F1105E"/>
    <w:rsid w:val="00F11CDB"/>
    <w:rsid w:val="00F11EA3"/>
    <w:rsid w:val="00F11F89"/>
    <w:rsid w:val="00F149D8"/>
    <w:rsid w:val="00F1546B"/>
    <w:rsid w:val="00F17159"/>
    <w:rsid w:val="00F21F04"/>
    <w:rsid w:val="00F224EB"/>
    <w:rsid w:val="00F2255E"/>
    <w:rsid w:val="00F22936"/>
    <w:rsid w:val="00F255D9"/>
    <w:rsid w:val="00F26E6C"/>
    <w:rsid w:val="00F30C0F"/>
    <w:rsid w:val="00F31358"/>
    <w:rsid w:val="00F31AB4"/>
    <w:rsid w:val="00F32443"/>
    <w:rsid w:val="00F3289B"/>
    <w:rsid w:val="00F347CC"/>
    <w:rsid w:val="00F3512F"/>
    <w:rsid w:val="00F351CB"/>
    <w:rsid w:val="00F36970"/>
    <w:rsid w:val="00F423AC"/>
    <w:rsid w:val="00F42554"/>
    <w:rsid w:val="00F42DAF"/>
    <w:rsid w:val="00F42DFD"/>
    <w:rsid w:val="00F44942"/>
    <w:rsid w:val="00F44B3A"/>
    <w:rsid w:val="00F45697"/>
    <w:rsid w:val="00F47511"/>
    <w:rsid w:val="00F47EC9"/>
    <w:rsid w:val="00F515AE"/>
    <w:rsid w:val="00F51824"/>
    <w:rsid w:val="00F518C5"/>
    <w:rsid w:val="00F5266F"/>
    <w:rsid w:val="00F53A57"/>
    <w:rsid w:val="00F53C5D"/>
    <w:rsid w:val="00F53F96"/>
    <w:rsid w:val="00F53F9A"/>
    <w:rsid w:val="00F55FC6"/>
    <w:rsid w:val="00F56CBE"/>
    <w:rsid w:val="00F57910"/>
    <w:rsid w:val="00F62D19"/>
    <w:rsid w:val="00F63BF1"/>
    <w:rsid w:val="00F6498D"/>
    <w:rsid w:val="00F65D27"/>
    <w:rsid w:val="00F71CAC"/>
    <w:rsid w:val="00F72979"/>
    <w:rsid w:val="00F733F7"/>
    <w:rsid w:val="00F734F1"/>
    <w:rsid w:val="00F73A57"/>
    <w:rsid w:val="00F7506A"/>
    <w:rsid w:val="00F753A0"/>
    <w:rsid w:val="00F758C9"/>
    <w:rsid w:val="00F75BF8"/>
    <w:rsid w:val="00F75EB7"/>
    <w:rsid w:val="00F75FB1"/>
    <w:rsid w:val="00F76224"/>
    <w:rsid w:val="00F76B09"/>
    <w:rsid w:val="00F77A30"/>
    <w:rsid w:val="00F77EC8"/>
    <w:rsid w:val="00F80AED"/>
    <w:rsid w:val="00F81F3C"/>
    <w:rsid w:val="00F82740"/>
    <w:rsid w:val="00F82B91"/>
    <w:rsid w:val="00F8325B"/>
    <w:rsid w:val="00F83385"/>
    <w:rsid w:val="00F8494B"/>
    <w:rsid w:val="00F8584D"/>
    <w:rsid w:val="00F859D6"/>
    <w:rsid w:val="00F86158"/>
    <w:rsid w:val="00F86C7F"/>
    <w:rsid w:val="00F86DA9"/>
    <w:rsid w:val="00F91874"/>
    <w:rsid w:val="00F93C40"/>
    <w:rsid w:val="00F93E6B"/>
    <w:rsid w:val="00F95E68"/>
    <w:rsid w:val="00F96E52"/>
    <w:rsid w:val="00F97A40"/>
    <w:rsid w:val="00FA0740"/>
    <w:rsid w:val="00FA1D22"/>
    <w:rsid w:val="00FA1E2C"/>
    <w:rsid w:val="00FA2B29"/>
    <w:rsid w:val="00FA2C2B"/>
    <w:rsid w:val="00FA54D6"/>
    <w:rsid w:val="00FA5E94"/>
    <w:rsid w:val="00FA5F6D"/>
    <w:rsid w:val="00FA7598"/>
    <w:rsid w:val="00FA7892"/>
    <w:rsid w:val="00FB380D"/>
    <w:rsid w:val="00FB3958"/>
    <w:rsid w:val="00FB3A2D"/>
    <w:rsid w:val="00FB3CC6"/>
    <w:rsid w:val="00FB50DC"/>
    <w:rsid w:val="00FB5944"/>
    <w:rsid w:val="00FB77A2"/>
    <w:rsid w:val="00FB7E0E"/>
    <w:rsid w:val="00FC02E1"/>
    <w:rsid w:val="00FC0919"/>
    <w:rsid w:val="00FC0AE4"/>
    <w:rsid w:val="00FC1ED7"/>
    <w:rsid w:val="00FC4D05"/>
    <w:rsid w:val="00FC54E0"/>
    <w:rsid w:val="00FD0D6D"/>
    <w:rsid w:val="00FD1036"/>
    <w:rsid w:val="00FD1F5C"/>
    <w:rsid w:val="00FD2C7D"/>
    <w:rsid w:val="00FD3C44"/>
    <w:rsid w:val="00FD3FF3"/>
    <w:rsid w:val="00FD4300"/>
    <w:rsid w:val="00FD4793"/>
    <w:rsid w:val="00FD59C2"/>
    <w:rsid w:val="00FD602D"/>
    <w:rsid w:val="00FD6C0A"/>
    <w:rsid w:val="00FE1A64"/>
    <w:rsid w:val="00FE3073"/>
    <w:rsid w:val="00FE40B2"/>
    <w:rsid w:val="00FE5D37"/>
    <w:rsid w:val="00FE7235"/>
    <w:rsid w:val="00FE7DD5"/>
    <w:rsid w:val="00FF23D0"/>
    <w:rsid w:val="00FF2C85"/>
    <w:rsid w:val="00FF38ED"/>
    <w:rsid w:val="00FF3999"/>
    <w:rsid w:val="00FF3D42"/>
    <w:rsid w:val="00FF408F"/>
    <w:rsid w:val="00FF4785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4:docId w14:val="48859A9C"/>
  <w15:docId w15:val="{8A9F0F78-0C32-4705-AE18-777D229E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0" w:unhideWhenUsed="1"/>
    <w:lsdException w:name="heading 7" w:qFormat="1" w:semiHidden="1" w:uiPriority="0" w:unhideWhenUsed="1"/>
    <w:lsdException w:name="heading 8" w:qFormat="1" w:semiHidden="1" w:uiPriority="0" w:unhideWhenUsed="1"/>
    <w:lsdException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0"/>
    <w:lsdException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E81F1C"/>
    <w:pPr>
      <w:widowControl w:val="0"/>
      <w:spacing w:after="0" w:line="240" w:lineRule="auto"/>
      <w:jc w:val="both"/>
    </w:pPr>
    <w:rPr>
      <w:rFonts w:ascii="Arial" w:cs="Times New Roman" w:eastAsia="Calibri" w:hAnsi="Arial"/>
    </w:rPr>
  </w:style>
  <w:style w:styleId="Titre1" w:type="paragraph">
    <w:name w:val="heading 1"/>
    <w:aliases w:val="Heading 1,(Shift Ctrl 1),Aston T1,stydde,&quot;Thierry&quot;,t1,Titre 11,t1.T1.Titre 1Annexe,TITRE1,heading 1,t1.T1.Titre 1,Titre 1ed,Titre 1 sans saut de page,Contrat 1,t,h1,Level 1 Topic Heading,h11,h12,h13,h111,h121,H11,h14,H12,h15,l1,level 1,level1"/>
    <w:basedOn w:val="TM1"/>
    <w:link w:val="Titre1Car"/>
    <w:qFormat/>
    <w:rsid w:val="00047792"/>
    <w:pPr>
      <w:outlineLvl w:val="0"/>
    </w:pPr>
  </w:style>
  <w:style w:styleId="Titre2" w:type="paragraph">
    <w:name w:val="heading 2"/>
    <w:aliases w:val="Titre 21,t2.T2.Titre 2,t2,H2,Niveau 2,Niveau2,Contrat 2,Ctt,Heading 2,l2,I2,h2,Annexe 2,Sociétés,TexteTitre2,T2,Headnum 2,chapitre,chapitre 1.1,h21,h22,heading 2,t2.T2,Titre Parag,TITRE 2,Titre 2ed,(Shift Ctrl 2),Aston T2,h1.1,Titre 2 SQ,Titre2"/>
    <w:basedOn w:val="Normal"/>
    <w:next w:val="Normal"/>
    <w:link w:val="Titre2Car"/>
    <w:unhideWhenUsed/>
    <w:qFormat/>
    <w:rsid w:val="001D00C6"/>
    <w:pPr>
      <w:spacing w:before="120"/>
      <w:ind w:firstLine="708" w:left="708"/>
      <w:outlineLvl w:val="1"/>
    </w:pPr>
    <w:rPr>
      <w:rFonts w:cs="Arial"/>
      <w:b/>
    </w:rPr>
  </w:style>
  <w:style w:styleId="Titre3" w:type="paragraph">
    <w:name w:val="heading 3"/>
    <w:aliases w:val="H3,chapitre 1.1.1,Niveau 3,Niveau3,Contrat 3,Annexe 3,Heading 3,l3,CT,3,(Shift Ctrl 3),t3,h3,TexteTitre3,heading 3,Titre 31,t3.T3,t3.T3.Titre 3,TITRE 3,Titre 3 SQ,Titre 3 SQ1,Titre 3 SQ2,Titre 3 SQ3,Titre 3 SQ4,Titre 3 SQ5,Titre 3 SQ6,Titre3,T3"/>
    <w:basedOn w:val="TM3"/>
    <w:next w:val="Normal"/>
    <w:link w:val="Titre3Car"/>
    <w:qFormat/>
    <w:rsid w:val="00047792"/>
    <w:pPr>
      <w:outlineLvl w:val="2"/>
    </w:pPr>
  </w:style>
  <w:style w:styleId="Titre4" w:type="paragraph">
    <w:name w:val="heading 4"/>
    <w:aliases w:val="H4,chapitre 1.1.1.1,Niveau 4,Niveau4,Contrat 4,Texte 4,niveau 2,t4,h4,Titre 41,t4.T4,Map Title,First Subheading,Level 4 Topic Heading,(annexe),T4,l4,I4,Heading4_Titre4,heading 4,Unterunterabschnitt,Headnum 4,H41,H42,H43,(Shift Ctrl 4),Subhead C"/>
    <w:basedOn w:val="Titre3"/>
    <w:next w:val="Normal"/>
    <w:link w:val="Titre4Car"/>
    <w:qFormat/>
    <w:rsid w:val="00002124"/>
    <w:pPr>
      <w:outlineLvl w:val="3"/>
    </w:pPr>
  </w:style>
  <w:style w:styleId="Titre5" w:type="paragraph">
    <w:name w:val="heading 5"/>
    <w:aliases w:val="H5,Contrat 5,Heading5_Titre5,Niveau 5,Niveau5,Niveau5 Char,(Shift Ctrl 5),h5,Second Subheading,Roman list,Tempo Heading 5,Schedule A to X,Heading 5,heading 5,Edf Titre 5,Heading 5 CFMU,Titre5,L5,Chapitre 1.1.1.1.,niveau 5,Chapitre 1.1.1.1.1"/>
    <w:basedOn w:val="Normal"/>
    <w:next w:val="Normal"/>
    <w:link w:val="Titre5Car"/>
    <w:unhideWhenUsed/>
    <w:qFormat/>
    <w:rsid w:val="00F6498D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aliases w:val="Chapitre 1.1.1.1.1.,H6,Empire 6,PA Appendix,Legal Level 1."/>
    <w:basedOn w:val="Titre2"/>
    <w:next w:val="Normal"/>
    <w:link w:val="Titre6Car"/>
    <w:qFormat/>
    <w:rsid w:val="00AD3EC0"/>
    <w:pPr>
      <w:spacing w:line="276" w:lineRule="auto"/>
      <w:outlineLvl w:val="5"/>
    </w:pPr>
  </w:style>
  <w:style w:styleId="Titre7" w:type="paragraph">
    <w:name w:val="heading 7"/>
    <w:aliases w:val="Titre  paragraphe,Org Heading 5,H7,Annexe2,PA Appendix Major,Legal Level 1.1."/>
    <w:basedOn w:val="Normal"/>
    <w:next w:val="Normal"/>
    <w:link w:val="Titre7Car"/>
    <w:qFormat/>
    <w:rsid w:val="00F6498D"/>
    <w:pPr>
      <w:tabs>
        <w:tab w:pos="1296" w:val="num"/>
      </w:tabs>
      <w:spacing w:after="60" w:before="240"/>
      <w:ind w:hanging="1296" w:left="1296"/>
      <w:outlineLvl w:val="6"/>
    </w:pPr>
    <w:rPr>
      <w:rFonts w:ascii="Times New Roman" w:hAnsi="Times New Roman"/>
      <w:snapToGrid w:val="0"/>
      <w:sz w:val="24"/>
      <w:lang w:eastAsia="fr-FR"/>
    </w:rPr>
  </w:style>
  <w:style w:styleId="Titre8" w:type="paragraph">
    <w:name w:val="heading 8"/>
    <w:aliases w:val="Legal Level 1.1.1."/>
    <w:basedOn w:val="Normal"/>
    <w:next w:val="Normal"/>
    <w:link w:val="Titre8Car"/>
    <w:qFormat/>
    <w:rsid w:val="00F6498D"/>
    <w:pPr>
      <w:tabs>
        <w:tab w:pos="1440" w:val="num"/>
      </w:tabs>
      <w:spacing w:after="60" w:before="240"/>
      <w:ind w:hanging="1440" w:left="1440"/>
      <w:outlineLvl w:val="7"/>
    </w:pPr>
    <w:rPr>
      <w:rFonts w:ascii="Times New Roman" w:hAnsi="Times New Roman"/>
      <w:i/>
      <w:iCs/>
      <w:snapToGrid w:val="0"/>
      <w:sz w:val="24"/>
      <w:lang w:eastAsia="fr-FR"/>
    </w:rPr>
  </w:style>
  <w:style w:styleId="Titre9" w:type="paragraph">
    <w:name w:val="heading 9"/>
    <w:aliases w:val="Legal Level 1.1.1.1."/>
    <w:basedOn w:val="Normal"/>
    <w:next w:val="Normal"/>
    <w:link w:val="Titre9Car"/>
    <w:qFormat/>
    <w:rsid w:val="00F6498D"/>
    <w:pPr>
      <w:tabs>
        <w:tab w:pos="1584" w:val="num"/>
      </w:tabs>
      <w:spacing w:after="60" w:before="240"/>
      <w:ind w:hanging="1584" w:left="1584"/>
      <w:outlineLvl w:val="8"/>
    </w:pPr>
    <w:rPr>
      <w:rFonts w:cs="Arial"/>
      <w:snapToGrid w:val="0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aliases w:val="Heading 1 Car,(Shift Ctrl 1) Car,Aston T1 Car,stydde Car,&quot;Thierry&quot; Car,t1 Car,Titre 11 Car,t1.T1.Titre 1Annexe Car,TITRE1 Car,heading 1 Car,t1.T1.Titre 1 Car,Titre 1ed Car,Titre 1 sans saut de page Car,Contrat 1 Car,t Car,h1 Car,h11 Car"/>
    <w:basedOn w:val="Policepardfaut"/>
    <w:link w:val="Titre1"/>
    <w:rsid w:val="00047792"/>
    <w:rPr>
      <w:rFonts w:ascii="Arial" w:cs="Arial" w:eastAsia="Calibri" w:hAnsi="Arial"/>
      <w:b/>
      <w:u w:val="single"/>
    </w:rPr>
  </w:style>
  <w:style w:customStyle="1" w:styleId="Titre2Car" w:type="character">
    <w:name w:val="Titre 2 Car"/>
    <w:aliases w:val="Titre 21 Car,t2.T2.Titre 2 Car,t2 Car,H2 Car,Niveau 2 Car,Niveau2 Car,Contrat 2 Car,Ctt Car,Heading 2 Car,l2 Car,I2 Car,h2 Car,Annexe 2 Car,Sociétés Car,TexteTitre2 Car,T2 Car,Headnum 2 Car,chapitre Car,chapitre 1.1 Car,h21 Car,h22 Car"/>
    <w:basedOn w:val="Policepardfaut"/>
    <w:link w:val="Titre2"/>
    <w:rsid w:val="001D00C6"/>
    <w:rPr>
      <w:rFonts w:ascii="Arial" w:cs="Arial" w:eastAsia="Calibri" w:hAnsi="Arial"/>
      <w:b/>
    </w:rPr>
  </w:style>
  <w:style w:customStyle="1" w:styleId="Titre3Car" w:type="character">
    <w:name w:val="Titre 3 Car"/>
    <w:aliases w:val="H3 Car,chapitre 1.1.1 Car,Niveau 3 Car,Niveau3 Car,Contrat 3 Car,Annexe 3 Car,Heading 3 Car,l3 Car,CT Car,3 Car,(Shift Ctrl 3) Car,t3 Car,h3 Car,TexteTitre3 Car,heading 3 Car,Titre 31 Car,t3.T3 Car,t3.T3.Titre 3 Car,TITRE 3 Car,Titre3 Car"/>
    <w:basedOn w:val="Policepardfaut"/>
    <w:link w:val="Titre3"/>
    <w:rsid w:val="00047792"/>
    <w:rPr>
      <w:rFonts w:ascii="Arial" w:cs="Arial" w:eastAsia="Calibri" w:hAnsi="Arial"/>
      <w:bCs/>
      <w:u w:val="single"/>
    </w:rPr>
  </w:style>
  <w:style w:customStyle="1" w:styleId="Titre4Car" w:type="character">
    <w:name w:val="Titre 4 Car"/>
    <w:aliases w:val="H4 Car,chapitre 1.1.1.1 Car,Niveau 4 Car,Niveau4 Car,Contrat 4 Car,Texte 4 Car,niveau 2 Car,t4 Car,h4 Car,Titre 41 Car,t4.T4 Car,Map Title Car,First Subheading Car,Level 4 Topic Heading Car,(annexe) Car,T4 Car,l4 Car,I4 Car,heading 4 Car"/>
    <w:basedOn w:val="Policepardfaut"/>
    <w:link w:val="Titre4"/>
    <w:rsid w:val="00002124"/>
    <w:rPr>
      <w:rFonts w:ascii="Arial" w:cs="Arial" w:eastAsia="Times New Roman" w:hAnsi="Arial"/>
      <w:b/>
    </w:rPr>
  </w:style>
  <w:style w:customStyle="1" w:styleId="Titre5Car" w:type="character">
    <w:name w:val="Titre 5 Car"/>
    <w:aliases w:val="H5 Car,Contrat 5 Car,Heading5_Titre5 Car,Niveau 5 Car,Niveau5 Car,Niveau5 Char Car,(Shift Ctrl 5) Car,h5 Car,Second Subheading Car,Roman list Car,Tempo Heading 5 Car,Schedule A to X Car,Heading 5 Car,heading 5 Car,Edf Titre 5 Car,Titre5 Car"/>
    <w:basedOn w:val="Policepardfaut"/>
    <w:link w:val="Titre5"/>
    <w:rsid w:val="00F6498D"/>
    <w:rPr>
      <w:rFonts w:asciiTheme="majorHAnsi" w:cstheme="majorBidi" w:eastAsiaTheme="majorEastAsia" w:hAnsiTheme="majorHAnsi"/>
      <w:color w:themeColor="accent1" w:themeShade="7F" w:val="243F60"/>
      <w:szCs w:val="24"/>
    </w:rPr>
  </w:style>
  <w:style w:customStyle="1" w:styleId="Titre6Car" w:type="character">
    <w:name w:val="Titre 6 Car"/>
    <w:aliases w:val="Chapitre 1.1.1.1.1. Car,H6 Car,Empire 6 Car,PA Appendix Car,Legal Level 1. Car"/>
    <w:basedOn w:val="Policepardfaut"/>
    <w:link w:val="Titre6"/>
    <w:rsid w:val="00AD3EC0"/>
    <w:rPr>
      <w:rFonts w:ascii="Arial" w:cs="Arial" w:eastAsia="Times New Roman" w:hAnsi="Arial"/>
      <w:b/>
      <w:u w:val="single"/>
    </w:rPr>
  </w:style>
  <w:style w:customStyle="1" w:styleId="Titre7Car" w:type="character">
    <w:name w:val="Titre 7 Car"/>
    <w:aliases w:val="Titre  paragraphe Car,Org Heading 5 Car,H7 Car,Annexe2 Car,PA Appendix Major Car,Legal Level 1.1. Car"/>
    <w:basedOn w:val="Policepardfaut"/>
    <w:link w:val="Titre7"/>
    <w:rsid w:val="00F6498D"/>
    <w:rPr>
      <w:rFonts w:ascii="Times New Roman" w:cs="Times New Roman" w:eastAsia="Times New Roman" w:hAnsi="Times New Roman"/>
      <w:snapToGrid w:val="0"/>
      <w:sz w:val="24"/>
      <w:szCs w:val="24"/>
      <w:lang w:eastAsia="fr-FR"/>
    </w:rPr>
  </w:style>
  <w:style w:customStyle="1" w:styleId="Titre8Car" w:type="character">
    <w:name w:val="Titre 8 Car"/>
    <w:aliases w:val="Legal Level 1.1.1. Car"/>
    <w:basedOn w:val="Policepardfaut"/>
    <w:link w:val="Titre8"/>
    <w:rsid w:val="00F6498D"/>
    <w:rPr>
      <w:rFonts w:ascii="Times New Roman" w:cs="Times New Roman" w:eastAsia="Times New Roman" w:hAnsi="Times New Roman"/>
      <w:i/>
      <w:iCs/>
      <w:snapToGrid w:val="0"/>
      <w:sz w:val="24"/>
      <w:szCs w:val="24"/>
      <w:lang w:eastAsia="fr-FR"/>
    </w:rPr>
  </w:style>
  <w:style w:customStyle="1" w:styleId="Titre9Car" w:type="character">
    <w:name w:val="Titre 9 Car"/>
    <w:aliases w:val="Legal Level 1.1.1.1. Car"/>
    <w:basedOn w:val="Policepardfaut"/>
    <w:link w:val="Titre9"/>
    <w:rsid w:val="00F6498D"/>
    <w:rPr>
      <w:rFonts w:ascii="Arial" w:cs="Arial" w:eastAsia="Times New Roman" w:hAnsi="Arial"/>
      <w:snapToGrid w:val="0"/>
      <w:lang w:eastAsia="fr-FR"/>
    </w:rPr>
  </w:style>
  <w:style w:styleId="Commentaire" w:type="paragraph">
    <w:name w:val="annotation text"/>
    <w:basedOn w:val="Normal"/>
    <w:link w:val="CommentaireCar"/>
    <w:unhideWhenUsed/>
    <w:rsid w:val="00F6498D"/>
    <w:rPr>
      <w:rFonts w:asciiTheme="minorHAnsi" w:cstheme="minorBidi" w:eastAsiaTheme="minorHAnsi" w:hAnsiTheme="minorHAnsi"/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F6498D"/>
    <w:rPr>
      <w:sz w:val="20"/>
      <w:szCs w:val="20"/>
    </w:rPr>
  </w:style>
  <w:style w:styleId="Corpsdetexte" w:type="paragraph">
    <w:name w:val="Body Text"/>
    <w:basedOn w:val="Normal"/>
    <w:link w:val="CorpsdetexteCar"/>
    <w:unhideWhenUsed/>
    <w:qFormat/>
    <w:rsid w:val="00F6498D"/>
    <w:pPr>
      <w:ind w:left="120"/>
    </w:pPr>
    <w:rPr>
      <w:sz w:val="21"/>
      <w:szCs w:val="21"/>
    </w:rPr>
  </w:style>
  <w:style w:customStyle="1" w:styleId="CorpsdetexteCar" w:type="character">
    <w:name w:val="Corps de texte Car"/>
    <w:basedOn w:val="Policepardfaut"/>
    <w:link w:val="Corpsdetexte"/>
    <w:rsid w:val="00F6498D"/>
    <w:rPr>
      <w:rFonts w:ascii="Arial" w:cs="Times New Roman" w:eastAsia="Calibri" w:hAnsi="Arial"/>
      <w:sz w:val="21"/>
      <w:szCs w:val="21"/>
    </w:rPr>
  </w:style>
  <w:style w:styleId="Paragraphedeliste" w:type="paragraph">
    <w:name w:val="List Paragraph"/>
    <w:basedOn w:val="Normal"/>
    <w:next w:val="Normal"/>
    <w:link w:val="ParagraphedelisteCar"/>
    <w:uiPriority w:val="34"/>
    <w:qFormat/>
    <w:rsid w:val="00FD602D"/>
    <w:pPr>
      <w:ind w:left="720"/>
      <w:contextualSpacing/>
    </w:pPr>
    <w:rPr>
      <w:rFonts w:cstheme="minorBidi" w:eastAsiaTheme="minorHAnsi"/>
    </w:rPr>
  </w:style>
  <w:style w:customStyle="1" w:styleId="ParagraphedelisteCar" w:type="character">
    <w:name w:val="Paragraphe de liste Car"/>
    <w:link w:val="Paragraphedeliste"/>
    <w:uiPriority w:val="34"/>
    <w:locked/>
    <w:rsid w:val="00FD602D"/>
    <w:rPr>
      <w:rFonts w:ascii="Arial" w:hAnsi="Arial"/>
    </w:rPr>
  </w:style>
  <w:style w:styleId="Marquedecommentaire" w:type="character">
    <w:name w:val="annotation reference"/>
    <w:basedOn w:val="Policepardfaut"/>
    <w:semiHidden/>
    <w:unhideWhenUsed/>
    <w:rsid w:val="00F6498D"/>
    <w:rPr>
      <w:sz w:val="16"/>
      <w:szCs w:val="16"/>
    </w:rPr>
  </w:style>
  <w:style w:customStyle="1" w:styleId="Default" w:type="paragraph">
    <w:name w:val="Default"/>
    <w:rsid w:val="00F6498D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styleId="Textedebulles" w:type="paragraph">
    <w:name w:val="Balloon Text"/>
    <w:basedOn w:val="Normal"/>
    <w:link w:val="TextedebullesCar"/>
    <w:semiHidden/>
    <w:unhideWhenUsed/>
    <w:rsid w:val="00F6498D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6498D"/>
    <w:rPr>
      <w:rFonts w:ascii="Tahoma" w:cs="Tahoma" w:eastAsia="Times New Roman" w:hAnsi="Tahoma"/>
      <w:sz w:val="16"/>
      <w:szCs w:val="16"/>
    </w:rPr>
  </w:style>
  <w:style w:customStyle="1" w:styleId="Paragraphedeliste1" w:type="paragraph">
    <w:name w:val="Paragraphe de liste1"/>
    <w:basedOn w:val="Normal"/>
    <w:rsid w:val="00F6498D"/>
    <w:pPr>
      <w:spacing w:after="200" w:line="276" w:lineRule="auto"/>
      <w:ind w:left="720"/>
      <w:contextualSpacing/>
    </w:pPr>
    <w:rPr>
      <w:rFonts w:ascii="Calibri" w:hAnsi="Calibri"/>
    </w:rPr>
  </w:style>
  <w:style w:styleId="Rvision" w:type="paragraph">
    <w:name w:val="Revision"/>
    <w:hidden/>
    <w:uiPriority w:val="99"/>
    <w:semiHidden/>
    <w:rsid w:val="00F6498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Objetducommentaire" w:type="paragraph">
    <w:name w:val="annotation subject"/>
    <w:basedOn w:val="Commentaire"/>
    <w:next w:val="Commentaire"/>
    <w:link w:val="ObjetducommentaireCar"/>
    <w:semiHidden/>
    <w:unhideWhenUsed/>
    <w:rsid w:val="00F6498D"/>
    <w:rPr>
      <w:rFonts w:ascii="Times New Roman" w:cs="Times New Roman" w:eastAsia="Times New Roman" w:hAnsi="Times New Roman"/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F6498D"/>
    <w:rPr>
      <w:rFonts w:ascii="Times New Roman" w:cs="Times New Roman" w:eastAsia="Times New Roman" w:hAnsi="Times New Roman"/>
      <w:b/>
      <w:bCs/>
      <w:sz w:val="20"/>
      <w:szCs w:val="20"/>
    </w:rPr>
  </w:style>
  <w:style w:styleId="En-tte" w:type="paragraph">
    <w:name w:val="header"/>
    <w:aliases w:val="En-tête1,E.e,En-tête-1,En-tête-2,foote"/>
    <w:basedOn w:val="Normal"/>
    <w:link w:val="En-tteCar"/>
    <w:unhideWhenUsed/>
    <w:rsid w:val="00F6498D"/>
    <w:pPr>
      <w:tabs>
        <w:tab w:pos="4536" w:val="center"/>
        <w:tab w:pos="9072" w:val="right"/>
      </w:tabs>
    </w:pPr>
  </w:style>
  <w:style w:customStyle="1" w:styleId="En-tteCar" w:type="character">
    <w:name w:val="En-tête Car"/>
    <w:aliases w:val="En-tête1 Car,E.e Car,En-tête-1 Car,En-tête-2 Car,foote Car"/>
    <w:basedOn w:val="Policepardfaut"/>
    <w:link w:val="En-tte"/>
    <w:rsid w:val="00F6498D"/>
    <w:rPr>
      <w:rFonts w:ascii="Arial" w:cs="Times New Roman" w:eastAsia="Times New Roman" w:hAnsi="Arial"/>
      <w:szCs w:val="24"/>
    </w:rPr>
  </w:style>
  <w:style w:styleId="Pieddepage" w:type="paragraph">
    <w:name w:val="footer"/>
    <w:basedOn w:val="Normal"/>
    <w:link w:val="PieddepageCar"/>
    <w:uiPriority w:val="99"/>
    <w:unhideWhenUsed/>
    <w:rsid w:val="00F6498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F6498D"/>
    <w:rPr>
      <w:rFonts w:ascii="Arial" w:cs="Times New Roman" w:eastAsia="Times New Roman" w:hAnsi="Arial"/>
      <w:szCs w:val="24"/>
    </w:rPr>
  </w:style>
  <w:style w:styleId="Numrodeligne" w:type="character">
    <w:name w:val="line number"/>
    <w:basedOn w:val="Policepardfaut"/>
    <w:uiPriority w:val="99"/>
    <w:semiHidden/>
    <w:unhideWhenUsed/>
    <w:rsid w:val="00F6498D"/>
  </w:style>
  <w:style w:styleId="Grilledutableau" w:type="table">
    <w:name w:val="Table Grid"/>
    <w:basedOn w:val="TableauNormal"/>
    <w:rsid w:val="00F649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mbrageclair" w:type="table">
    <w:name w:val="Light Shading"/>
    <w:basedOn w:val="TableauNormal"/>
    <w:uiPriority w:val="60"/>
    <w:rsid w:val="00F6498D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Retraitcorpsdetexte" w:type="paragraph">
    <w:name w:val="Body Text Indent"/>
    <w:basedOn w:val="Normal"/>
    <w:link w:val="RetraitcorpsdetexteCar"/>
    <w:unhideWhenUsed/>
    <w:rsid w:val="00F6498D"/>
    <w:pPr>
      <w:spacing w:after="120"/>
      <w:ind w:left="283"/>
    </w:pPr>
  </w:style>
  <w:style w:customStyle="1" w:styleId="RetraitcorpsdetexteCar" w:type="character">
    <w:name w:val="Retrait corps de texte Car"/>
    <w:basedOn w:val="Policepardfaut"/>
    <w:link w:val="Retraitcorpsdetexte"/>
    <w:rsid w:val="00F6498D"/>
    <w:rPr>
      <w:rFonts w:ascii="Arial" w:cs="Times New Roman" w:eastAsia="Times New Roman" w:hAnsi="Arial"/>
      <w:szCs w:val="24"/>
    </w:rPr>
  </w:style>
  <w:style w:styleId="Numrodepage" w:type="character">
    <w:name w:val="page number"/>
    <w:basedOn w:val="Policepardfaut"/>
    <w:rsid w:val="00F6498D"/>
  </w:style>
  <w:style w:styleId="Corpsdetexte2" w:type="paragraph">
    <w:name w:val="Body Text 2"/>
    <w:basedOn w:val="Normal"/>
    <w:link w:val="Corpsdetexte2Car"/>
    <w:rsid w:val="00F6498D"/>
    <w:pPr>
      <w:spacing w:after="240"/>
    </w:pPr>
    <w:rPr>
      <w:sz w:val="18"/>
      <w:lang w:eastAsia="fr-FR"/>
    </w:rPr>
  </w:style>
  <w:style w:customStyle="1" w:styleId="Corpsdetexte2Car" w:type="character">
    <w:name w:val="Corps de texte 2 Car"/>
    <w:basedOn w:val="Policepardfaut"/>
    <w:link w:val="Corpsdetexte2"/>
    <w:rsid w:val="00F6498D"/>
    <w:rPr>
      <w:rFonts w:ascii="Arial" w:cs="Times New Roman" w:eastAsia="Times New Roman" w:hAnsi="Arial"/>
      <w:sz w:val="18"/>
      <w:szCs w:val="24"/>
      <w:lang w:eastAsia="fr-FR"/>
    </w:rPr>
  </w:style>
  <w:style w:customStyle="1" w:styleId="Normal1" w:type="paragraph">
    <w:name w:val="Normal 1"/>
    <w:basedOn w:val="Normal"/>
    <w:next w:val="Normal"/>
    <w:rsid w:val="00F6498D"/>
    <w:pPr>
      <w:spacing w:after="240"/>
      <w:ind w:left="1260"/>
    </w:pPr>
    <w:rPr>
      <w:rFonts w:cs="Arial"/>
      <w:sz w:val="18"/>
      <w:lang w:eastAsia="fr-FR"/>
    </w:rPr>
  </w:style>
  <w:style w:customStyle="1" w:styleId="OmniPage7" w:type="paragraph">
    <w:name w:val="OmniPage #7"/>
    <w:basedOn w:val="Normal"/>
    <w:rsid w:val="00F6498D"/>
    <w:pPr>
      <w:autoSpaceDE w:val="0"/>
      <w:autoSpaceDN w:val="0"/>
      <w:adjustRightInd w:val="0"/>
      <w:ind w:left="2528" w:right="100"/>
    </w:pPr>
    <w:rPr>
      <w:rFonts w:cs="Arial"/>
      <w:noProof/>
      <w:sz w:val="20"/>
      <w:szCs w:val="20"/>
      <w:lang w:eastAsia="fr-FR" w:val="en-US"/>
    </w:rPr>
  </w:style>
  <w:style w:styleId="Retraitcorpsdetexte3" w:type="paragraph">
    <w:name w:val="Body Text Indent 3"/>
    <w:basedOn w:val="Normal"/>
    <w:link w:val="Retraitcorpsdetexte3Car"/>
    <w:rsid w:val="00F6498D"/>
    <w:pPr>
      <w:kinsoku w:val="0"/>
      <w:spacing w:after="120"/>
      <w:ind w:left="283"/>
    </w:pPr>
    <w:rPr>
      <w:sz w:val="16"/>
      <w:szCs w:val="16"/>
      <w:lang w:eastAsia="fr-FR"/>
    </w:rPr>
  </w:style>
  <w:style w:customStyle="1" w:styleId="Retraitcorpsdetexte3Car" w:type="character">
    <w:name w:val="Retrait corps de texte 3 Car"/>
    <w:basedOn w:val="Policepardfaut"/>
    <w:link w:val="Retraitcorpsdetexte3"/>
    <w:rsid w:val="00F6498D"/>
    <w:rPr>
      <w:rFonts w:ascii="Arial" w:cs="Times New Roman" w:eastAsia="Times New Roman" w:hAnsi="Arial"/>
      <w:sz w:val="16"/>
      <w:szCs w:val="16"/>
      <w:lang w:eastAsia="fr-FR"/>
    </w:rPr>
  </w:style>
  <w:style w:styleId="NormalWeb" w:type="paragraph">
    <w:name w:val="Normal (Web)"/>
    <w:basedOn w:val="Normal"/>
    <w:uiPriority w:val="99"/>
    <w:unhideWhenUsed/>
    <w:rsid w:val="00F6498D"/>
    <w:pPr>
      <w:spacing w:after="100" w:afterAutospacing="1" w:before="100" w:beforeAutospacing="1"/>
    </w:pPr>
    <w:rPr>
      <w:lang w:eastAsia="fr-FR"/>
    </w:rPr>
  </w:style>
  <w:style w:styleId="Sansinterligne" w:type="paragraph">
    <w:name w:val="No Spacing"/>
    <w:basedOn w:val="Normal"/>
    <w:uiPriority w:val="1"/>
    <w:qFormat/>
    <w:rsid w:val="00F6498D"/>
    <w:rPr>
      <w:rFonts w:cs="Arial"/>
      <w:b/>
      <w:u w:val="single"/>
      <w:lang w:eastAsia="fr-FR"/>
    </w:rPr>
  </w:style>
  <w:style w:styleId="Notedebasdepage" w:type="paragraph">
    <w:name w:val="footnote text"/>
    <w:basedOn w:val="Normal"/>
    <w:link w:val="NotedebasdepageCar"/>
    <w:unhideWhenUsed/>
    <w:rsid w:val="00F6498D"/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rsid w:val="00F6498D"/>
    <w:rPr>
      <w:rFonts w:ascii="Arial" w:cs="Times New Roman" w:eastAsia="Times New Roman" w:hAnsi="Arial"/>
      <w:sz w:val="20"/>
      <w:szCs w:val="20"/>
    </w:rPr>
  </w:style>
  <w:style w:styleId="Appelnotedebasdep" w:type="character">
    <w:name w:val="footnote reference"/>
    <w:basedOn w:val="Policepardfaut"/>
    <w:semiHidden/>
    <w:unhideWhenUsed/>
    <w:rsid w:val="00F6498D"/>
    <w:rPr>
      <w:vertAlign w:val="superscript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F6498D"/>
    <w:pPr>
      <w:keepNext/>
      <w:keepLines/>
      <w:spacing w:before="480" w:line="276" w:lineRule="auto"/>
      <w:jc w:val="left"/>
      <w:outlineLvl w:val="9"/>
    </w:pPr>
    <w:rPr>
      <w:rFonts w:asciiTheme="majorHAnsi" w:cstheme="majorBidi" w:eastAsiaTheme="majorEastAsia" w:hAnsiTheme="majorHAnsi"/>
      <w:bCs/>
      <w:color w:themeColor="accent1" w:themeShade="BF" w:val="365F91"/>
      <w:sz w:val="28"/>
      <w:szCs w:val="28"/>
      <w:lang w:eastAsia="fr-FR"/>
    </w:rPr>
  </w:style>
  <w:style w:styleId="TM1" w:type="paragraph">
    <w:name w:val="toc 1"/>
    <w:basedOn w:val="Titre2"/>
    <w:next w:val="Normal"/>
    <w:autoRedefine/>
    <w:uiPriority w:val="39"/>
    <w:unhideWhenUsed/>
    <w:qFormat/>
    <w:rsid w:val="00047792"/>
    <w:pPr>
      <w:tabs>
        <w:tab w:leader="dot" w:pos="9060" w:val="right"/>
      </w:tabs>
      <w:ind w:left="0"/>
      <w:jc w:val="center"/>
    </w:pPr>
  </w:style>
  <w:style w:styleId="TM2" w:type="paragraph">
    <w:name w:val="toc 2"/>
    <w:basedOn w:val="Titre2"/>
    <w:next w:val="Normal"/>
    <w:autoRedefine/>
    <w:uiPriority w:val="39"/>
    <w:unhideWhenUsed/>
    <w:qFormat/>
    <w:rsid w:val="0086223B"/>
  </w:style>
  <w:style w:styleId="TM3" w:type="paragraph">
    <w:name w:val="toc 3"/>
    <w:basedOn w:val="TM2"/>
    <w:next w:val="Normal"/>
    <w:autoRedefine/>
    <w:uiPriority w:val="39"/>
    <w:unhideWhenUsed/>
    <w:qFormat/>
    <w:rsid w:val="006C4FD4"/>
    <w:pPr>
      <w:ind w:left="1416"/>
    </w:pPr>
    <w:rPr>
      <w:b w:val="0"/>
      <w:bCs/>
    </w:rPr>
  </w:style>
  <w:style w:styleId="Lienhypertexte" w:type="character">
    <w:name w:val="Hyperlink"/>
    <w:basedOn w:val="Policepardfaut"/>
    <w:uiPriority w:val="99"/>
    <w:unhideWhenUsed/>
    <w:rsid w:val="00F6498D"/>
    <w:rPr>
      <w:color w:themeColor="hyperlink" w:val="0000FF"/>
      <w:u w:val="single"/>
    </w:rPr>
  </w:style>
  <w:style w:styleId="TM4" w:type="paragraph">
    <w:name w:val="toc 4"/>
    <w:basedOn w:val="Normal"/>
    <w:next w:val="Normal"/>
    <w:autoRedefine/>
    <w:unhideWhenUsed/>
    <w:rsid w:val="00F6498D"/>
    <w:pPr>
      <w:spacing w:after="100"/>
      <w:ind w:left="720"/>
    </w:pPr>
  </w:style>
  <w:style w:styleId="TM5" w:type="paragraph">
    <w:name w:val="toc 5"/>
    <w:basedOn w:val="Normal"/>
    <w:next w:val="Normal"/>
    <w:autoRedefine/>
    <w:unhideWhenUsed/>
    <w:rsid w:val="00F6498D"/>
    <w:pPr>
      <w:spacing w:after="100" w:line="276" w:lineRule="auto"/>
      <w:ind w:left="880"/>
    </w:pPr>
    <w:rPr>
      <w:rFonts w:asciiTheme="minorHAnsi" w:cstheme="minorBidi" w:eastAsiaTheme="minorEastAsia" w:hAnsiTheme="minorHAnsi"/>
      <w:lang w:eastAsia="fr-FR"/>
    </w:rPr>
  </w:style>
  <w:style w:styleId="TM6" w:type="paragraph">
    <w:name w:val="toc 6"/>
    <w:basedOn w:val="Normal"/>
    <w:next w:val="Normal"/>
    <w:autoRedefine/>
    <w:uiPriority w:val="39"/>
    <w:unhideWhenUsed/>
    <w:rsid w:val="00F6498D"/>
    <w:pPr>
      <w:spacing w:after="100" w:line="276" w:lineRule="auto"/>
      <w:ind w:left="1100"/>
    </w:pPr>
    <w:rPr>
      <w:rFonts w:asciiTheme="minorHAnsi" w:cstheme="minorBidi" w:eastAsiaTheme="minorEastAsia" w:hAnsiTheme="minorHAnsi"/>
      <w:lang w:eastAsia="fr-FR"/>
    </w:rPr>
  </w:style>
  <w:style w:styleId="TM7" w:type="paragraph">
    <w:name w:val="toc 7"/>
    <w:basedOn w:val="Normal"/>
    <w:next w:val="Normal"/>
    <w:autoRedefine/>
    <w:uiPriority w:val="39"/>
    <w:unhideWhenUsed/>
    <w:rsid w:val="00F6498D"/>
    <w:pPr>
      <w:spacing w:after="100" w:line="276" w:lineRule="auto"/>
      <w:ind w:left="1320"/>
    </w:pPr>
    <w:rPr>
      <w:rFonts w:asciiTheme="minorHAnsi" w:cstheme="minorBidi" w:eastAsiaTheme="minorEastAsia" w:hAnsiTheme="minorHAnsi"/>
      <w:lang w:eastAsia="fr-FR"/>
    </w:rPr>
  </w:style>
  <w:style w:styleId="TM8" w:type="paragraph">
    <w:name w:val="toc 8"/>
    <w:basedOn w:val="Normal"/>
    <w:next w:val="Normal"/>
    <w:autoRedefine/>
    <w:uiPriority w:val="39"/>
    <w:unhideWhenUsed/>
    <w:rsid w:val="00F6498D"/>
    <w:pPr>
      <w:spacing w:after="100" w:line="276" w:lineRule="auto"/>
      <w:ind w:left="1540"/>
    </w:pPr>
    <w:rPr>
      <w:rFonts w:asciiTheme="minorHAnsi" w:cstheme="minorBidi" w:eastAsiaTheme="minorEastAsia" w:hAnsiTheme="minorHAnsi"/>
      <w:lang w:eastAsia="fr-FR"/>
    </w:rPr>
  </w:style>
  <w:style w:styleId="TM9" w:type="paragraph">
    <w:name w:val="toc 9"/>
    <w:basedOn w:val="Normal"/>
    <w:next w:val="Normal"/>
    <w:autoRedefine/>
    <w:uiPriority w:val="39"/>
    <w:unhideWhenUsed/>
    <w:rsid w:val="00F6498D"/>
    <w:pPr>
      <w:spacing w:after="100" w:line="276" w:lineRule="auto"/>
      <w:ind w:left="1760"/>
    </w:pPr>
    <w:rPr>
      <w:rFonts w:asciiTheme="minorHAnsi" w:cstheme="minorBidi" w:eastAsiaTheme="minorEastAsia" w:hAnsiTheme="minorHAnsi"/>
      <w:lang w:eastAsia="fr-FR"/>
    </w:rPr>
  </w:style>
  <w:style w:customStyle="1" w:styleId="bulletpoint" w:type="paragraph">
    <w:name w:val="bullet point"/>
    <w:basedOn w:val="Paragraphedeliste"/>
    <w:link w:val="bulletpointCar"/>
    <w:qFormat/>
    <w:rsid w:val="00F6498D"/>
    <w:pPr>
      <w:ind w:left="0"/>
    </w:pPr>
    <w:rPr>
      <w:rFonts w:cs="Arial"/>
    </w:rPr>
  </w:style>
  <w:style w:customStyle="1" w:styleId="bulletpointCar" w:type="character">
    <w:name w:val="bullet point Car"/>
    <w:basedOn w:val="ParagraphedelisteCar"/>
    <w:link w:val="bulletpoint"/>
    <w:rsid w:val="00F6498D"/>
    <w:rPr>
      <w:rFonts w:ascii="Arial" w:cs="Arial" w:hAnsi="Arial"/>
    </w:rPr>
  </w:style>
  <w:style w:customStyle="1" w:styleId="TableParagraph" w:type="paragraph">
    <w:name w:val="Table Paragraph"/>
    <w:basedOn w:val="Normal"/>
    <w:uiPriority w:val="1"/>
    <w:qFormat/>
    <w:rsid w:val="00F6498D"/>
    <w:pPr>
      <w:jc w:val="left"/>
    </w:pPr>
    <w:rPr>
      <w:rFonts w:asciiTheme="minorHAnsi" w:cstheme="minorBidi" w:eastAsiaTheme="minorHAnsi" w:hAnsiTheme="minorHAnsi"/>
      <w:lang w:val="en-US"/>
    </w:rPr>
  </w:style>
  <w:style w:customStyle="1" w:styleId="TableNormal" w:type="table">
    <w:name w:val="Table Normal"/>
    <w:uiPriority w:val="2"/>
    <w:semiHidden/>
    <w:unhideWhenUsed/>
    <w:qFormat/>
    <w:rsid w:val="00F6498D"/>
    <w:pPr>
      <w:widowControl w:val="0"/>
      <w:spacing w:after="0" w:line="240" w:lineRule="auto"/>
    </w:pPr>
    <w:rPr>
      <w:lang w:val="en-US"/>
    </w:r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customStyle="1" w:styleId="highlight" w:type="character">
    <w:name w:val="highlight"/>
    <w:basedOn w:val="Policepardfaut"/>
    <w:rsid w:val="00F6498D"/>
  </w:style>
  <w:style w:customStyle="1" w:styleId="pc" w:type="character">
    <w:name w:val="pc"/>
    <w:basedOn w:val="Policepardfaut"/>
    <w:rsid w:val="00F6498D"/>
  </w:style>
  <w:style w:customStyle="1" w:styleId="highlight2" w:type="character">
    <w:name w:val="highlight2"/>
    <w:basedOn w:val="Policepardfaut"/>
    <w:rsid w:val="00F6498D"/>
  </w:style>
  <w:style w:customStyle="1" w:styleId="PECorpsdetexteCar" w:type="character">
    <w:name w:val="PE Corps de texte Car"/>
    <w:link w:val="PECorpsdetexte"/>
    <w:locked/>
    <w:rsid w:val="00F6498D"/>
    <w:rPr>
      <w:rFonts w:ascii="Times New Roman" w:cs="Times New Roman" w:eastAsia="Times New Roman" w:hAnsi="Times New Roman"/>
      <w:sz w:val="24"/>
      <w:szCs w:val="24"/>
    </w:rPr>
  </w:style>
  <w:style w:customStyle="1" w:styleId="PECorpsdetexte" w:type="paragraph">
    <w:name w:val="PE Corps de texte"/>
    <w:basedOn w:val="Normal"/>
    <w:link w:val="PECorpsdetexteCar"/>
    <w:rsid w:val="00F6498D"/>
    <w:pPr>
      <w:spacing w:before="120"/>
    </w:pPr>
    <w:rPr>
      <w:rFonts w:ascii="Times New Roman" w:hAnsi="Times New Roman"/>
      <w:sz w:val="24"/>
    </w:rPr>
  </w:style>
  <w:style w:customStyle="1" w:styleId="PETitreniveau1Car" w:type="character">
    <w:name w:val="PE Titre niveau 1 Car"/>
    <w:link w:val="PETitreniveau1"/>
    <w:locked/>
    <w:rsid w:val="00F6498D"/>
    <w:rPr>
      <w:rFonts w:ascii="Times New Roman" w:cs="Times New Roman" w:eastAsia="Times New Roman" w:hAnsi="Times New Roman"/>
      <w:b/>
      <w:bCs/>
      <w:smallCaps/>
      <w:noProof/>
      <w:color w:val="FFFFFF"/>
      <w:sz w:val="28"/>
      <w:szCs w:val="28"/>
      <w:shd w:color="auto" w:fill="000080" w:val="clear"/>
    </w:rPr>
  </w:style>
  <w:style w:customStyle="1" w:styleId="PETitreniveau1" w:type="paragraph">
    <w:name w:val="PE Titre niveau 1"/>
    <w:basedOn w:val="TM1"/>
    <w:next w:val="TM1"/>
    <w:link w:val="PETitreniveau1Car"/>
    <w:rsid w:val="00F6498D"/>
    <w:pPr>
      <w:pageBreakBefore/>
      <w:suppressLineNumbers/>
      <w:shd w:color="auto" w:fill="000080" w:val="clear"/>
      <w:tabs>
        <w:tab w:pos="1031" w:val="num"/>
      </w:tabs>
      <w:spacing w:after="360" w:before="360"/>
      <w:ind w:hanging="1031" w:left="1031"/>
      <w:contextualSpacing/>
      <w:outlineLvl w:val="0"/>
    </w:pPr>
    <w:rPr>
      <w:rFonts w:ascii="Times New Roman" w:hAnsi="Times New Roman"/>
      <w:b w:val="0"/>
      <w:bCs/>
      <w:smallCaps/>
      <w:color w:val="FFFFFF"/>
      <w:sz w:val="28"/>
      <w:szCs w:val="28"/>
    </w:rPr>
  </w:style>
  <w:style w:customStyle="1" w:styleId="PETitreniveau2" w:type="paragraph">
    <w:name w:val="PE Titre niveau 2"/>
    <w:basedOn w:val="Normal"/>
    <w:next w:val="PECorpsdetexte"/>
    <w:rsid w:val="00F6498D"/>
    <w:pPr>
      <w:tabs>
        <w:tab w:pos="426" w:val="num"/>
      </w:tabs>
      <w:spacing w:after="100" w:before="300"/>
      <w:ind w:hanging="113" w:left="539"/>
      <w:outlineLvl w:val="1"/>
    </w:pPr>
    <w:rPr>
      <w:rFonts w:ascii="Times New Roman" w:hAnsi="Times New Roman"/>
      <w:b/>
      <w:color w:val="000080"/>
      <w:sz w:val="28"/>
      <w:szCs w:val="28"/>
      <w:lang w:eastAsia="fr-FR"/>
    </w:rPr>
  </w:style>
  <w:style w:customStyle="1" w:styleId="PETitreniveau4" w:type="paragraph">
    <w:name w:val="PE Titre niveau 4"/>
    <w:basedOn w:val="Normal"/>
    <w:next w:val="PECorpsdetexte"/>
    <w:rsid w:val="00F6498D"/>
    <w:pPr>
      <w:shd w:color="auto" w:fill="C0C0C0" w:val="clear"/>
      <w:tabs>
        <w:tab w:pos="0" w:val="num"/>
        <w:tab w:pos="851" w:val="left"/>
      </w:tabs>
      <w:spacing w:after="120" w:before="360"/>
    </w:pPr>
    <w:rPr>
      <w:rFonts w:ascii="Times New Roman" w:hAnsi="Times New Roman"/>
      <w:i/>
      <w:spacing w:val="6"/>
      <w:sz w:val="24"/>
      <w:u w:val="single"/>
      <w:lang w:eastAsia="fr-FR"/>
    </w:rPr>
  </w:style>
  <w:style w:customStyle="1" w:styleId="PECorpsdeTexteCar0" w:type="character">
    <w:name w:val="PE Corps de Texte Car"/>
    <w:link w:val="PECorpsdeTexte0"/>
    <w:locked/>
    <w:rsid w:val="00F6498D"/>
    <w:rPr>
      <w:rFonts w:ascii="Times New Roman" w:cs="Times New Roman" w:eastAsia="Times New Roman" w:hAnsi="Times New Roman"/>
      <w:sz w:val="24"/>
      <w:szCs w:val="24"/>
    </w:rPr>
  </w:style>
  <w:style w:customStyle="1" w:styleId="PECorpsdeTexte0" w:type="paragraph">
    <w:name w:val="PE Corps de Texte"/>
    <w:basedOn w:val="Normal"/>
    <w:link w:val="PECorpsdeTexteCar0"/>
    <w:rsid w:val="00F6498D"/>
    <w:pPr>
      <w:overflowPunct w:val="0"/>
      <w:autoSpaceDE w:val="0"/>
      <w:autoSpaceDN w:val="0"/>
      <w:adjustRightInd w:val="0"/>
      <w:spacing w:before="120"/>
      <w:ind w:left="180"/>
    </w:pPr>
    <w:rPr>
      <w:rFonts w:ascii="Times New Roman" w:hAnsi="Times New Roman"/>
      <w:sz w:val="24"/>
    </w:rPr>
  </w:style>
  <w:style w:customStyle="1" w:styleId="RetraitCorpsdetexte2" w:type="paragraph">
    <w:name w:val="Retrait Corps de texte 2"/>
    <w:basedOn w:val="Retraitcorpsdetexte"/>
    <w:rsid w:val="00F6498D"/>
    <w:pPr>
      <w:spacing w:before="120"/>
      <w:ind w:left="0"/>
    </w:pPr>
    <w:rPr>
      <w:rFonts w:cs="Arial"/>
      <w:snapToGrid w:val="0"/>
      <w:szCs w:val="20"/>
      <w:lang w:eastAsia="fr-FR"/>
    </w:rPr>
  </w:style>
  <w:style w:styleId="Titre" w:type="paragraph">
    <w:name w:val="Title"/>
    <w:basedOn w:val="Titre1"/>
    <w:next w:val="Normal"/>
    <w:link w:val="TitreCar"/>
    <w:uiPriority w:val="10"/>
    <w:qFormat/>
    <w:rsid w:val="00AD3EC0"/>
    <w:pPr>
      <w:spacing w:line="276" w:lineRule="auto"/>
    </w:pPr>
  </w:style>
  <w:style w:customStyle="1" w:styleId="TitreCar" w:type="character">
    <w:name w:val="Titre Car"/>
    <w:basedOn w:val="Policepardfaut"/>
    <w:link w:val="Titre"/>
    <w:uiPriority w:val="10"/>
    <w:rsid w:val="00AD3EC0"/>
    <w:rPr>
      <w:rFonts w:ascii="Arial" w:cs="Arial" w:eastAsia="Times New Roman" w:hAnsi="Arial"/>
      <w:b/>
      <w:color w:val="000000"/>
      <w:spacing w:val="-2"/>
      <w:szCs w:val="24"/>
      <w:u w:val="single"/>
    </w:rPr>
  </w:style>
  <w:style w:styleId="Listepuces2" w:type="paragraph">
    <w:name w:val="List Bullet 2"/>
    <w:basedOn w:val="Normal"/>
    <w:rsid w:val="00E2208F"/>
    <w:pPr>
      <w:numPr>
        <w:numId w:val="1"/>
      </w:numPr>
      <w:jc w:val="left"/>
    </w:pPr>
    <w:rPr>
      <w:rFonts w:ascii="Times New Roman" w:hAnsi="Times New Roman"/>
      <w:sz w:val="24"/>
      <w:lang w:eastAsia="fr-FR"/>
    </w:rPr>
  </w:style>
  <w:style w:customStyle="1" w:styleId="preamchapCar" w:type="character">
    <w:name w:val="pream chap Car"/>
    <w:basedOn w:val="Policepardfaut"/>
    <w:link w:val="preamchap"/>
    <w:locked/>
    <w:rsid w:val="00E2208F"/>
    <w:rPr>
      <w:b/>
      <w:bCs/>
      <w:kern w:val="32"/>
      <w:sz w:val="32"/>
      <w:szCs w:val="32"/>
      <w:lang w:eastAsia="fr-FR"/>
    </w:rPr>
  </w:style>
  <w:style w:customStyle="1" w:styleId="preamchap" w:type="paragraph">
    <w:name w:val="pream chap"/>
    <w:basedOn w:val="Titre1"/>
    <w:link w:val="preamchapCar"/>
    <w:rsid w:val="00E2208F"/>
    <w:pPr>
      <w:keepNext/>
      <w:spacing w:after="60" w:before="240"/>
    </w:pPr>
    <w:rPr>
      <w:rFonts w:asciiTheme="minorHAnsi" w:cstheme="minorBidi" w:eastAsiaTheme="minorHAnsi" w:hAnsiTheme="minorHAnsi"/>
      <w:bCs/>
      <w:kern w:val="32"/>
      <w:sz w:val="32"/>
      <w:szCs w:val="32"/>
      <w:lang w:eastAsia="fr-FR"/>
    </w:rPr>
  </w:style>
  <w:style w:customStyle="1" w:styleId="articleCar" w:type="character">
    <w:name w:val="article Car"/>
    <w:basedOn w:val="Policepardfaut"/>
    <w:link w:val="article"/>
    <w:locked/>
    <w:rsid w:val="00E2208F"/>
    <w:rPr>
      <w:sz w:val="24"/>
      <w:szCs w:val="24"/>
      <w:u w:val="single"/>
      <w:lang w:eastAsia="fr-FR"/>
    </w:rPr>
  </w:style>
  <w:style w:customStyle="1" w:styleId="article" w:type="paragraph">
    <w:name w:val="article"/>
    <w:basedOn w:val="Normal"/>
    <w:link w:val="articleCar"/>
    <w:rsid w:val="00E2208F"/>
    <w:rPr>
      <w:rFonts w:asciiTheme="minorHAnsi" w:cstheme="minorBidi" w:eastAsiaTheme="minorHAnsi" w:hAnsiTheme="minorHAnsi"/>
      <w:sz w:val="24"/>
      <w:u w:val="single"/>
      <w:lang w:eastAsia="fr-FR"/>
    </w:rPr>
  </w:style>
  <w:style w:customStyle="1" w:styleId="Articles" w:type="paragraph">
    <w:name w:val="Articles"/>
    <w:basedOn w:val="article"/>
    <w:rsid w:val="00E2208F"/>
    <w:rPr>
      <w:b/>
      <w:bCs/>
    </w:rPr>
  </w:style>
  <w:style w:styleId="Listepuces" w:type="paragraph">
    <w:name w:val="List Bullet"/>
    <w:basedOn w:val="Normal"/>
    <w:link w:val="ListepucesCar"/>
    <w:rsid w:val="00E2208F"/>
    <w:pPr>
      <w:numPr>
        <w:numId w:val="2"/>
      </w:numPr>
      <w:jc w:val="left"/>
    </w:pPr>
    <w:rPr>
      <w:rFonts w:ascii="Times New Roman" w:hAnsi="Times New Roman"/>
      <w:sz w:val="24"/>
      <w:lang w:eastAsia="fr-FR"/>
    </w:rPr>
  </w:style>
  <w:style w:customStyle="1" w:styleId="ListepucesCar" w:type="character">
    <w:name w:val="Liste à puces Car"/>
    <w:basedOn w:val="Policepardfaut"/>
    <w:link w:val="Listepuces"/>
    <w:rsid w:val="00E2208F"/>
    <w:rPr>
      <w:rFonts w:ascii="Times New Roman" w:cs="Times New Roman" w:eastAsia="Calibri" w:hAnsi="Times New Roman"/>
      <w:sz w:val="24"/>
      <w:lang w:eastAsia="fr-FR"/>
    </w:rPr>
  </w:style>
  <w:style w:styleId="Accentuation" w:type="character">
    <w:name w:val="Emphasis"/>
    <w:basedOn w:val="Policepardfaut"/>
    <w:qFormat/>
    <w:rsid w:val="00E2208F"/>
    <w:rPr>
      <w:i/>
      <w:iCs/>
    </w:rPr>
  </w:style>
  <w:style w:styleId="lev" w:type="character">
    <w:name w:val="Strong"/>
    <w:basedOn w:val="Policepardfaut"/>
    <w:qFormat/>
    <w:rsid w:val="00E2208F"/>
    <w:rPr>
      <w:b/>
      <w:bCs/>
    </w:rPr>
  </w:style>
  <w:style w:customStyle="1" w:styleId="TITREDUDOCUMENT" w:type="paragraph">
    <w:name w:val="TITRE DU DOCUMENT"/>
    <w:basedOn w:val="Normal"/>
    <w:next w:val="Normal"/>
    <w:rsid w:val="00E2208F"/>
    <w:pPr>
      <w:spacing w:before="3120"/>
      <w:ind w:left="1701" w:right="-567"/>
      <w:jc w:val="center"/>
    </w:pPr>
    <w:rPr>
      <w:rFonts w:ascii="Century Gothic" w:cs="Century Gothic" w:hAnsi="Century Gothic"/>
      <w:b/>
      <w:bCs/>
      <w:smallCaps/>
      <w:color w:val="95806E"/>
      <w:spacing w:val="30"/>
      <w:sz w:val="52"/>
      <w:szCs w:val="52"/>
      <w:lang w:eastAsia="fr-FR"/>
      <w14:shadow w14:algn="none" w14:blurRad="0" w14:dir="13500000" w14:dist="25400" w14:kx="0" w14:ky="0" w14:sx="0" w14:sy="0">
        <w14:srgbClr w14:val="000000">
          <w14:alpha w14:val="50000"/>
        </w14:srgbClr>
      </w14:shadow>
      <w14:textOutline w14:algn="ctr" w14:cap="flat" w14:cmpd="sng" w14:w="9525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customStyle="1" w:styleId="td1" w:type="paragraph">
    <w:name w:val="td1"/>
    <w:aliases w:val="titre partie"/>
    <w:basedOn w:val="Normal"/>
    <w:next w:val="Normal"/>
    <w:rsid w:val="00E2208F"/>
    <w:pPr>
      <w:keepNext/>
      <w:keepLines/>
      <w:pageBreakBefore/>
      <w:numPr>
        <w:numId w:val="3"/>
      </w:numPr>
      <w:spacing w:after="1440" w:before="5200" w:line="800" w:lineRule="atLeast"/>
      <w:jc w:val="center"/>
      <w:outlineLvl w:val="0"/>
    </w:pPr>
    <w:rPr>
      <w:b/>
      <w:caps/>
      <w:sz w:val="52"/>
      <w:szCs w:val="20"/>
      <w:lang w:eastAsia="fr-FR"/>
    </w:rPr>
  </w:style>
  <w:style w:customStyle="1" w:styleId="td2" w:type="paragraph">
    <w:name w:val="td2"/>
    <w:aliases w:val="titre chapitre"/>
    <w:basedOn w:val="Normal"/>
    <w:next w:val="Normal"/>
    <w:rsid w:val="00E2208F"/>
    <w:pPr>
      <w:pageBreakBefore/>
      <w:numPr>
        <w:ilvl w:val="1"/>
        <w:numId w:val="3"/>
      </w:numPr>
      <w:spacing w:after="1440" w:before="1440" w:line="600" w:lineRule="atLeast"/>
      <w:jc w:val="center"/>
      <w:outlineLvl w:val="1"/>
    </w:pPr>
    <w:rPr>
      <w:b/>
      <w:caps/>
      <w:snapToGrid w:val="0"/>
      <w:sz w:val="32"/>
      <w:szCs w:val="20"/>
      <w:lang w:eastAsia="fr-FR"/>
    </w:rPr>
  </w:style>
  <w:style w:customStyle="1" w:styleId="Texte1" w:type="paragraph">
    <w:name w:val="Texte1"/>
    <w:basedOn w:val="Normal"/>
    <w:semiHidden/>
    <w:rsid w:val="00507C4C"/>
    <w:pPr>
      <w:overflowPunct w:val="0"/>
      <w:autoSpaceDE w:val="0"/>
      <w:autoSpaceDN w:val="0"/>
      <w:adjustRightInd w:val="0"/>
      <w:spacing w:line="240" w:lineRule="atLeast"/>
      <w:ind w:firstLine="431" w:right="709"/>
      <w:textAlignment w:val="baseline"/>
    </w:pPr>
    <w:rPr>
      <w:sz w:val="20"/>
      <w:szCs w:val="20"/>
      <w:lang w:eastAsia="fr-FR"/>
    </w:rPr>
  </w:style>
  <w:style w:customStyle="1" w:styleId="Texte2" w:type="paragraph">
    <w:name w:val="Texte2"/>
    <w:basedOn w:val="Normal"/>
    <w:semiHidden/>
    <w:rsid w:val="00507C4C"/>
    <w:pPr>
      <w:overflowPunct w:val="0"/>
      <w:autoSpaceDE w:val="0"/>
      <w:autoSpaceDN w:val="0"/>
      <w:adjustRightInd w:val="0"/>
      <w:spacing w:line="240" w:lineRule="atLeast"/>
      <w:ind w:firstLine="567" w:left="567" w:right="709"/>
      <w:textAlignment w:val="baseline"/>
    </w:pPr>
    <w:rPr>
      <w:sz w:val="20"/>
      <w:szCs w:val="20"/>
      <w:lang w:eastAsia="fr-FR"/>
    </w:rPr>
  </w:style>
  <w:style w:customStyle="1" w:styleId="CorpsA" w:type="paragraph">
    <w:name w:val="Corps A"/>
    <w:rsid w:val="005F4F5F"/>
    <w:pPr>
      <w:spacing w:after="5" w:line="249" w:lineRule="auto"/>
      <w:ind w:hanging="10" w:left="10"/>
      <w:jc w:val="both"/>
    </w:pPr>
    <w:rPr>
      <w:rFonts w:ascii="Arial" w:cs="Arial Unicode MS" w:eastAsia="Arial Unicode MS" w:hAnsi="Arial"/>
      <w:color w:val="000000"/>
      <w:u w:color="000000"/>
      <w:lang w:eastAsia="fr-FR"/>
    </w:rPr>
  </w:style>
  <w:style w:customStyle="1" w:styleId="COL1TITRE1" w:type="paragraph">
    <w:name w:val="COL1 TITRE 1"/>
    <w:basedOn w:val="Normal"/>
    <w:rsid w:val="005F4F5F"/>
    <w:pPr>
      <w:tabs>
        <w:tab w:pos="0" w:val="left"/>
        <w:tab w:pos="567" w:val="left"/>
      </w:tabs>
      <w:ind w:hanging="567" w:left="567"/>
    </w:pPr>
    <w:rPr>
      <w:rFonts w:ascii="Times New Roman" w:hAnsi="Times New Roman"/>
      <w:sz w:val="20"/>
      <w:szCs w:val="20"/>
      <w:lang w:eastAsia="fr-FR"/>
    </w:rPr>
  </w:style>
  <w:style w:customStyle="1" w:styleId="Mentionnonrsolue1" w:type="character">
    <w:name w:val="Mention non résolue1"/>
    <w:basedOn w:val="Policepardfaut"/>
    <w:uiPriority w:val="99"/>
    <w:semiHidden/>
    <w:unhideWhenUsed/>
    <w:rsid w:val="00F93C40"/>
    <w:rPr>
      <w:color w:val="808080"/>
      <w:shd w:color="auto" w:fill="E6E6E6" w:val="clear"/>
    </w:rPr>
  </w:style>
  <w:style w:customStyle="1" w:styleId="Style2" w:type="paragraph">
    <w:name w:val="Style2"/>
    <w:basedOn w:val="Default"/>
    <w:rsid w:val="000C1B52"/>
    <w:pPr>
      <w:suppressAutoHyphens/>
      <w:autoSpaceDN/>
      <w:adjustRightInd/>
      <w:ind w:firstLine="708"/>
      <w:jc w:val="both"/>
    </w:pPr>
    <w:rPr>
      <w:rFonts w:eastAsia="Times New Roman"/>
      <w:b/>
      <w:bCs/>
      <w:sz w:val="22"/>
      <w:szCs w:val="22"/>
      <w:u w:val="single"/>
      <w:lang w:bidi="hi-IN" w:eastAsia="hi-IN"/>
    </w:rPr>
  </w:style>
  <w:style w:styleId="Mentionnonrsolue" w:type="character">
    <w:name w:val="Unresolved Mention"/>
    <w:basedOn w:val="Policepardfaut"/>
    <w:uiPriority w:val="99"/>
    <w:semiHidden/>
    <w:unhideWhenUsed/>
    <w:rsid w:val="007F509D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653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975">
          <w:marLeft w:val="103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816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449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677">
          <w:marLeft w:val="103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915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85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1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062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305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667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0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99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3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859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895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213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078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308">
          <w:marLeft w:val="99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335">
          <w:marLeft w:val="243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85">
          <w:marLeft w:val="99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493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732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8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215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651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441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055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50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458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9826">
          <w:marLeft w:val="99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666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50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4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9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733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2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981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59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136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35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59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408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973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708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50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884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163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734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898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6635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3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2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header3.xml" Type="http://schemas.openxmlformats.org/officeDocument/2006/relationships/head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ttp://www.teleaccords.travail-emploi.gouv.fr" TargetMode="External" Type="http://schemas.openxmlformats.org/officeDocument/2006/relationships/hyperlink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sv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Props1.xml><?xml version="1.0" encoding="utf-8"?>
<ds:datastoreItem xmlns:ds="http://schemas.openxmlformats.org/officeDocument/2006/customXml" ds:itemID="{C87B2CBF-727E-4870-AC1D-E45BCB7B8A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5081D-EF00-45DA-86A3-93569B44562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1173</Words>
  <Characters>6453</Characters>
  <Application>Microsoft Office Word</Application>
  <DocSecurity>0</DocSecurity>
  <Lines>53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AREVA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2023-02-03T17:16:00Z</dcterms:created>
  <cp:lastPrinted>2023-01-12T15:30:00Z</cp:lastPrinted>
  <dcterms:modified xsi:type="dcterms:W3CDTF">2023-02-03T17:17:00Z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docIndexRef" pid="2">
    <vt:lpwstr>0774258b-3cee-4285-bac9-f19f01d4d101</vt:lpwstr>
  </property>
  <property fmtid="{D5CDD505-2E9C-101B-9397-08002B2CF9AE}" name="bjSaver" pid="3">
    <vt:lpwstr>5PCmiRuu5l/NNzu8KMobCJCYkc12txLp</vt:lpwstr>
  </property>
  <property fmtid="{D5CDD505-2E9C-101B-9397-08002B2CF9AE}" name="bjDocumentLabelXML" pid="4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name="bjDocumentLabelXML-0" pid="5">
    <vt:lpwstr>ames.com/2008/01/sie/internal/label"&gt;&lt;element uid="67e66f8d-4e76-4fdc-a7a1-b421fe54f86a" value="" /&gt;&lt;/sisl&gt;</vt:lpwstr>
  </property>
  <property fmtid="{D5CDD505-2E9C-101B-9397-08002B2CF9AE}" name="bjDocumentSecurityLabel" pid="6">
    <vt:lpwstr>N O N - S E N S I T I V E      </vt:lpwstr>
  </property>
</Properties>
</file>