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body>
    <w:p w14:paraId="1A690366" w14:textId="483B50DF" w:rsidP="004C582E" w:rsidR="00702C33" w:rsidRDefault="00B15741" w:rsidRPr="009A31B9">
      <w:pPr>
        <w:pStyle w:val="Titre2"/>
        <w:pBdr>
          <w:top w:color="auto" w:shadow="1" w:space="0" w:sz="4" w:val="single"/>
        </w:pBdr>
        <w:spacing w:line="360" w:lineRule="auto"/>
        <w:rPr>
          <w:rFonts w:ascii="Times New Roman" w:hAnsi="Times New Roman"/>
          <w:sz w:val="40"/>
          <w:szCs w:val="40"/>
        </w:rPr>
      </w:pPr>
      <w:r w:rsidRPr="009A31B9">
        <w:rPr>
          <w:rFonts w:ascii="Times New Roman" w:hAnsi="Times New Roman"/>
          <w:sz w:val="40"/>
          <w:szCs w:val="40"/>
        </w:rPr>
        <w:t>A</w:t>
      </w:r>
      <w:r w:rsidR="00356ADA" w:rsidRPr="009A31B9">
        <w:rPr>
          <w:rFonts w:ascii="Times New Roman" w:hAnsi="Times New Roman"/>
          <w:sz w:val="40"/>
          <w:szCs w:val="40"/>
        </w:rPr>
        <w:t xml:space="preserve">ccord collectif salarial </w:t>
      </w:r>
      <w:r w:rsidR="004030F0" w:rsidRPr="009A31B9">
        <w:rPr>
          <w:rFonts w:ascii="Times New Roman" w:hAnsi="Times New Roman"/>
          <w:sz w:val="40"/>
          <w:szCs w:val="40"/>
        </w:rPr>
        <w:t>202</w:t>
      </w:r>
      <w:r w:rsidR="00BE2F0A">
        <w:rPr>
          <w:rFonts w:ascii="Times New Roman" w:hAnsi="Times New Roman"/>
          <w:sz w:val="40"/>
          <w:szCs w:val="40"/>
        </w:rPr>
        <w:t>2</w:t>
      </w:r>
    </w:p>
    <w:p w14:paraId="49B4157A" w14:textId="77777777" w:rsidP="00576BB3" w:rsidR="00702C33" w:rsidRDefault="00702C33" w:rsidRPr="009A31B9">
      <w:pPr>
        <w:jc w:val="both"/>
        <w:rPr>
          <w:lang w:val="fr-FR"/>
        </w:rPr>
      </w:pPr>
    </w:p>
    <w:p w14:paraId="14420BD1" w14:textId="77777777" w:rsidP="00576BB3" w:rsidR="00780E9B" w:rsidRDefault="00780E9B" w:rsidRPr="009A31B9">
      <w:pPr>
        <w:jc w:val="both"/>
        <w:rPr>
          <w:spacing w:val="-5"/>
          <w:u w:val="single"/>
          <w:lang w:val="fr-FR"/>
        </w:rPr>
      </w:pPr>
    </w:p>
    <w:p w14:paraId="44CC0287" w14:textId="77777777" w:rsidP="00576BB3" w:rsidR="00CA7ADF" w:rsidRDefault="00CA7ADF" w:rsidRPr="009A31B9">
      <w:pPr>
        <w:jc w:val="both"/>
        <w:rPr>
          <w:spacing w:val="-5"/>
          <w:u w:val="single"/>
          <w:lang w:val="fr-FR"/>
        </w:rPr>
      </w:pPr>
    </w:p>
    <w:p w14:paraId="6189D852" w14:textId="77777777" w:rsidP="00576BB3" w:rsidR="00702C33" w:rsidRDefault="00702C33" w:rsidRPr="009A31B9">
      <w:pPr>
        <w:widowControl w:val="0"/>
        <w:autoSpaceDE w:val="0"/>
        <w:autoSpaceDN w:val="0"/>
        <w:adjustRightInd w:val="0"/>
        <w:spacing w:line="276" w:lineRule="exact"/>
        <w:jc w:val="both"/>
        <w:rPr>
          <w:b/>
          <w:spacing w:val="-5"/>
          <w:lang w:val="fr-FR"/>
        </w:rPr>
      </w:pPr>
      <w:r w:rsidRPr="009A31B9">
        <w:rPr>
          <w:b/>
          <w:spacing w:val="-5"/>
          <w:lang w:val="fr-FR"/>
        </w:rPr>
        <w:t>Entre d’une part ;</w:t>
      </w:r>
    </w:p>
    <w:p w14:paraId="340AF48B" w14:textId="77777777" w:rsidP="00576BB3" w:rsidR="00FA556E" w:rsidRDefault="00FA556E" w:rsidRPr="009A31B9">
      <w:pPr>
        <w:widowControl w:val="0"/>
        <w:autoSpaceDE w:val="0"/>
        <w:autoSpaceDN w:val="0"/>
        <w:adjustRightInd w:val="0"/>
        <w:spacing w:line="276" w:lineRule="exact"/>
        <w:jc w:val="both"/>
        <w:rPr>
          <w:spacing w:val="-5"/>
          <w:lang w:val="fr-FR"/>
        </w:rPr>
      </w:pPr>
    </w:p>
    <w:p w14:paraId="23544F91" w14:textId="77777777" w:rsidP="00576BB3" w:rsidR="00FA556E" w:rsidRDefault="00FA556E" w:rsidRPr="009A31B9">
      <w:pPr>
        <w:widowControl w:val="0"/>
        <w:autoSpaceDE w:val="0"/>
        <w:autoSpaceDN w:val="0"/>
        <w:adjustRightInd w:val="0"/>
        <w:spacing w:line="276" w:lineRule="exact"/>
        <w:jc w:val="both"/>
        <w:rPr>
          <w:spacing w:val="-5"/>
          <w:lang w:val="fr-FR"/>
        </w:rPr>
      </w:pPr>
    </w:p>
    <w:p w14:paraId="747D3215" w14:textId="14C3512C" w:rsidP="00576BB3" w:rsidR="00702C33" w:rsidRDefault="009303A1" w:rsidRPr="009A31B9">
      <w:pPr>
        <w:widowControl w:val="0"/>
        <w:autoSpaceDE w:val="0"/>
        <w:autoSpaceDN w:val="0"/>
        <w:adjustRightInd w:val="0"/>
        <w:spacing w:line="280" w:lineRule="exact"/>
        <w:ind w:right="25"/>
        <w:jc w:val="both"/>
        <w:rPr>
          <w:spacing w:val="-2"/>
          <w:lang w:val="fr-FR"/>
        </w:rPr>
      </w:pPr>
      <w:r w:rsidRPr="009A31B9">
        <w:rPr>
          <w:spacing w:val="-3"/>
          <w:lang w:val="fr-FR"/>
        </w:rPr>
        <w:t>COCA-COLA EUROP</w:t>
      </w:r>
      <w:r w:rsidR="00BE2F0A">
        <w:rPr>
          <w:spacing w:val="-3"/>
          <w:lang w:val="fr-FR"/>
        </w:rPr>
        <w:t>ACIFIC</w:t>
      </w:r>
      <w:r w:rsidRPr="009A31B9">
        <w:rPr>
          <w:spacing w:val="-3"/>
          <w:lang w:val="fr-FR"/>
        </w:rPr>
        <w:t xml:space="preserve"> PARTNERS FRANCE</w:t>
      </w:r>
      <w:r w:rsidRPr="009A31B9">
        <w:rPr>
          <w:spacing w:val="-2"/>
          <w:lang w:val="fr-FR"/>
        </w:rPr>
        <w:t xml:space="preserve"> </w:t>
      </w:r>
      <w:r w:rsidR="00636A63" w:rsidRPr="009A31B9">
        <w:rPr>
          <w:spacing w:val="-2"/>
          <w:lang w:val="fr-FR"/>
        </w:rPr>
        <w:t>SAS, sis</w:t>
      </w:r>
      <w:r w:rsidR="00702C33" w:rsidRPr="009A31B9">
        <w:rPr>
          <w:spacing w:val="-2"/>
          <w:lang w:val="fr-FR"/>
        </w:rPr>
        <w:t xml:space="preserve"> </w:t>
      </w:r>
      <w:r w:rsidR="00D34D81" w:rsidRPr="009A31B9">
        <w:rPr>
          <w:spacing w:val="-2"/>
          <w:lang w:val="fr-FR"/>
        </w:rPr>
        <w:t>9 chemin de Bretagne</w:t>
      </w:r>
      <w:r w:rsidR="00702C33" w:rsidRPr="009A31B9">
        <w:rPr>
          <w:spacing w:val="-2"/>
          <w:lang w:val="fr-FR"/>
        </w:rPr>
        <w:t xml:space="preserve">, 92784 Issy-Les-Moulineaux </w:t>
      </w:r>
      <w:r w:rsidR="00356ADA" w:rsidRPr="009A31B9">
        <w:rPr>
          <w:spacing w:val="-1"/>
          <w:lang w:val="fr-FR"/>
        </w:rPr>
        <w:t xml:space="preserve">Cedex 09, représentée par </w:t>
      </w:r>
      <w:r w:rsidR="003E457E" w:rsidRPr="009A31B9">
        <w:rPr>
          <w:spacing w:val="-1"/>
          <w:lang w:val="fr-FR"/>
        </w:rPr>
        <w:t>sa Directrice</w:t>
      </w:r>
      <w:r w:rsidR="00356ADA" w:rsidRPr="009A31B9">
        <w:rPr>
          <w:spacing w:val="-1"/>
          <w:lang w:val="fr-FR"/>
        </w:rPr>
        <w:t xml:space="preserve"> des </w:t>
      </w:r>
      <w:r w:rsidR="00FC2DAD">
        <w:rPr>
          <w:spacing w:val="-1"/>
          <w:lang w:val="fr-FR"/>
        </w:rPr>
        <w:t>Ressources Humaines</w:t>
      </w:r>
      <w:r w:rsidR="00702C33" w:rsidRPr="009A31B9">
        <w:rPr>
          <w:spacing w:val="-1"/>
          <w:lang w:val="fr-FR"/>
        </w:rPr>
        <w:t xml:space="preserve">, </w:t>
      </w:r>
      <w:r w:rsidR="00702C33" w:rsidRPr="009A31B9">
        <w:rPr>
          <w:spacing w:val="-2"/>
          <w:lang w:val="fr-FR"/>
        </w:rPr>
        <w:t xml:space="preserve">ayant reçu délégation à cet effet, ci-après désigné </w:t>
      </w:r>
      <w:r w:rsidR="00A92A5B" w:rsidRPr="009A31B9">
        <w:rPr>
          <w:spacing w:val="-3"/>
          <w:lang w:val="fr-FR"/>
        </w:rPr>
        <w:t>COCA-COLA E</w:t>
      </w:r>
      <w:r w:rsidRPr="009A31B9">
        <w:rPr>
          <w:spacing w:val="-3"/>
          <w:lang w:val="fr-FR"/>
        </w:rPr>
        <w:t>UROP</w:t>
      </w:r>
      <w:r w:rsidR="00BE2F0A">
        <w:rPr>
          <w:spacing w:val="-3"/>
          <w:lang w:val="fr-FR"/>
        </w:rPr>
        <w:t>ACIFIC</w:t>
      </w:r>
      <w:r w:rsidRPr="009A31B9">
        <w:rPr>
          <w:spacing w:val="-3"/>
          <w:lang w:val="fr-FR"/>
        </w:rPr>
        <w:t xml:space="preserve"> PARTNERS F</w:t>
      </w:r>
      <w:r w:rsidR="00A92A5B" w:rsidRPr="009A31B9">
        <w:rPr>
          <w:spacing w:val="-3"/>
          <w:lang w:val="fr-FR"/>
        </w:rPr>
        <w:t>RANCE</w:t>
      </w:r>
      <w:r w:rsidR="00702C33" w:rsidRPr="009A31B9">
        <w:rPr>
          <w:spacing w:val="-2"/>
          <w:lang w:val="fr-FR"/>
        </w:rPr>
        <w:t xml:space="preserve">, </w:t>
      </w:r>
    </w:p>
    <w:p w14:paraId="01F7499E" w14:textId="77777777" w:rsidP="00576BB3" w:rsidR="00702C33" w:rsidRDefault="00702C33" w:rsidRPr="009A31B9">
      <w:pPr>
        <w:widowControl w:val="0"/>
        <w:autoSpaceDE w:val="0"/>
        <w:autoSpaceDN w:val="0"/>
        <w:adjustRightInd w:val="0"/>
        <w:spacing w:line="276" w:lineRule="exact"/>
        <w:ind w:right="25"/>
        <w:jc w:val="both"/>
        <w:rPr>
          <w:spacing w:val="-2"/>
          <w:lang w:val="fr-FR"/>
        </w:rPr>
      </w:pPr>
    </w:p>
    <w:p w14:paraId="06CFDACA" w14:textId="77777777" w:rsidP="00576BB3" w:rsidR="00702C33" w:rsidRDefault="00702C33" w:rsidRPr="009A31B9">
      <w:pPr>
        <w:widowControl w:val="0"/>
        <w:autoSpaceDE w:val="0"/>
        <w:autoSpaceDN w:val="0"/>
        <w:adjustRightInd w:val="0"/>
        <w:spacing w:line="276" w:lineRule="exact"/>
        <w:ind w:right="25"/>
        <w:jc w:val="both"/>
        <w:rPr>
          <w:spacing w:val="-2"/>
          <w:lang w:val="fr-FR"/>
        </w:rPr>
      </w:pPr>
    </w:p>
    <w:p w14:paraId="6F092730" w14:textId="77777777" w:rsidP="00576BB3" w:rsidR="00702C33" w:rsidRDefault="00702C33" w:rsidRPr="009A31B9">
      <w:pPr>
        <w:widowControl w:val="0"/>
        <w:autoSpaceDE w:val="0"/>
        <w:autoSpaceDN w:val="0"/>
        <w:adjustRightInd w:val="0"/>
        <w:spacing w:line="276" w:lineRule="exact"/>
        <w:ind w:right="25"/>
        <w:jc w:val="both"/>
        <w:rPr>
          <w:b/>
          <w:spacing w:val="-5"/>
          <w:lang w:val="fr-FR"/>
        </w:rPr>
      </w:pPr>
      <w:r w:rsidRPr="009A31B9">
        <w:rPr>
          <w:b/>
          <w:spacing w:val="-5"/>
          <w:lang w:val="fr-FR"/>
        </w:rPr>
        <w:t xml:space="preserve">Et d’autre part ; </w:t>
      </w:r>
    </w:p>
    <w:p w14:paraId="4D3148ED" w14:textId="77777777" w:rsidP="00576BB3" w:rsidR="00702C33" w:rsidRDefault="00702C33" w:rsidRPr="009A31B9">
      <w:pPr>
        <w:widowControl w:val="0"/>
        <w:autoSpaceDE w:val="0"/>
        <w:autoSpaceDN w:val="0"/>
        <w:adjustRightInd w:val="0"/>
        <w:spacing w:line="276" w:lineRule="exact"/>
        <w:ind w:right="25"/>
        <w:jc w:val="both"/>
        <w:rPr>
          <w:spacing w:val="-5"/>
          <w:lang w:val="fr-FR"/>
        </w:rPr>
      </w:pPr>
    </w:p>
    <w:p w14:paraId="5D3C72F2" w14:textId="77777777" w:rsidP="00576BB3" w:rsidR="00FA556E" w:rsidRDefault="00FA556E" w:rsidRPr="009A31B9">
      <w:pPr>
        <w:widowControl w:val="0"/>
        <w:autoSpaceDE w:val="0"/>
        <w:autoSpaceDN w:val="0"/>
        <w:adjustRightInd w:val="0"/>
        <w:spacing w:line="276" w:lineRule="exact"/>
        <w:ind w:right="25"/>
        <w:jc w:val="both"/>
        <w:rPr>
          <w:spacing w:val="-5"/>
          <w:lang w:val="fr-FR"/>
        </w:rPr>
      </w:pPr>
    </w:p>
    <w:p w14:paraId="7312A785" w14:textId="77777777" w:rsidP="00576BB3" w:rsidR="00702C33" w:rsidRDefault="00702C33" w:rsidRPr="009A31B9">
      <w:pPr>
        <w:widowControl w:val="0"/>
        <w:autoSpaceDE w:val="0"/>
        <w:autoSpaceDN w:val="0"/>
        <w:adjustRightInd w:val="0"/>
        <w:spacing w:line="280" w:lineRule="exact"/>
        <w:ind w:right="-108"/>
        <w:jc w:val="both"/>
        <w:rPr>
          <w:w w:val="104"/>
          <w:lang w:val="fr-FR"/>
        </w:rPr>
      </w:pPr>
      <w:r w:rsidRPr="009A31B9">
        <w:rPr>
          <w:w w:val="104"/>
          <w:lang w:val="fr-FR"/>
        </w:rPr>
        <w:t xml:space="preserve">Les </w:t>
      </w:r>
      <w:r w:rsidR="00356ADA" w:rsidRPr="009A31B9">
        <w:rPr>
          <w:w w:val="104"/>
          <w:lang w:val="fr-FR"/>
        </w:rPr>
        <w:t>Organisations S</w:t>
      </w:r>
      <w:r w:rsidRPr="009A31B9">
        <w:rPr>
          <w:w w:val="104"/>
          <w:lang w:val="fr-FR"/>
        </w:rPr>
        <w:t xml:space="preserve">yndicales </w:t>
      </w:r>
      <w:r w:rsidR="00356ADA" w:rsidRPr="009A31B9">
        <w:rPr>
          <w:w w:val="104"/>
          <w:lang w:val="fr-FR"/>
        </w:rPr>
        <w:t>r</w:t>
      </w:r>
      <w:r w:rsidRPr="009A31B9">
        <w:rPr>
          <w:w w:val="104"/>
          <w:lang w:val="fr-FR"/>
        </w:rPr>
        <w:t>eprésentatives au sein de l'</w:t>
      </w:r>
      <w:r w:rsidR="00356ADA" w:rsidRPr="009A31B9">
        <w:rPr>
          <w:w w:val="104"/>
          <w:lang w:val="fr-FR"/>
        </w:rPr>
        <w:t>E</w:t>
      </w:r>
      <w:r w:rsidRPr="009A31B9">
        <w:rPr>
          <w:w w:val="104"/>
          <w:lang w:val="fr-FR"/>
        </w:rPr>
        <w:t xml:space="preserve">ntreprise représentées respectivement par : </w:t>
      </w:r>
    </w:p>
    <w:p w14:paraId="2DB191F4" w14:textId="77777777" w:rsidP="00576BB3" w:rsidR="00702C33" w:rsidRDefault="00702C33" w:rsidRPr="009A31B9">
      <w:pPr>
        <w:widowControl w:val="0"/>
        <w:autoSpaceDE w:val="0"/>
        <w:autoSpaceDN w:val="0"/>
        <w:adjustRightInd w:val="0"/>
        <w:spacing w:line="260" w:lineRule="exact"/>
        <w:ind w:right="25"/>
        <w:jc w:val="both"/>
        <w:rPr>
          <w:w w:val="104"/>
          <w:lang w:val="fr-FR"/>
        </w:rPr>
      </w:pPr>
    </w:p>
    <w:p w14:paraId="10390234" w14:textId="6611FE4D" w:rsidP="00576BB3" w:rsidR="00702C33" w:rsidRDefault="00702C33" w:rsidRPr="009A31B9">
      <w:pPr>
        <w:widowControl w:val="0"/>
        <w:tabs>
          <w:tab w:pos="1980" w:val="left"/>
        </w:tabs>
        <w:autoSpaceDE w:val="0"/>
        <w:autoSpaceDN w:val="0"/>
        <w:adjustRightInd w:val="0"/>
        <w:spacing w:line="260" w:lineRule="exact"/>
        <w:ind w:right="25"/>
        <w:jc w:val="both"/>
        <w:rPr>
          <w:w w:val="105"/>
          <w:lang w:val="fr-FR"/>
        </w:rPr>
      </w:pPr>
      <w:r w:rsidRPr="009A31B9">
        <w:rPr>
          <w:w w:val="105"/>
          <w:lang w:val="fr-FR"/>
        </w:rPr>
        <w:t xml:space="preserve">• Pour la CFDT : agissant en qualité de </w:t>
      </w:r>
      <w:r w:rsidR="00356ADA" w:rsidRPr="009A31B9">
        <w:rPr>
          <w:w w:val="105"/>
          <w:lang w:val="fr-FR"/>
        </w:rPr>
        <w:t>Délégué S</w:t>
      </w:r>
      <w:r w:rsidRPr="009A31B9">
        <w:rPr>
          <w:w w:val="105"/>
          <w:lang w:val="fr-FR"/>
        </w:rPr>
        <w:t xml:space="preserve">yndical </w:t>
      </w:r>
      <w:r w:rsidR="00356ADA" w:rsidRPr="009A31B9">
        <w:rPr>
          <w:w w:val="105"/>
          <w:lang w:val="fr-FR"/>
        </w:rPr>
        <w:t>C</w:t>
      </w:r>
      <w:r w:rsidR="007A2FC0" w:rsidRPr="009A31B9">
        <w:rPr>
          <w:w w:val="105"/>
          <w:lang w:val="fr-FR"/>
        </w:rPr>
        <w:t>entral ; accompagné de</w:t>
      </w:r>
      <w:r w:rsidR="00B010C2" w:rsidRPr="009A31B9">
        <w:rPr>
          <w:w w:val="105"/>
          <w:lang w:val="fr-FR"/>
        </w:rPr>
        <w:t xml:space="preserve"> et de</w:t>
      </w:r>
      <w:r w:rsidR="00A00885" w:rsidRPr="009A31B9">
        <w:rPr>
          <w:w w:val="105"/>
          <w:lang w:val="fr-FR"/>
        </w:rPr>
        <w:t>;</w:t>
      </w:r>
    </w:p>
    <w:p w14:paraId="76164015" w14:textId="77777777" w:rsidP="00576BB3" w:rsidR="00702C33" w:rsidRDefault="00702C33" w:rsidRPr="009A31B9">
      <w:pPr>
        <w:widowControl w:val="0"/>
        <w:tabs>
          <w:tab w:pos="1980" w:val="left"/>
        </w:tabs>
        <w:autoSpaceDE w:val="0"/>
        <w:autoSpaceDN w:val="0"/>
        <w:adjustRightInd w:val="0"/>
        <w:spacing w:line="260" w:lineRule="exact"/>
        <w:ind w:right="25"/>
        <w:jc w:val="both"/>
        <w:rPr>
          <w:w w:val="105"/>
          <w:lang w:val="fr-FR"/>
        </w:rPr>
      </w:pPr>
    </w:p>
    <w:p w14:paraId="4EA55280" w14:textId="317F7F0C" w:rsidP="00576BB3" w:rsidR="00702C33" w:rsidRDefault="00702C33" w:rsidRPr="009A31B9">
      <w:pPr>
        <w:widowControl w:val="0"/>
        <w:tabs>
          <w:tab w:pos="2160" w:val="left"/>
        </w:tabs>
        <w:autoSpaceDE w:val="0"/>
        <w:autoSpaceDN w:val="0"/>
        <w:adjustRightInd w:val="0"/>
        <w:spacing w:line="280" w:lineRule="exact"/>
        <w:ind w:right="25"/>
        <w:jc w:val="both"/>
        <w:rPr>
          <w:w w:val="105"/>
          <w:lang w:val="fr-FR"/>
        </w:rPr>
      </w:pPr>
      <w:r w:rsidRPr="009A31B9">
        <w:rPr>
          <w:w w:val="105"/>
          <w:lang w:val="fr-FR"/>
        </w:rPr>
        <w:t>• Pour la CFE-CGC :</w:t>
      </w:r>
      <w:r w:rsidR="00356ADA" w:rsidRPr="009A31B9">
        <w:rPr>
          <w:w w:val="105"/>
          <w:lang w:val="fr-FR"/>
        </w:rPr>
        <w:t xml:space="preserve"> agissant en qualité de Délégué Syndical C</w:t>
      </w:r>
      <w:r w:rsidR="007A2FC0" w:rsidRPr="009A31B9">
        <w:rPr>
          <w:w w:val="105"/>
          <w:lang w:val="fr-FR"/>
        </w:rPr>
        <w:t>entral</w:t>
      </w:r>
      <w:r w:rsidR="00A00885" w:rsidRPr="009A31B9">
        <w:rPr>
          <w:w w:val="105"/>
          <w:lang w:val="fr-FR"/>
        </w:rPr>
        <w:t xml:space="preserve"> ; </w:t>
      </w:r>
      <w:r w:rsidR="007A2FC0" w:rsidRPr="009A31B9">
        <w:rPr>
          <w:w w:val="105"/>
          <w:lang w:val="fr-FR"/>
        </w:rPr>
        <w:t xml:space="preserve">accompagné de </w:t>
      </w:r>
      <w:r w:rsidR="00FB7BD7">
        <w:rPr>
          <w:w w:val="105"/>
          <w:lang w:val="fr-FR"/>
        </w:rPr>
        <w:t>e</w:t>
      </w:r>
      <w:r w:rsidR="00B010C2" w:rsidRPr="009A31B9">
        <w:rPr>
          <w:w w:val="105"/>
          <w:lang w:val="fr-FR"/>
        </w:rPr>
        <w:t>t de</w:t>
      </w:r>
      <w:r w:rsidR="00A00885" w:rsidRPr="009A31B9">
        <w:rPr>
          <w:w w:val="105"/>
          <w:lang w:val="fr-FR"/>
        </w:rPr>
        <w:t> ;</w:t>
      </w:r>
    </w:p>
    <w:p w14:paraId="375ACF7E" w14:textId="77777777" w:rsidP="00576BB3" w:rsidR="00702C33" w:rsidRDefault="00702C33" w:rsidRPr="009A31B9">
      <w:pPr>
        <w:widowControl w:val="0"/>
        <w:tabs>
          <w:tab w:pos="2160" w:val="left"/>
        </w:tabs>
        <w:autoSpaceDE w:val="0"/>
        <w:autoSpaceDN w:val="0"/>
        <w:adjustRightInd w:val="0"/>
        <w:spacing w:line="280" w:lineRule="exact"/>
        <w:ind w:right="25"/>
        <w:jc w:val="both"/>
        <w:rPr>
          <w:w w:val="105"/>
          <w:lang w:val="fr-FR"/>
        </w:rPr>
      </w:pPr>
    </w:p>
    <w:p w14:paraId="31D6EA31" w14:textId="4FB3B524" w:rsidP="00576BB3" w:rsidR="007A2FC0" w:rsidRDefault="00356ADA" w:rsidRPr="009A31B9">
      <w:pPr>
        <w:widowControl w:val="0"/>
        <w:autoSpaceDE w:val="0"/>
        <w:autoSpaceDN w:val="0"/>
        <w:adjustRightInd w:val="0"/>
        <w:spacing w:line="276" w:lineRule="exact"/>
        <w:ind w:right="25"/>
        <w:jc w:val="both"/>
        <w:rPr>
          <w:spacing w:val="-3"/>
          <w:lang w:val="fr-FR"/>
        </w:rPr>
      </w:pPr>
      <w:r w:rsidRPr="009A31B9">
        <w:rPr>
          <w:spacing w:val="-3"/>
          <w:lang w:val="fr-FR"/>
        </w:rPr>
        <w:t xml:space="preserve">• Pour la CGT :, agissant en qualité de Délégué Syndical Central ; </w:t>
      </w:r>
      <w:r w:rsidR="007A2FC0" w:rsidRPr="009A31B9">
        <w:rPr>
          <w:spacing w:val="-3"/>
          <w:lang w:val="fr-FR"/>
        </w:rPr>
        <w:t xml:space="preserve">accompagné de </w:t>
      </w:r>
      <w:r w:rsidR="00950AC0" w:rsidRPr="009A31B9">
        <w:rPr>
          <w:spacing w:val="-3"/>
          <w:lang w:val="fr-FR"/>
        </w:rPr>
        <w:t xml:space="preserve">de </w:t>
      </w:r>
      <w:r w:rsidR="007A2FC0" w:rsidRPr="009A31B9">
        <w:rPr>
          <w:spacing w:val="-3"/>
          <w:lang w:val="fr-FR"/>
        </w:rPr>
        <w:t xml:space="preserve">et de ; </w:t>
      </w:r>
    </w:p>
    <w:p w14:paraId="1CE33657" w14:textId="77777777" w:rsidP="00576BB3" w:rsidR="00356ADA" w:rsidRDefault="00356ADA" w:rsidRPr="009A31B9">
      <w:pPr>
        <w:widowControl w:val="0"/>
        <w:autoSpaceDE w:val="0"/>
        <w:autoSpaceDN w:val="0"/>
        <w:adjustRightInd w:val="0"/>
        <w:spacing w:line="276" w:lineRule="exact"/>
        <w:ind w:right="25"/>
        <w:jc w:val="both"/>
        <w:rPr>
          <w:spacing w:val="-3"/>
          <w:lang w:val="fr-FR"/>
        </w:rPr>
      </w:pPr>
    </w:p>
    <w:p w14:paraId="53A86798" w14:textId="36AFDBF0" w:rsidP="00576BB3" w:rsidR="00702C33" w:rsidRDefault="00356ADA" w:rsidRPr="009A31B9">
      <w:pPr>
        <w:widowControl w:val="0"/>
        <w:autoSpaceDE w:val="0"/>
        <w:autoSpaceDN w:val="0"/>
        <w:adjustRightInd w:val="0"/>
        <w:spacing w:line="276" w:lineRule="exact"/>
        <w:ind w:right="25"/>
        <w:jc w:val="both"/>
        <w:rPr>
          <w:spacing w:val="-3"/>
          <w:lang w:val="fr-FR"/>
        </w:rPr>
      </w:pPr>
      <w:r w:rsidRPr="009A31B9">
        <w:rPr>
          <w:spacing w:val="-3"/>
          <w:lang w:val="fr-FR"/>
        </w:rPr>
        <w:t>•</w:t>
      </w:r>
      <w:r w:rsidR="00901D83" w:rsidRPr="009A31B9">
        <w:rPr>
          <w:spacing w:val="-3"/>
          <w:lang w:val="fr-FR"/>
        </w:rPr>
        <w:t xml:space="preserve"> </w:t>
      </w:r>
      <w:r w:rsidR="007A2FC0" w:rsidRPr="009A31B9">
        <w:rPr>
          <w:spacing w:val="-3"/>
          <w:lang w:val="fr-FR"/>
        </w:rPr>
        <w:t xml:space="preserve">Pour la </w:t>
      </w:r>
      <w:r w:rsidR="0024179B" w:rsidRPr="009A31B9">
        <w:rPr>
          <w:spacing w:val="-3"/>
          <w:lang w:val="fr-FR"/>
        </w:rPr>
        <w:t>FGTA-</w:t>
      </w:r>
      <w:r w:rsidR="007A2FC0" w:rsidRPr="009A31B9">
        <w:rPr>
          <w:spacing w:val="-3"/>
          <w:lang w:val="fr-FR"/>
        </w:rPr>
        <w:t>FO :</w:t>
      </w:r>
      <w:r w:rsidR="00702C33" w:rsidRPr="009A31B9">
        <w:rPr>
          <w:spacing w:val="-3"/>
          <w:lang w:val="fr-FR"/>
        </w:rPr>
        <w:t xml:space="preserve">, </w:t>
      </w:r>
      <w:r w:rsidR="007A2FC0" w:rsidRPr="009A31B9">
        <w:rPr>
          <w:spacing w:val="-3"/>
          <w:lang w:val="fr-FR"/>
        </w:rPr>
        <w:t>a</w:t>
      </w:r>
      <w:r w:rsidR="00702C33" w:rsidRPr="009A31B9">
        <w:rPr>
          <w:spacing w:val="-3"/>
          <w:lang w:val="fr-FR"/>
        </w:rPr>
        <w:t xml:space="preserve">gissant en qualité de </w:t>
      </w:r>
      <w:r w:rsidRPr="009A31B9">
        <w:rPr>
          <w:spacing w:val="-3"/>
          <w:lang w:val="fr-FR"/>
        </w:rPr>
        <w:t xml:space="preserve">Délégué Syndical </w:t>
      </w:r>
      <w:r w:rsidR="00A00885" w:rsidRPr="009A31B9">
        <w:rPr>
          <w:spacing w:val="-3"/>
          <w:lang w:val="fr-FR"/>
        </w:rPr>
        <w:t>Central ; accompagné</w:t>
      </w:r>
      <w:r w:rsidR="007A2FC0" w:rsidRPr="009A31B9">
        <w:rPr>
          <w:spacing w:val="-3"/>
          <w:lang w:val="fr-FR"/>
        </w:rPr>
        <w:t xml:space="preserve"> de </w:t>
      </w:r>
      <w:r w:rsidR="007A2FC0" w:rsidRPr="0054375E">
        <w:rPr>
          <w:spacing w:val="-3"/>
          <w:lang w:val="fr-FR"/>
        </w:rPr>
        <w:t>et de</w:t>
      </w:r>
      <w:r w:rsidR="00A00885" w:rsidRPr="0054375E">
        <w:rPr>
          <w:spacing w:val="-3"/>
          <w:lang w:val="fr-FR"/>
        </w:rPr>
        <w:t>.</w:t>
      </w:r>
    </w:p>
    <w:p w14:paraId="7E9B10B3" w14:textId="6E393C77" w:rsidP="00576BB3" w:rsidR="00FA556E" w:rsidRDefault="00FA556E" w:rsidRPr="009A31B9">
      <w:pPr>
        <w:jc w:val="both"/>
        <w:rPr>
          <w:spacing w:val="-3"/>
          <w:lang w:val="fr-FR"/>
        </w:rPr>
      </w:pPr>
    </w:p>
    <w:p w14:paraId="1DDCA51B" w14:textId="77777777" w:rsidP="00576BB3" w:rsidR="00702C33" w:rsidRDefault="00702C33" w:rsidRPr="009A31B9">
      <w:pPr>
        <w:widowControl w:val="0"/>
        <w:autoSpaceDE w:val="0"/>
        <w:autoSpaceDN w:val="0"/>
        <w:adjustRightInd w:val="0"/>
        <w:spacing w:line="276" w:lineRule="exact"/>
        <w:ind w:right="25"/>
        <w:jc w:val="both"/>
        <w:rPr>
          <w:spacing w:val="-3"/>
          <w:lang w:val="fr-FR"/>
        </w:rPr>
      </w:pPr>
    </w:p>
    <w:p w14:paraId="34B6BCE0" w14:textId="77777777" w:rsidP="00576BB3" w:rsidR="00356ADA" w:rsidRDefault="00FA556E" w:rsidRPr="009A31B9">
      <w:pPr>
        <w:widowControl w:val="0"/>
        <w:autoSpaceDE w:val="0"/>
        <w:autoSpaceDN w:val="0"/>
        <w:adjustRightInd w:val="0"/>
        <w:spacing w:line="276" w:lineRule="exact"/>
        <w:ind w:right="25"/>
        <w:jc w:val="both"/>
        <w:rPr>
          <w:b/>
          <w:spacing w:val="-3"/>
          <w:lang w:val="fr-FR"/>
        </w:rPr>
      </w:pPr>
      <w:r w:rsidRPr="009A31B9">
        <w:rPr>
          <w:b/>
          <w:spacing w:val="-3"/>
          <w:lang w:val="fr-FR"/>
        </w:rPr>
        <w:t xml:space="preserve">Préambule </w:t>
      </w:r>
    </w:p>
    <w:p w14:paraId="61789C77" w14:textId="77777777" w:rsidP="00576BB3" w:rsidR="00FA556E" w:rsidRDefault="00FA556E" w:rsidRPr="009A31B9">
      <w:pPr>
        <w:widowControl w:val="0"/>
        <w:autoSpaceDE w:val="0"/>
        <w:autoSpaceDN w:val="0"/>
        <w:adjustRightInd w:val="0"/>
        <w:spacing w:line="276" w:lineRule="exact"/>
        <w:ind w:right="25"/>
        <w:jc w:val="both"/>
        <w:rPr>
          <w:spacing w:val="-3"/>
          <w:lang w:val="fr-FR"/>
        </w:rPr>
      </w:pPr>
    </w:p>
    <w:p w14:paraId="6B1758D2" w14:textId="28A9CD2A" w:rsidP="00576BB3" w:rsidR="00FA556E" w:rsidRDefault="00FA556E" w:rsidRPr="009A31B9">
      <w:pPr>
        <w:widowControl w:val="0"/>
        <w:tabs>
          <w:tab w:pos="9720" w:val="left"/>
        </w:tabs>
        <w:autoSpaceDE w:val="0"/>
        <w:autoSpaceDN w:val="0"/>
        <w:adjustRightInd w:val="0"/>
        <w:spacing w:line="277" w:lineRule="exact"/>
        <w:ind w:right="25"/>
        <w:jc w:val="both"/>
        <w:rPr>
          <w:w w:val="103"/>
          <w:lang w:val="fr-FR"/>
        </w:rPr>
      </w:pPr>
      <w:r w:rsidRPr="009A31B9">
        <w:rPr>
          <w:w w:val="103"/>
          <w:lang w:val="fr-FR"/>
        </w:rPr>
        <w:t>Conformément à l'article L.</w:t>
      </w:r>
      <w:r w:rsidR="00702C33" w:rsidRPr="009A31B9">
        <w:rPr>
          <w:w w:val="103"/>
          <w:lang w:val="fr-FR"/>
        </w:rPr>
        <w:t>2242-1 du code du travail, le</w:t>
      </w:r>
      <w:r w:rsidRPr="009A31B9">
        <w:rPr>
          <w:w w:val="103"/>
          <w:lang w:val="fr-FR"/>
        </w:rPr>
        <w:t>s nég</w:t>
      </w:r>
      <w:r w:rsidR="00E611C5" w:rsidRPr="009A31B9">
        <w:rPr>
          <w:w w:val="103"/>
          <w:lang w:val="fr-FR"/>
        </w:rPr>
        <w:t xml:space="preserve">ociations annuelles relatives à </w:t>
      </w:r>
      <w:r w:rsidR="002A7E25" w:rsidRPr="009A31B9">
        <w:rPr>
          <w:w w:val="103"/>
          <w:lang w:val="fr-FR"/>
        </w:rPr>
        <w:t xml:space="preserve">la </w:t>
      </w:r>
      <w:r w:rsidR="002A7E25" w:rsidRPr="009A31B9">
        <w:rPr>
          <w:lang w:val="fr-FR"/>
        </w:rPr>
        <w:t>rému</w:t>
      </w:r>
      <w:r w:rsidR="009303A1" w:rsidRPr="009A31B9">
        <w:rPr>
          <w:lang w:val="fr-FR"/>
        </w:rPr>
        <w:t>nération, au temps de travail</w:t>
      </w:r>
      <w:r w:rsidR="00651E16">
        <w:rPr>
          <w:lang w:val="fr-FR"/>
        </w:rPr>
        <w:t xml:space="preserve">, </w:t>
      </w:r>
      <w:r w:rsidR="009303A1" w:rsidRPr="009A31B9">
        <w:rPr>
          <w:lang w:val="fr-FR"/>
        </w:rPr>
        <w:t xml:space="preserve">et au </w:t>
      </w:r>
      <w:r w:rsidR="002A7E25" w:rsidRPr="009A31B9">
        <w:rPr>
          <w:lang w:val="fr-FR"/>
        </w:rPr>
        <w:t xml:space="preserve">partage de la valeur ajoutée dans l'entreprise </w:t>
      </w:r>
      <w:r w:rsidRPr="009A31B9">
        <w:rPr>
          <w:w w:val="103"/>
          <w:lang w:val="fr-FR"/>
        </w:rPr>
        <w:t>ont</w:t>
      </w:r>
      <w:r w:rsidR="00702C33" w:rsidRPr="009A31B9">
        <w:rPr>
          <w:spacing w:val="-3"/>
          <w:lang w:val="fr-FR"/>
        </w:rPr>
        <w:t xml:space="preserve"> été engagé</w:t>
      </w:r>
      <w:r w:rsidRPr="009A31B9">
        <w:rPr>
          <w:spacing w:val="-3"/>
          <w:lang w:val="fr-FR"/>
        </w:rPr>
        <w:t>es</w:t>
      </w:r>
      <w:r w:rsidR="00702C33" w:rsidRPr="009A31B9">
        <w:rPr>
          <w:spacing w:val="-3"/>
          <w:lang w:val="fr-FR"/>
        </w:rPr>
        <w:t xml:space="preserve"> par </w:t>
      </w:r>
      <w:r w:rsidR="006F1A61" w:rsidRPr="009A31B9">
        <w:rPr>
          <w:spacing w:val="-3"/>
          <w:lang w:val="fr-FR"/>
        </w:rPr>
        <w:t xml:space="preserve">COCA-COLA </w:t>
      </w:r>
      <w:r w:rsidR="00BE2F0A">
        <w:rPr>
          <w:spacing w:val="-3"/>
          <w:lang w:val="fr-FR"/>
        </w:rPr>
        <w:t>EUROPACIFIC</w:t>
      </w:r>
      <w:r w:rsidR="002A7E25" w:rsidRPr="009A31B9">
        <w:rPr>
          <w:spacing w:val="-3"/>
          <w:lang w:val="fr-FR"/>
        </w:rPr>
        <w:t xml:space="preserve"> PARTNERS </w:t>
      </w:r>
      <w:r w:rsidR="009303A1" w:rsidRPr="009A31B9">
        <w:rPr>
          <w:spacing w:val="-3"/>
          <w:lang w:val="fr-FR"/>
        </w:rPr>
        <w:t>FRANCE</w:t>
      </w:r>
      <w:r w:rsidR="006818CB" w:rsidRPr="009A31B9">
        <w:rPr>
          <w:spacing w:val="-3"/>
          <w:lang w:val="fr-FR"/>
        </w:rPr>
        <w:t xml:space="preserve"> le </w:t>
      </w:r>
      <w:r w:rsidR="00BE2F0A">
        <w:rPr>
          <w:spacing w:val="-3"/>
          <w:lang w:val="fr-FR"/>
        </w:rPr>
        <w:t>22 novembre 2021</w:t>
      </w:r>
      <w:r w:rsidR="002A7E25" w:rsidRPr="009A31B9">
        <w:rPr>
          <w:spacing w:val="-3"/>
          <w:lang w:val="fr-FR"/>
        </w:rPr>
        <w:t xml:space="preserve">. </w:t>
      </w:r>
      <w:r w:rsidR="002B50ED" w:rsidRPr="009A31B9">
        <w:rPr>
          <w:spacing w:val="-3"/>
          <w:lang w:val="fr-FR"/>
        </w:rPr>
        <w:t xml:space="preserve"> </w:t>
      </w:r>
      <w:r w:rsidRPr="009A31B9">
        <w:rPr>
          <w:w w:val="103"/>
          <w:lang w:val="fr-FR"/>
        </w:rPr>
        <w:t xml:space="preserve"> </w:t>
      </w:r>
    </w:p>
    <w:p w14:paraId="79B75716" w14:textId="77777777" w:rsidP="00761CA0" w:rsidR="002A7E25" w:rsidRDefault="002A7E25" w:rsidRPr="009A31B9">
      <w:pPr>
        <w:widowControl w:val="0"/>
        <w:tabs>
          <w:tab w:pos="9720" w:val="left"/>
        </w:tabs>
        <w:autoSpaceDE w:val="0"/>
        <w:autoSpaceDN w:val="0"/>
        <w:adjustRightInd w:val="0"/>
        <w:spacing w:line="277" w:lineRule="exact"/>
        <w:ind w:right="25"/>
        <w:jc w:val="both"/>
        <w:rPr>
          <w:w w:val="103"/>
          <w:lang w:val="fr-FR"/>
        </w:rPr>
      </w:pPr>
    </w:p>
    <w:p w14:paraId="609544D9" w14:textId="23218B97" w:rsidP="00761CA0" w:rsidR="00BE2F0A" w:rsidRDefault="00BE2F0A">
      <w:pPr>
        <w:widowControl w:val="0"/>
        <w:tabs>
          <w:tab w:pos="9720" w:val="left"/>
        </w:tabs>
        <w:autoSpaceDE w:val="0"/>
        <w:autoSpaceDN w:val="0"/>
        <w:adjustRightInd w:val="0"/>
        <w:spacing w:line="277" w:lineRule="exact"/>
        <w:ind w:right="25"/>
        <w:jc w:val="both"/>
        <w:rPr>
          <w:lang w:val="fr-FR"/>
        </w:rPr>
      </w:pPr>
      <w:r>
        <w:rPr>
          <w:w w:val="103"/>
          <w:lang w:val="fr-FR"/>
        </w:rPr>
        <w:t>En amont de c</w:t>
      </w:r>
      <w:r w:rsidR="002A7E25" w:rsidRPr="009A31B9">
        <w:rPr>
          <w:w w:val="103"/>
          <w:lang w:val="fr-FR"/>
        </w:rPr>
        <w:t>ette première réunion</w:t>
      </w:r>
      <w:r>
        <w:rPr>
          <w:w w:val="103"/>
          <w:lang w:val="fr-FR"/>
        </w:rPr>
        <w:t>, ont été déposées sur la BDES</w:t>
      </w:r>
      <w:r w:rsidR="001E6D2E">
        <w:rPr>
          <w:w w:val="103"/>
          <w:lang w:val="fr-FR"/>
        </w:rPr>
        <w:t>E</w:t>
      </w:r>
      <w:r>
        <w:rPr>
          <w:w w:val="103"/>
          <w:lang w:val="fr-FR"/>
        </w:rPr>
        <w:t xml:space="preserve"> en date du 16 novembre 2021 les informations relatives à </w:t>
      </w:r>
      <w:r w:rsidRPr="000D2E22">
        <w:rPr>
          <w:w w:val="103"/>
          <w:lang w:val="fr-FR"/>
        </w:rPr>
        <w:t xml:space="preserve">la rémunération, </w:t>
      </w:r>
      <w:r w:rsidRPr="000D2E22">
        <w:rPr>
          <w:spacing w:val="-2"/>
          <w:lang w:val="fr-FR"/>
        </w:rPr>
        <w:t>l’égalité professionnelle entre les hommes et les femmes,</w:t>
      </w:r>
      <w:r w:rsidRPr="000D2E22">
        <w:rPr>
          <w:lang w:val="fr-FR"/>
        </w:rPr>
        <w:t xml:space="preserve"> au temps de travail et au partage de la valeur ajoutée dans l’entreprise.</w:t>
      </w:r>
    </w:p>
    <w:p w14:paraId="7F9B0DCB" w14:textId="77777777" w:rsidP="00761CA0" w:rsidR="00BE2F0A" w:rsidRDefault="00BE2F0A">
      <w:pPr>
        <w:widowControl w:val="0"/>
        <w:tabs>
          <w:tab w:pos="9720" w:val="left"/>
        </w:tabs>
        <w:autoSpaceDE w:val="0"/>
        <w:autoSpaceDN w:val="0"/>
        <w:adjustRightInd w:val="0"/>
        <w:spacing w:line="277" w:lineRule="exact"/>
        <w:ind w:right="25"/>
        <w:jc w:val="both"/>
        <w:rPr>
          <w:w w:val="103"/>
          <w:lang w:val="fr-FR"/>
        </w:rPr>
      </w:pPr>
    </w:p>
    <w:p w14:paraId="13630F5F" w14:textId="6624F9AC" w:rsidP="00761CA0" w:rsidR="002A7E25" w:rsidRDefault="002E6928" w:rsidRPr="009A31B9">
      <w:pPr>
        <w:widowControl w:val="0"/>
        <w:tabs>
          <w:tab w:pos="9720" w:val="left"/>
        </w:tabs>
        <w:autoSpaceDE w:val="0"/>
        <w:autoSpaceDN w:val="0"/>
        <w:adjustRightInd w:val="0"/>
        <w:spacing w:line="277" w:lineRule="exact"/>
        <w:ind w:right="25"/>
        <w:jc w:val="both"/>
        <w:rPr>
          <w:spacing w:val="-2"/>
          <w:lang w:val="fr-FR"/>
        </w:rPr>
      </w:pPr>
      <w:r w:rsidRPr="009A31B9">
        <w:rPr>
          <w:w w:val="102"/>
          <w:lang w:val="fr-FR"/>
        </w:rPr>
        <w:t>L</w:t>
      </w:r>
      <w:r w:rsidR="009303A1" w:rsidRPr="009A31B9">
        <w:rPr>
          <w:spacing w:val="-2"/>
          <w:lang w:val="fr-FR"/>
        </w:rPr>
        <w:t xml:space="preserve">es parties </w:t>
      </w:r>
      <w:r w:rsidR="001E6D2E">
        <w:rPr>
          <w:spacing w:val="-2"/>
          <w:lang w:val="fr-FR"/>
        </w:rPr>
        <w:t xml:space="preserve">se </w:t>
      </w:r>
      <w:r w:rsidR="00290468">
        <w:rPr>
          <w:spacing w:val="-2"/>
          <w:lang w:val="fr-FR"/>
        </w:rPr>
        <w:t xml:space="preserve">sont rencontrées lors de </w:t>
      </w:r>
      <w:r w:rsidR="0022046B">
        <w:rPr>
          <w:spacing w:val="-2"/>
          <w:lang w:val="fr-FR"/>
        </w:rPr>
        <w:t>4</w:t>
      </w:r>
      <w:r w:rsidR="00290468">
        <w:rPr>
          <w:spacing w:val="-2"/>
          <w:lang w:val="fr-FR"/>
        </w:rPr>
        <w:t xml:space="preserve"> réunions</w:t>
      </w:r>
      <w:r w:rsidR="002A7E25" w:rsidRPr="009A31B9">
        <w:rPr>
          <w:spacing w:val="-2"/>
          <w:lang w:val="fr-FR"/>
        </w:rPr>
        <w:t xml:space="preserve"> </w:t>
      </w:r>
      <w:r w:rsidR="00FC2DAD">
        <w:rPr>
          <w:spacing w:val="-2"/>
          <w:lang w:val="fr-FR"/>
        </w:rPr>
        <w:t xml:space="preserve">intervenues les </w:t>
      </w:r>
      <w:r w:rsidR="0054375E">
        <w:rPr>
          <w:spacing w:val="-2"/>
          <w:lang w:val="fr-FR"/>
        </w:rPr>
        <w:t>22 novembre, 30 novembre</w:t>
      </w:r>
      <w:r w:rsidR="001E6D2E">
        <w:rPr>
          <w:spacing w:val="-2"/>
          <w:lang w:val="fr-FR"/>
        </w:rPr>
        <w:t>,</w:t>
      </w:r>
      <w:r w:rsidR="0054375E">
        <w:rPr>
          <w:spacing w:val="-2"/>
          <w:lang w:val="fr-FR"/>
        </w:rPr>
        <w:t xml:space="preserve"> 13 décembre</w:t>
      </w:r>
      <w:r w:rsidR="008376BE">
        <w:rPr>
          <w:spacing w:val="-2"/>
          <w:lang w:val="fr-FR"/>
        </w:rPr>
        <w:t xml:space="preserve"> </w:t>
      </w:r>
      <w:r w:rsidR="001E6D2E">
        <w:rPr>
          <w:spacing w:val="-2"/>
          <w:lang w:val="fr-FR"/>
        </w:rPr>
        <w:t>et 17 décembre 2021</w:t>
      </w:r>
      <w:r w:rsidR="00FC2DAD">
        <w:rPr>
          <w:spacing w:val="-2"/>
          <w:lang w:val="fr-FR"/>
        </w:rPr>
        <w:t xml:space="preserve">. </w:t>
      </w:r>
    </w:p>
    <w:p w14:paraId="41578FB7" w14:textId="77777777" w:rsidP="00761CA0" w:rsidR="006818CB" w:rsidRDefault="006818CB" w:rsidRPr="009A31B9">
      <w:pPr>
        <w:widowControl w:val="0"/>
        <w:tabs>
          <w:tab w:pos="9720" w:val="left"/>
        </w:tabs>
        <w:autoSpaceDE w:val="0"/>
        <w:autoSpaceDN w:val="0"/>
        <w:adjustRightInd w:val="0"/>
        <w:spacing w:line="277" w:lineRule="exact"/>
        <w:ind w:right="25"/>
        <w:jc w:val="both"/>
        <w:rPr>
          <w:spacing w:val="-4"/>
          <w:lang w:val="fr-FR"/>
        </w:rPr>
      </w:pPr>
    </w:p>
    <w:p w14:paraId="7DF4DBE1" w14:textId="72E0A75E" w:rsidP="00290468" w:rsidR="00290468" w:rsidRDefault="00321D09">
      <w:pPr>
        <w:jc w:val="both"/>
        <w:rPr>
          <w:lang w:val="fr-FR"/>
        </w:rPr>
      </w:pPr>
      <w:r>
        <w:rPr>
          <w:lang w:val="fr-FR"/>
        </w:rPr>
        <w:t xml:space="preserve">Cette année ayant encore été </w:t>
      </w:r>
      <w:r w:rsidRPr="00290468">
        <w:rPr>
          <w:lang w:val="fr-FR"/>
        </w:rPr>
        <w:t>très marqué</w:t>
      </w:r>
      <w:r>
        <w:rPr>
          <w:lang w:val="fr-FR"/>
        </w:rPr>
        <w:t>e</w:t>
      </w:r>
      <w:r w:rsidRPr="00290468">
        <w:rPr>
          <w:lang w:val="fr-FR"/>
        </w:rPr>
        <w:t xml:space="preserve"> par la crise sanitaire</w:t>
      </w:r>
      <w:r>
        <w:rPr>
          <w:lang w:val="fr-FR"/>
        </w:rPr>
        <w:t>, l</w:t>
      </w:r>
      <w:r w:rsidR="00290468" w:rsidRPr="00290468">
        <w:rPr>
          <w:lang w:val="fr-FR"/>
        </w:rPr>
        <w:t>e présent accord illustre la volonté réaffirmée de soutien au pouvoir d’achat et de reconnaissance de l’engagement des équipes tout en prenant en compte les résultats opérationnel</w:t>
      </w:r>
      <w:r w:rsidR="007C7B6E">
        <w:rPr>
          <w:lang w:val="fr-FR"/>
        </w:rPr>
        <w:t xml:space="preserve">s </w:t>
      </w:r>
      <w:r w:rsidR="008376BE">
        <w:rPr>
          <w:lang w:val="fr-FR"/>
        </w:rPr>
        <w:t xml:space="preserve">prévisionnels </w:t>
      </w:r>
      <w:r w:rsidR="007C7B6E">
        <w:rPr>
          <w:lang w:val="fr-FR"/>
        </w:rPr>
        <w:t>qui restent</w:t>
      </w:r>
      <w:r w:rsidR="00290468" w:rsidRPr="00290468">
        <w:rPr>
          <w:lang w:val="fr-FR"/>
        </w:rPr>
        <w:t xml:space="preserve"> en retrait en 2021 </w:t>
      </w:r>
      <w:r w:rsidR="00AB6B7D">
        <w:rPr>
          <w:lang w:val="fr-FR"/>
        </w:rPr>
        <w:t>par rapport à 2019</w:t>
      </w:r>
      <w:r w:rsidR="00290468" w:rsidRPr="00290468">
        <w:rPr>
          <w:lang w:val="fr-FR"/>
        </w:rPr>
        <w:t>.</w:t>
      </w:r>
    </w:p>
    <w:p w14:paraId="2F81C087" w14:textId="77777777" w:rsidP="00290468" w:rsidR="00321D09" w:rsidRDefault="00321D09" w:rsidRPr="00290468">
      <w:pPr>
        <w:jc w:val="both"/>
        <w:rPr>
          <w:lang w:val="fr-FR"/>
        </w:rPr>
      </w:pPr>
    </w:p>
    <w:p w14:paraId="35A44C1D" w14:textId="74ABC3C2" w:rsidP="00290468" w:rsidR="00290468" w:rsidRDefault="008376BE" w:rsidRPr="00290468">
      <w:pPr>
        <w:jc w:val="both"/>
        <w:rPr>
          <w:lang w:val="fr-FR"/>
        </w:rPr>
      </w:pPr>
      <w:r>
        <w:rPr>
          <w:lang w:val="fr-FR"/>
        </w:rPr>
        <w:t>Les mesures prises dans le cadre de la</w:t>
      </w:r>
      <w:r w:rsidR="00290468" w:rsidRPr="00290468">
        <w:rPr>
          <w:lang w:val="fr-FR"/>
        </w:rPr>
        <w:t xml:space="preserve"> NAO ne sont d’ailleurs pas les seules mesures participant à cette reconnaissance. </w:t>
      </w:r>
    </w:p>
    <w:p w14:paraId="154A13E0" w14:textId="6121939B" w:rsidP="00131334" w:rsidR="00AF4B61" w:rsidRDefault="00290468">
      <w:pPr>
        <w:spacing w:after="240" w:before="240"/>
        <w:jc w:val="both"/>
        <w:rPr>
          <w:lang w:val="fr-FR"/>
        </w:rPr>
      </w:pPr>
      <w:r w:rsidRPr="0022046B">
        <w:rPr>
          <w:lang w:val="fr-FR"/>
        </w:rPr>
        <w:lastRenderedPageBreak/>
        <w:t xml:space="preserve">Concernant l’égalité entre les hommes et les femmes, il est rappelé que CCEP et les quatre organisations syndicales </w:t>
      </w:r>
      <w:r w:rsidR="008376BE" w:rsidRPr="0022046B">
        <w:rPr>
          <w:lang w:val="fr-FR"/>
        </w:rPr>
        <w:t xml:space="preserve">représentatives dans l’entreprise </w:t>
      </w:r>
      <w:r w:rsidRPr="0022046B">
        <w:rPr>
          <w:lang w:val="fr-FR"/>
        </w:rPr>
        <w:t>ont conclu un accord d’entreprise sur la Qualité de vie au travail le 25 février 2020, comprenant déjà un volet sur ce thème, toujours valable en 2022.</w:t>
      </w:r>
    </w:p>
    <w:p w14:paraId="6E2E4A8E" w14:textId="77777777" w:rsidP="004B4C46" w:rsidR="00321D09" w:rsidRDefault="00321D09">
      <w:pPr>
        <w:jc w:val="both"/>
        <w:rPr>
          <w:b/>
          <w:lang w:val="fr-FR"/>
        </w:rPr>
      </w:pPr>
    </w:p>
    <w:p w14:paraId="54246AAE" w14:textId="6D8A500F" w:rsidP="004B4C46" w:rsidR="004B4C46" w:rsidRDefault="004B4C46" w:rsidRPr="00163B94">
      <w:pPr>
        <w:jc w:val="both"/>
        <w:rPr>
          <w:b/>
          <w:lang w:val="fr-FR"/>
        </w:rPr>
      </w:pPr>
      <w:r w:rsidRPr="00163B94">
        <w:rPr>
          <w:b/>
          <w:lang w:val="fr-FR"/>
        </w:rPr>
        <w:t>Article 1 - Dispositions relatives aux OETAM (ouvriers, employés, techniciens et agents de maîtrise)</w:t>
      </w:r>
    </w:p>
    <w:p w14:paraId="141D792B" w14:textId="77777777" w:rsidP="004B4C46" w:rsidR="004B4C46" w:rsidRDefault="004B4C46" w:rsidRPr="009276F3">
      <w:pPr>
        <w:jc w:val="both"/>
        <w:rPr>
          <w:b/>
          <w:lang w:val="fr-FR"/>
        </w:rPr>
      </w:pPr>
    </w:p>
    <w:p w14:paraId="49BE3166" w14:textId="77777777" w:rsidP="007F03AB" w:rsidR="004B4C46" w:rsidRDefault="004B4C46" w:rsidRPr="009276F3">
      <w:pPr>
        <w:ind w:firstLine="720"/>
        <w:jc w:val="both"/>
        <w:rPr>
          <w:b/>
          <w:lang w:val="fr-FR"/>
        </w:rPr>
      </w:pPr>
      <w:r w:rsidRPr="009276F3">
        <w:rPr>
          <w:b/>
          <w:lang w:val="fr-FR"/>
        </w:rPr>
        <w:t>A</w:t>
      </w:r>
      <w:r>
        <w:rPr>
          <w:b/>
          <w:lang w:val="fr-FR"/>
        </w:rPr>
        <w:t xml:space="preserve"> - </w:t>
      </w:r>
      <w:r w:rsidRPr="009276F3">
        <w:rPr>
          <w:b/>
          <w:lang w:val="fr-FR"/>
        </w:rPr>
        <w:t>Enveloppe d’augmentation de la masse salariale</w:t>
      </w:r>
    </w:p>
    <w:p w14:paraId="2079FA89" w14:textId="77777777" w:rsidP="0080551C" w:rsidR="004B4C46" w:rsidRDefault="004B4C46" w:rsidRPr="00163B94">
      <w:pPr>
        <w:jc w:val="both"/>
        <w:rPr>
          <w:b/>
          <w:u w:val="single"/>
          <w:lang w:val="fr-FR"/>
        </w:rPr>
      </w:pPr>
    </w:p>
    <w:p w14:paraId="028D2381" w14:textId="17EDA6B0" w:rsidP="007F03AB" w:rsidR="004B4C46" w:rsidRDefault="004B4C46">
      <w:pPr>
        <w:spacing w:after="160" w:line="259" w:lineRule="auto"/>
        <w:ind w:left="720"/>
        <w:jc w:val="both"/>
        <w:rPr>
          <w:lang w:val="fr-FR"/>
        </w:rPr>
      </w:pPr>
      <w:r w:rsidRPr="00D41879">
        <w:rPr>
          <w:lang w:val="fr-FR"/>
        </w:rPr>
        <w:t xml:space="preserve">Les parties conviennent, pour l’année </w:t>
      </w:r>
      <w:r w:rsidR="0080551C">
        <w:rPr>
          <w:lang w:val="fr-FR"/>
        </w:rPr>
        <w:t>2022</w:t>
      </w:r>
      <w:r w:rsidRPr="00D41879">
        <w:rPr>
          <w:lang w:val="fr-FR"/>
        </w:rPr>
        <w:t>, d’une enveloppe d’augmentation d’un montant global correspondant à 2</w:t>
      </w:r>
      <w:r>
        <w:rPr>
          <w:lang w:val="fr-FR"/>
        </w:rPr>
        <w:t>,5</w:t>
      </w:r>
      <w:r w:rsidRPr="00D41879">
        <w:rPr>
          <w:rStyle w:val="Accentuation"/>
          <w:lang w:val="fr-FR"/>
        </w:rPr>
        <w:t xml:space="preserve"> </w:t>
      </w:r>
      <w:r w:rsidRPr="00D41879">
        <w:rPr>
          <w:lang w:val="fr-FR"/>
        </w:rPr>
        <w:t xml:space="preserve">% </w:t>
      </w:r>
      <w:r w:rsidR="00BA2F17">
        <w:rPr>
          <w:lang w:val="fr-FR"/>
        </w:rPr>
        <w:t>d</w:t>
      </w:r>
      <w:r w:rsidR="00321D09">
        <w:rPr>
          <w:lang w:val="fr-FR"/>
        </w:rPr>
        <w:t>e la masse salariale (</w:t>
      </w:r>
      <w:r w:rsidR="00BA2F17">
        <w:rPr>
          <w:lang w:val="fr-FR"/>
        </w:rPr>
        <w:t>salaires de base</w:t>
      </w:r>
      <w:r w:rsidR="00321D09">
        <w:rPr>
          <w:lang w:val="fr-FR"/>
        </w:rPr>
        <w:t>)</w:t>
      </w:r>
      <w:r w:rsidRPr="00D41879">
        <w:rPr>
          <w:lang w:val="fr-FR"/>
        </w:rPr>
        <w:t xml:space="preserve"> des OETAM</w:t>
      </w:r>
      <w:r>
        <w:rPr>
          <w:lang w:val="fr-FR"/>
        </w:rPr>
        <w:t>.</w:t>
      </w:r>
    </w:p>
    <w:p w14:paraId="5BCB7089" w14:textId="3BBA64A1" w:rsidP="007F03AB" w:rsidR="004B4C46" w:rsidRDefault="008376BE">
      <w:pPr>
        <w:ind w:left="720"/>
        <w:jc w:val="both"/>
        <w:rPr>
          <w:lang w:val="fr-FR"/>
        </w:rPr>
      </w:pPr>
      <w:r w:rsidRPr="008376BE">
        <w:rPr>
          <w:lang w:val="fr-FR"/>
        </w:rPr>
        <w:t>Sont exclues de cette enveloppe d’augmentation</w:t>
      </w:r>
      <w:r>
        <w:rPr>
          <w:lang w:val="fr-FR"/>
        </w:rPr>
        <w:t>,</w:t>
      </w:r>
      <w:r w:rsidRPr="008376BE">
        <w:rPr>
          <w:lang w:val="fr-FR"/>
        </w:rPr>
        <w:t xml:space="preserve"> les augmentations résultant de promotions et de certifications ainsi que celles liées aux objectifs</w:t>
      </w:r>
      <w:r w:rsidR="00321D09">
        <w:rPr>
          <w:lang w:val="fr-FR"/>
        </w:rPr>
        <w:t xml:space="preserve"> de</w:t>
      </w:r>
      <w:r w:rsidRPr="008376BE">
        <w:rPr>
          <w:lang w:val="fr-FR"/>
        </w:rPr>
        <w:t xml:space="preserve"> couverture d’égalité salariale qui auront lieu au cours de l’année 2022.</w:t>
      </w:r>
    </w:p>
    <w:p w14:paraId="04FFBBFE" w14:textId="77777777" w:rsidP="007F03AB" w:rsidR="008376BE" w:rsidRDefault="008376BE">
      <w:pPr>
        <w:ind w:left="720"/>
        <w:jc w:val="both"/>
        <w:rPr>
          <w:lang w:val="fr-FR"/>
        </w:rPr>
      </w:pPr>
    </w:p>
    <w:p w14:paraId="6EE73A27" w14:textId="229D2C16" w:rsidP="007F03AB" w:rsidR="004B4C46" w:rsidRDefault="007F03AB">
      <w:pPr>
        <w:ind w:left="720"/>
        <w:jc w:val="both"/>
        <w:rPr>
          <w:lang w:val="fr-FR"/>
        </w:rPr>
      </w:pPr>
      <w:r w:rsidRPr="009B4968">
        <w:rPr>
          <w:lang w:val="fr-FR"/>
        </w:rPr>
        <w:t xml:space="preserve">Afin de rester compétitif sur le marché et continuer à retenir et attirer les talents, </w:t>
      </w:r>
      <w:r w:rsidR="00D25561" w:rsidRPr="009B4968">
        <w:rPr>
          <w:lang w:val="fr-FR"/>
        </w:rPr>
        <w:t>plusieurs</w:t>
      </w:r>
      <w:r w:rsidRPr="009B4968">
        <w:rPr>
          <w:lang w:val="fr-FR"/>
        </w:rPr>
        <w:t xml:space="preserve"> fourchettes de salaire</w:t>
      </w:r>
      <w:r w:rsidR="00305984">
        <w:rPr>
          <w:lang w:val="fr-FR"/>
        </w:rPr>
        <w:t xml:space="preserve"> présentées par la Direction</w:t>
      </w:r>
      <w:r w:rsidRPr="009B4968">
        <w:rPr>
          <w:lang w:val="fr-FR"/>
        </w:rPr>
        <w:t xml:space="preserve"> </w:t>
      </w:r>
      <w:r w:rsidR="00D25561" w:rsidRPr="009B4968">
        <w:rPr>
          <w:lang w:val="fr-FR"/>
        </w:rPr>
        <w:t>sont</w:t>
      </w:r>
      <w:r w:rsidRPr="009B4968">
        <w:rPr>
          <w:lang w:val="fr-FR"/>
        </w:rPr>
        <w:t xml:space="preserve"> augmentées</w:t>
      </w:r>
      <w:r w:rsidR="00305984">
        <w:rPr>
          <w:lang w:val="fr-FR"/>
        </w:rPr>
        <w:t xml:space="preserve"> au 1</w:t>
      </w:r>
      <w:r w:rsidR="00305984" w:rsidRPr="00305984">
        <w:rPr>
          <w:vertAlign w:val="superscript"/>
          <w:lang w:val="fr-FR"/>
        </w:rPr>
        <w:t>er</w:t>
      </w:r>
      <w:r w:rsidR="00305984">
        <w:rPr>
          <w:lang w:val="fr-FR"/>
        </w:rPr>
        <w:t xml:space="preserve"> janvier 2022 (annexe).</w:t>
      </w:r>
    </w:p>
    <w:p w14:paraId="21F5CA62" w14:textId="33AC3BF2" w:rsidP="004B4C46" w:rsidR="007F03AB" w:rsidRDefault="007F03AB">
      <w:pPr>
        <w:jc w:val="both"/>
        <w:rPr>
          <w:lang w:val="fr-FR"/>
        </w:rPr>
      </w:pPr>
    </w:p>
    <w:p w14:paraId="7184858F" w14:textId="77777777" w:rsidP="004B4C46" w:rsidR="007F03AB" w:rsidRDefault="007F03AB">
      <w:pPr>
        <w:jc w:val="both"/>
        <w:rPr>
          <w:lang w:val="fr-FR"/>
        </w:rPr>
      </w:pPr>
    </w:p>
    <w:p w14:paraId="37AED505" w14:textId="344253CE" w:rsidP="007F03AB" w:rsidR="004B4C46" w:rsidRDefault="004B4C46" w:rsidRPr="00EB6098">
      <w:pPr>
        <w:ind w:firstLine="720"/>
        <w:jc w:val="both"/>
        <w:rPr>
          <w:b/>
          <w:lang w:val="fr-FR"/>
        </w:rPr>
      </w:pPr>
      <w:r w:rsidRPr="00EB6098">
        <w:rPr>
          <w:b/>
          <w:lang w:val="fr-FR"/>
        </w:rPr>
        <w:t xml:space="preserve">B </w:t>
      </w:r>
      <w:r w:rsidR="007F03AB">
        <w:rPr>
          <w:b/>
          <w:lang w:val="fr-FR"/>
        </w:rPr>
        <w:t xml:space="preserve">- </w:t>
      </w:r>
      <w:r w:rsidRPr="00EB6098">
        <w:rPr>
          <w:b/>
          <w:lang w:val="fr-FR"/>
        </w:rPr>
        <w:t>Attribution des augmentations</w:t>
      </w:r>
      <w:r>
        <w:rPr>
          <w:b/>
          <w:lang w:val="fr-FR"/>
        </w:rPr>
        <w:t xml:space="preserve"> OETAM</w:t>
      </w:r>
    </w:p>
    <w:p w14:paraId="492EEC1E" w14:textId="77777777" w:rsidP="004B4C46" w:rsidR="004B4C46" w:rsidRDefault="004B4C46" w:rsidRPr="00163B94">
      <w:pPr>
        <w:jc w:val="both"/>
        <w:rPr>
          <w:lang w:val="fr-FR"/>
        </w:rPr>
      </w:pPr>
    </w:p>
    <w:p w14:paraId="282529CB" w14:textId="27783165" w:rsidP="007F03AB" w:rsidR="004B4C46" w:rsidRDefault="004B4C46">
      <w:pPr>
        <w:ind w:left="720"/>
        <w:jc w:val="both"/>
        <w:rPr>
          <w:lang w:val="fr-FR"/>
        </w:rPr>
      </w:pPr>
      <w:r>
        <w:rPr>
          <w:lang w:val="fr-FR"/>
        </w:rPr>
        <w:t xml:space="preserve">L’augmentation de </w:t>
      </w:r>
      <w:r w:rsidRPr="00163B94">
        <w:rPr>
          <w:lang w:val="fr-FR"/>
        </w:rPr>
        <w:t xml:space="preserve">la masse salariale sera répartie entre les </w:t>
      </w:r>
      <w:r>
        <w:rPr>
          <w:lang w:val="fr-FR"/>
        </w:rPr>
        <w:t xml:space="preserve">salariés </w:t>
      </w:r>
      <w:r w:rsidRPr="00163B94">
        <w:rPr>
          <w:lang w:val="fr-FR"/>
        </w:rPr>
        <w:t xml:space="preserve">appartenant aux catégories OETAM par le biais </w:t>
      </w:r>
      <w:r>
        <w:rPr>
          <w:lang w:val="fr-FR"/>
        </w:rPr>
        <w:t>d’augmentations</w:t>
      </w:r>
      <w:r w:rsidRPr="00163B94">
        <w:rPr>
          <w:lang w:val="fr-FR"/>
        </w:rPr>
        <w:t xml:space="preserve"> individuelles</w:t>
      </w:r>
      <w:r w:rsidR="009B4968">
        <w:rPr>
          <w:lang w:val="fr-FR"/>
        </w:rPr>
        <w:t>.</w:t>
      </w:r>
      <w:r>
        <w:rPr>
          <w:lang w:val="fr-FR"/>
        </w:rPr>
        <w:t xml:space="preserve"> </w:t>
      </w:r>
    </w:p>
    <w:p w14:paraId="34C123FE" w14:textId="77777777" w:rsidP="007F03AB" w:rsidR="004B4C46" w:rsidRDefault="004B4C46">
      <w:pPr>
        <w:ind w:left="720"/>
        <w:jc w:val="both"/>
        <w:rPr>
          <w:b/>
          <w:lang w:val="fr-FR"/>
        </w:rPr>
      </w:pPr>
    </w:p>
    <w:p w14:paraId="50A3448F" w14:textId="5F55905D" w:rsidP="007F03AB" w:rsidR="004B4C46" w:rsidRDefault="004B4C46">
      <w:pPr>
        <w:ind w:left="720"/>
        <w:jc w:val="both"/>
        <w:rPr>
          <w:lang w:val="fr-FR"/>
        </w:rPr>
      </w:pPr>
      <w:r>
        <w:rPr>
          <w:lang w:val="fr-FR"/>
        </w:rPr>
        <w:t xml:space="preserve">L’attribution de cette augmentation se fera « en points » </w:t>
      </w:r>
      <w:r w:rsidR="0080551C">
        <w:rPr>
          <w:lang w:val="fr-FR"/>
        </w:rPr>
        <w:t xml:space="preserve">sur les coefficients individuels, </w:t>
      </w:r>
      <w:r>
        <w:rPr>
          <w:lang w:val="fr-FR"/>
        </w:rPr>
        <w:t>en fonction de la performance évaluée</w:t>
      </w:r>
      <w:r w:rsidR="0080551C">
        <w:rPr>
          <w:lang w:val="fr-FR"/>
        </w:rPr>
        <w:t xml:space="preserve"> au titre de l’année 2021 et </w:t>
      </w:r>
      <w:r w:rsidR="00D25561">
        <w:rPr>
          <w:lang w:val="fr-FR"/>
        </w:rPr>
        <w:t>du</w:t>
      </w:r>
      <w:r w:rsidR="0080551C">
        <w:rPr>
          <w:lang w:val="fr-FR"/>
        </w:rPr>
        <w:t xml:space="preserve"> positionnement </w:t>
      </w:r>
      <w:r w:rsidR="00BE64B3">
        <w:rPr>
          <w:lang w:val="fr-FR"/>
        </w:rPr>
        <w:t>salarial</w:t>
      </w:r>
      <w:r>
        <w:rPr>
          <w:lang w:val="fr-FR"/>
        </w:rPr>
        <w:t xml:space="preserve">, selon la grille </w:t>
      </w:r>
      <w:r w:rsidR="0080551C">
        <w:rPr>
          <w:lang w:val="fr-FR"/>
        </w:rPr>
        <w:t>ci-dessous</w:t>
      </w:r>
      <w:r w:rsidR="008D0AA3">
        <w:rPr>
          <w:lang w:val="fr-FR"/>
        </w:rPr>
        <w:t> :</w:t>
      </w:r>
    </w:p>
    <w:p w14:paraId="24907409" w14:textId="54C04EA4" w:rsidP="007F03AB" w:rsidR="009B4968" w:rsidRDefault="009B4968">
      <w:pPr>
        <w:ind w:left="720"/>
        <w:jc w:val="both"/>
        <w:rPr>
          <w:lang w:val="fr-FR"/>
        </w:rPr>
      </w:pPr>
    </w:p>
    <w:p w14:paraId="7095CD74" w14:textId="3FCCDA7D" w:rsidP="007F03AB" w:rsidR="009B4968" w:rsidRDefault="008D0AA3">
      <w:pPr>
        <w:ind w:left="720"/>
        <w:jc w:val="both"/>
        <w:rPr>
          <w:lang w:val="fr-FR"/>
        </w:rPr>
      </w:pPr>
      <w:r>
        <w:rPr>
          <w:lang w:val="fr-FR"/>
        </w:rPr>
        <w:t>Cette grille garantit u</w:t>
      </w:r>
      <w:r w:rsidR="009B4968">
        <w:rPr>
          <w:lang w:val="fr-FR"/>
        </w:rPr>
        <w:t>n minimum de 1 point pour tous (condition :</w:t>
      </w:r>
      <w:r>
        <w:rPr>
          <w:lang w:val="fr-FR"/>
        </w:rPr>
        <w:t xml:space="preserve"> </w:t>
      </w:r>
      <w:r w:rsidR="009B4968">
        <w:rPr>
          <w:lang w:val="fr-FR"/>
        </w:rPr>
        <w:t>avoir été embauché avant le 01/01/22).</w:t>
      </w:r>
    </w:p>
    <w:p w14:paraId="4C329031" w14:textId="4AD282D7" w:rsidP="004B4C46" w:rsidR="0080551C" w:rsidRDefault="0080551C">
      <w:pPr>
        <w:jc w:val="both"/>
        <w:rPr>
          <w:lang w:val="fr-FR"/>
        </w:rPr>
      </w:pPr>
    </w:p>
    <w:tbl>
      <w:tblPr>
        <w:tblStyle w:val="Grilledutableau"/>
        <w:tblW w:type="dxa" w:w="8465"/>
        <w:tblInd w:type="dxa" w:w="846"/>
        <w:tblLook w:firstColumn="0" w:firstRow="1" w:lastColumn="0" w:lastRow="0" w:noHBand="0" w:noVBand="1" w:val="0420"/>
      </w:tblPr>
      <w:tblGrid>
        <w:gridCol w:w="2560"/>
        <w:gridCol w:w="1969"/>
        <w:gridCol w:w="1968"/>
        <w:gridCol w:w="1968"/>
      </w:tblGrid>
      <w:tr w14:paraId="27ECEBFF" w14:textId="77777777" w:rsidR="007F03AB" w:rsidRPr="0080551C" w:rsidTr="002D4F3B">
        <w:trPr>
          <w:trHeight w:val="474"/>
        </w:trPr>
        <w:tc>
          <w:tcPr>
            <w:tcW w:type="dxa" w:w="2560"/>
          </w:tcPr>
          <w:p w14:paraId="41F242F4" w14:textId="4E94A639" w:rsidP="0080551C" w:rsidR="0080551C" w:rsidRDefault="0080551C" w:rsidRPr="0080551C">
            <w:pPr>
              <w:jc w:val="both"/>
              <w:rPr>
                <w:lang w:val="fr-FR"/>
              </w:rPr>
            </w:pPr>
          </w:p>
        </w:tc>
        <w:tc>
          <w:tcPr>
            <w:tcW w:type="dxa" w:w="1969"/>
            <w:hideMark/>
          </w:tcPr>
          <w:p w14:paraId="05FF5965" w14:textId="058362EC" w:rsidP="007F03AB" w:rsidR="0080551C" w:rsidRDefault="007F03AB" w:rsidRPr="0080551C">
            <w:pPr>
              <w:jc w:val="center"/>
              <w:rPr>
                <w:lang w:val="fr-FR"/>
              </w:rPr>
            </w:pPr>
            <w:r w:rsidRPr="007F03AB">
              <w:rPr>
                <w:lang w:val="fr-FR"/>
              </w:rPr>
              <w:t>En</w:t>
            </w:r>
            <w:r w:rsidR="001237E1">
              <w:rPr>
                <w:lang w:val="fr-FR"/>
              </w:rPr>
              <w:t>-</w:t>
            </w:r>
            <w:r w:rsidRPr="007F03AB">
              <w:rPr>
                <w:lang w:val="fr-FR"/>
              </w:rPr>
              <w:t>dessous du marché</w:t>
            </w:r>
          </w:p>
        </w:tc>
        <w:tc>
          <w:tcPr>
            <w:tcW w:type="dxa" w:w="1968"/>
            <w:hideMark/>
          </w:tcPr>
          <w:p w14:paraId="3015277F" w14:textId="6BF80254" w:rsidP="007F03AB" w:rsidR="0080551C" w:rsidRDefault="007F03AB" w:rsidRPr="0080551C">
            <w:pPr>
              <w:jc w:val="center"/>
              <w:rPr>
                <w:lang w:val="fr-FR"/>
              </w:rPr>
            </w:pPr>
            <w:r w:rsidRPr="007F03AB">
              <w:rPr>
                <w:lang w:val="fr-FR"/>
              </w:rPr>
              <w:t>Au marché</w:t>
            </w:r>
          </w:p>
        </w:tc>
        <w:tc>
          <w:tcPr>
            <w:tcW w:type="dxa" w:w="1968"/>
            <w:hideMark/>
          </w:tcPr>
          <w:p w14:paraId="369908A1" w14:textId="0D49775F" w:rsidP="007F03AB" w:rsidR="0080551C" w:rsidRDefault="007F03AB" w:rsidRPr="0080551C">
            <w:pPr>
              <w:jc w:val="center"/>
              <w:rPr>
                <w:lang w:val="fr-FR"/>
              </w:rPr>
            </w:pPr>
            <w:r w:rsidRPr="007F03AB">
              <w:rPr>
                <w:lang w:val="fr-FR"/>
              </w:rPr>
              <w:t>Au</w:t>
            </w:r>
            <w:r>
              <w:rPr>
                <w:lang w:val="fr-FR"/>
              </w:rPr>
              <w:t>-</w:t>
            </w:r>
            <w:r w:rsidRPr="007F03AB">
              <w:rPr>
                <w:lang w:val="fr-FR"/>
              </w:rPr>
              <w:t>dessus du marché</w:t>
            </w:r>
          </w:p>
        </w:tc>
      </w:tr>
      <w:tr w14:paraId="6E7EE3B3" w14:textId="77777777" w:rsidR="007F03AB" w:rsidRPr="0080551C" w:rsidTr="002D4F3B">
        <w:trPr>
          <w:trHeight w:val="474"/>
        </w:trPr>
        <w:tc>
          <w:tcPr>
            <w:tcW w:type="dxa" w:w="2560"/>
            <w:hideMark/>
          </w:tcPr>
          <w:p w14:paraId="47265181" w14:textId="68864097" w:rsidP="007F03AB" w:rsidR="0080551C" w:rsidRDefault="007F03AB" w:rsidRPr="0080551C">
            <w:pPr>
              <w:rPr>
                <w:lang w:val="fr-FR"/>
              </w:rPr>
            </w:pPr>
            <w:r>
              <w:rPr>
                <w:lang w:val="fr-FR"/>
              </w:rPr>
              <w:t xml:space="preserve">E= </w:t>
            </w:r>
            <w:r w:rsidR="002D4F3B">
              <w:rPr>
                <w:lang w:val="fr-FR"/>
              </w:rPr>
              <w:t xml:space="preserve">contribue de façon </w:t>
            </w:r>
            <w:r>
              <w:rPr>
                <w:lang w:val="fr-FR"/>
              </w:rPr>
              <w:t>exceptionnel</w:t>
            </w:r>
            <w:r w:rsidR="002D4F3B">
              <w:rPr>
                <w:lang w:val="fr-FR"/>
              </w:rPr>
              <w:t>le</w:t>
            </w:r>
          </w:p>
        </w:tc>
        <w:tc>
          <w:tcPr>
            <w:tcW w:type="dxa" w:w="1969"/>
            <w:hideMark/>
          </w:tcPr>
          <w:p w14:paraId="2411A0B9" w14:textId="77777777" w:rsidP="007F03AB" w:rsidR="0080551C" w:rsidRDefault="0080551C" w:rsidRPr="0080551C">
            <w:pPr>
              <w:jc w:val="center"/>
              <w:rPr>
                <w:lang w:val="fr-FR"/>
              </w:rPr>
            </w:pPr>
            <w:r w:rsidRPr="0080551C">
              <w:rPr>
                <w:lang w:val="fr-FR"/>
              </w:rPr>
              <w:t>7</w:t>
            </w:r>
          </w:p>
        </w:tc>
        <w:tc>
          <w:tcPr>
            <w:tcW w:type="dxa" w:w="1968"/>
            <w:hideMark/>
          </w:tcPr>
          <w:p w14:paraId="534FB166" w14:textId="77777777" w:rsidP="007F03AB" w:rsidR="0080551C" w:rsidRDefault="0080551C" w:rsidRPr="0080551C">
            <w:pPr>
              <w:jc w:val="center"/>
              <w:rPr>
                <w:lang w:val="fr-FR"/>
              </w:rPr>
            </w:pPr>
            <w:r w:rsidRPr="0080551C">
              <w:rPr>
                <w:lang w:val="fr-FR"/>
              </w:rPr>
              <w:t>6</w:t>
            </w:r>
          </w:p>
        </w:tc>
        <w:tc>
          <w:tcPr>
            <w:tcW w:type="dxa" w:w="1968"/>
            <w:hideMark/>
          </w:tcPr>
          <w:p w14:paraId="335567E1" w14:textId="77777777" w:rsidP="007F03AB" w:rsidR="0080551C" w:rsidRDefault="0080551C" w:rsidRPr="0080551C">
            <w:pPr>
              <w:jc w:val="center"/>
              <w:rPr>
                <w:lang w:val="fr-FR"/>
              </w:rPr>
            </w:pPr>
            <w:r w:rsidRPr="0080551C">
              <w:rPr>
                <w:lang w:val="fr-FR"/>
              </w:rPr>
              <w:t>4</w:t>
            </w:r>
          </w:p>
        </w:tc>
      </w:tr>
      <w:tr w14:paraId="4CFA557D" w14:textId="77777777" w:rsidR="007F03AB" w:rsidRPr="0080551C" w:rsidTr="002D4F3B">
        <w:trPr>
          <w:trHeight w:val="474"/>
        </w:trPr>
        <w:tc>
          <w:tcPr>
            <w:tcW w:type="dxa" w:w="2560"/>
            <w:hideMark/>
          </w:tcPr>
          <w:p w14:paraId="14F23660" w14:textId="48152B23" w:rsidP="007F03AB" w:rsidR="0080551C" w:rsidRDefault="007F03AB" w:rsidRPr="0080551C">
            <w:pPr>
              <w:rPr>
                <w:lang w:val="fr-FR"/>
              </w:rPr>
            </w:pPr>
            <w:r>
              <w:rPr>
                <w:lang w:val="fr-FR"/>
              </w:rPr>
              <w:t>C= contribue avec succès</w:t>
            </w:r>
          </w:p>
        </w:tc>
        <w:tc>
          <w:tcPr>
            <w:tcW w:type="dxa" w:w="1969"/>
            <w:hideMark/>
          </w:tcPr>
          <w:p w14:paraId="2B1CCD87" w14:textId="77777777" w:rsidP="007F03AB" w:rsidR="0080551C" w:rsidRDefault="0080551C" w:rsidRPr="0080551C">
            <w:pPr>
              <w:jc w:val="center"/>
              <w:rPr>
                <w:lang w:val="fr-FR"/>
              </w:rPr>
            </w:pPr>
            <w:r w:rsidRPr="0080551C">
              <w:rPr>
                <w:lang w:val="fr-FR"/>
              </w:rPr>
              <w:t>5</w:t>
            </w:r>
          </w:p>
        </w:tc>
        <w:tc>
          <w:tcPr>
            <w:tcW w:type="dxa" w:w="1968"/>
            <w:hideMark/>
          </w:tcPr>
          <w:p w14:paraId="0B0586EB" w14:textId="77777777" w:rsidP="007F03AB" w:rsidR="0080551C" w:rsidRDefault="0080551C" w:rsidRPr="0080551C">
            <w:pPr>
              <w:jc w:val="center"/>
              <w:rPr>
                <w:lang w:val="fr-FR"/>
              </w:rPr>
            </w:pPr>
            <w:r w:rsidRPr="0080551C">
              <w:rPr>
                <w:lang w:val="fr-FR"/>
              </w:rPr>
              <w:t>5</w:t>
            </w:r>
          </w:p>
        </w:tc>
        <w:tc>
          <w:tcPr>
            <w:tcW w:type="dxa" w:w="1968"/>
            <w:hideMark/>
          </w:tcPr>
          <w:p w14:paraId="6E1594CC" w14:textId="77777777" w:rsidP="007F03AB" w:rsidR="0080551C" w:rsidRDefault="0080551C" w:rsidRPr="0080551C">
            <w:pPr>
              <w:jc w:val="center"/>
              <w:rPr>
                <w:lang w:val="fr-FR"/>
              </w:rPr>
            </w:pPr>
            <w:r w:rsidRPr="0080551C">
              <w:rPr>
                <w:lang w:val="fr-FR"/>
              </w:rPr>
              <w:t>3</w:t>
            </w:r>
          </w:p>
        </w:tc>
      </w:tr>
      <w:tr w14:paraId="567BBD18" w14:textId="77777777" w:rsidR="007F03AB" w:rsidRPr="0080551C" w:rsidTr="002D4F3B">
        <w:trPr>
          <w:trHeight w:val="474"/>
        </w:trPr>
        <w:tc>
          <w:tcPr>
            <w:tcW w:type="dxa" w:w="2560"/>
            <w:hideMark/>
          </w:tcPr>
          <w:p w14:paraId="3AAE6E28" w14:textId="1DB04B65" w:rsidP="007F03AB" w:rsidR="0080551C" w:rsidRDefault="007F03AB" w:rsidRPr="0080551C">
            <w:pPr>
              <w:rPr>
                <w:lang w:val="fr-FR"/>
              </w:rPr>
            </w:pPr>
            <w:r>
              <w:rPr>
                <w:lang w:val="fr-FR"/>
              </w:rPr>
              <w:t xml:space="preserve">D = doit </w:t>
            </w:r>
            <w:r w:rsidR="002D4F3B">
              <w:rPr>
                <w:lang w:val="fr-FR"/>
              </w:rPr>
              <w:t xml:space="preserve">se développer et </w:t>
            </w:r>
            <w:r w:rsidRPr="002D4F3B">
              <w:rPr>
                <w:lang w:val="fr-FR"/>
              </w:rPr>
              <w:t>progresser</w:t>
            </w:r>
            <w:r w:rsidR="008D0AA3" w:rsidRPr="002D4F3B">
              <w:rPr>
                <w:lang w:val="fr-FR"/>
              </w:rPr>
              <w:t xml:space="preserve"> </w:t>
            </w:r>
            <w:r w:rsidR="002D4F3B" w:rsidRPr="002D4F3B">
              <w:rPr>
                <w:lang w:val="fr-FR"/>
              </w:rPr>
              <w:t>dans sa contribution</w:t>
            </w:r>
          </w:p>
        </w:tc>
        <w:tc>
          <w:tcPr>
            <w:tcW w:type="dxa" w:w="1969"/>
            <w:hideMark/>
          </w:tcPr>
          <w:p w14:paraId="50C4D4E3" w14:textId="77777777" w:rsidP="007F03AB" w:rsidR="0080551C" w:rsidRDefault="0080551C" w:rsidRPr="0080551C">
            <w:pPr>
              <w:jc w:val="center"/>
              <w:rPr>
                <w:lang w:val="fr-FR"/>
              </w:rPr>
            </w:pPr>
            <w:r w:rsidRPr="0080551C">
              <w:rPr>
                <w:lang w:val="fr-FR"/>
              </w:rPr>
              <w:t>1</w:t>
            </w:r>
          </w:p>
        </w:tc>
        <w:tc>
          <w:tcPr>
            <w:tcW w:type="dxa" w:w="1968"/>
            <w:hideMark/>
          </w:tcPr>
          <w:p w14:paraId="2A27F8EF" w14:textId="77777777" w:rsidP="007F03AB" w:rsidR="0080551C" w:rsidRDefault="0080551C" w:rsidRPr="0080551C">
            <w:pPr>
              <w:jc w:val="center"/>
              <w:rPr>
                <w:lang w:val="fr-FR"/>
              </w:rPr>
            </w:pPr>
            <w:r w:rsidRPr="0080551C">
              <w:rPr>
                <w:lang w:val="fr-FR"/>
              </w:rPr>
              <w:t>1</w:t>
            </w:r>
          </w:p>
        </w:tc>
        <w:tc>
          <w:tcPr>
            <w:tcW w:type="dxa" w:w="1968"/>
            <w:hideMark/>
          </w:tcPr>
          <w:p w14:paraId="5A85B4F3" w14:textId="0278E1EF" w:rsidP="007F03AB" w:rsidR="0080551C" w:rsidRDefault="0059551F" w:rsidRPr="0080551C">
            <w:pPr>
              <w:jc w:val="center"/>
              <w:rPr>
                <w:lang w:val="fr-FR"/>
              </w:rPr>
            </w:pPr>
            <w:r>
              <w:rPr>
                <w:lang w:val="fr-FR"/>
              </w:rPr>
              <w:t>1</w:t>
            </w:r>
          </w:p>
        </w:tc>
      </w:tr>
    </w:tbl>
    <w:p w14:paraId="08F2402F" w14:textId="509508E4" w:rsidP="004B4C46" w:rsidR="0080551C" w:rsidRDefault="0080551C">
      <w:pPr>
        <w:jc w:val="both"/>
        <w:rPr>
          <w:lang w:val="fr-FR"/>
        </w:rPr>
      </w:pPr>
    </w:p>
    <w:p w14:paraId="0082E70D" w14:textId="38E6977E" w:rsidP="004B4C46" w:rsidR="0080551C" w:rsidRDefault="0080551C">
      <w:pPr>
        <w:jc w:val="both"/>
        <w:rPr>
          <w:lang w:val="fr-FR"/>
        </w:rPr>
      </w:pPr>
    </w:p>
    <w:p w14:paraId="67038C30" w14:textId="662B2EC4" w:rsidP="007F03AB" w:rsidR="007F03AB" w:rsidRDefault="007F03AB" w:rsidRPr="00074B98">
      <w:pPr>
        <w:ind w:left="720"/>
        <w:jc w:val="both"/>
        <w:rPr>
          <w:lang w:val="fr-FR"/>
        </w:rPr>
      </w:pPr>
      <w:r w:rsidRPr="007F03AB">
        <w:rPr>
          <w:lang w:val="fr-FR"/>
        </w:rPr>
        <w:t xml:space="preserve">Afin de protéger les plus bas salaires, un point </w:t>
      </w:r>
      <w:r w:rsidR="00663A0F">
        <w:rPr>
          <w:lang w:val="fr-FR"/>
        </w:rPr>
        <w:t>de coefficient</w:t>
      </w:r>
      <w:r w:rsidR="00663A0F" w:rsidRPr="007F03AB">
        <w:rPr>
          <w:lang w:val="fr-FR"/>
        </w:rPr>
        <w:t xml:space="preserve"> </w:t>
      </w:r>
      <w:r w:rsidRPr="007F03AB">
        <w:rPr>
          <w:lang w:val="fr-FR"/>
        </w:rPr>
        <w:t>supplémentaire sera accordé pour les salaires de base (hors primes) dont le montant brut mensuel est inférieur à 2 000€ par mois</w:t>
      </w:r>
      <w:r w:rsidR="002D4F3B">
        <w:rPr>
          <w:lang w:val="fr-FR"/>
        </w:rPr>
        <w:t xml:space="preserve"> au 31 mars 2022</w:t>
      </w:r>
      <w:r w:rsidRPr="007F03AB">
        <w:rPr>
          <w:lang w:val="fr-FR"/>
        </w:rPr>
        <w:t>.</w:t>
      </w:r>
    </w:p>
    <w:p w14:paraId="6D2607BB" w14:textId="0E260600" w:rsidP="007F03AB" w:rsidR="007F03AB" w:rsidRDefault="007F03AB">
      <w:pPr>
        <w:ind w:left="720"/>
        <w:jc w:val="both"/>
        <w:rPr>
          <w:lang w:val="fr-FR"/>
        </w:rPr>
      </w:pPr>
    </w:p>
    <w:p w14:paraId="63C0EB70" w14:textId="02B114CC" w:rsidP="0094290A" w:rsidR="007F03AB" w:rsidRDefault="00BE64B3">
      <w:pPr>
        <w:ind w:left="720"/>
        <w:jc w:val="both"/>
        <w:rPr>
          <w:lang w:val="fr-FR"/>
        </w:rPr>
      </w:pPr>
      <w:r>
        <w:rPr>
          <w:lang w:val="fr-FR"/>
        </w:rPr>
        <w:lastRenderedPageBreak/>
        <w:t>En ca</w:t>
      </w:r>
      <w:r w:rsidR="0094290A">
        <w:rPr>
          <w:lang w:val="fr-FR"/>
        </w:rPr>
        <w:t xml:space="preserve">s de budget </w:t>
      </w:r>
      <w:r w:rsidR="005105DB">
        <w:rPr>
          <w:lang w:val="fr-FR"/>
        </w:rPr>
        <w:t>résiduel</w:t>
      </w:r>
      <w:r w:rsidR="00305984">
        <w:rPr>
          <w:lang w:val="fr-FR"/>
        </w:rPr>
        <w:t>,</w:t>
      </w:r>
      <w:r w:rsidR="0094290A">
        <w:rPr>
          <w:lang w:val="fr-FR"/>
        </w:rPr>
        <w:t xml:space="preserve"> </w:t>
      </w:r>
      <w:r w:rsidR="005105DB">
        <w:rPr>
          <w:lang w:val="fr-FR"/>
        </w:rPr>
        <w:t>après</w:t>
      </w:r>
      <w:r w:rsidR="0094290A">
        <w:rPr>
          <w:lang w:val="fr-FR"/>
        </w:rPr>
        <w:t xml:space="preserve"> l’application de la grille ci-dessus, des points supplémentaires pourront être attribués</w:t>
      </w:r>
      <w:r w:rsidR="009B4968">
        <w:rPr>
          <w:lang w:val="fr-FR"/>
        </w:rPr>
        <w:t xml:space="preserve"> pour reconnaitre une très bonne performance, </w:t>
      </w:r>
      <w:r w:rsidR="0094290A" w:rsidRPr="0094290A">
        <w:rPr>
          <w:lang w:val="fr-FR"/>
        </w:rPr>
        <w:t>sur recommandation des managers.</w:t>
      </w:r>
    </w:p>
    <w:p w14:paraId="7557AB1E" w14:textId="06ACCE2F" w:rsidP="007F03AB" w:rsidR="007F03AB" w:rsidRDefault="007F03AB">
      <w:pPr>
        <w:ind w:left="720"/>
        <w:jc w:val="both"/>
        <w:rPr>
          <w:lang w:val="fr-FR"/>
        </w:rPr>
      </w:pPr>
    </w:p>
    <w:p w14:paraId="4586431C" w14:textId="77777777" w:rsidP="00290468" w:rsidR="00290468" w:rsidRDefault="00290468" w:rsidRPr="00264188">
      <w:pPr>
        <w:ind w:left="720"/>
        <w:jc w:val="both"/>
        <w:rPr>
          <w:bCs/>
          <w:lang w:val="fr-FR"/>
        </w:rPr>
      </w:pPr>
      <w:r w:rsidRPr="00264188">
        <w:rPr>
          <w:bCs/>
          <w:lang w:val="fr-FR"/>
        </w:rPr>
        <w:t>Ces augmentations individuelles seront effectives au 1er avril 2022.</w:t>
      </w:r>
    </w:p>
    <w:p w14:paraId="19CF6C9B" w14:textId="77777777" w:rsidP="007F03AB" w:rsidR="00290468" w:rsidRDefault="00290468">
      <w:pPr>
        <w:ind w:left="720"/>
        <w:jc w:val="both"/>
        <w:rPr>
          <w:lang w:val="fr-FR"/>
        </w:rPr>
      </w:pPr>
    </w:p>
    <w:p w14:paraId="06BEA4DF" w14:textId="4B8F5A77" w:rsidP="0094290A" w:rsidR="0094290A" w:rsidRDefault="0094290A">
      <w:pPr>
        <w:ind w:left="720"/>
        <w:jc w:val="both"/>
        <w:rPr>
          <w:lang w:val="fr-FR"/>
        </w:rPr>
      </w:pPr>
      <w:r>
        <w:rPr>
          <w:lang w:val="fr-FR"/>
        </w:rPr>
        <w:t xml:space="preserve">Dans le cadre de la consultation annuelle sur la politique sociale, il pourra être vérifié que l’entreprise a bien augmenté </w:t>
      </w:r>
      <w:r w:rsidR="00BA6AD0">
        <w:rPr>
          <w:lang w:val="fr-FR"/>
        </w:rPr>
        <w:t>ses salaires</w:t>
      </w:r>
      <w:r>
        <w:rPr>
          <w:lang w:val="fr-FR"/>
        </w:rPr>
        <w:t xml:space="preserve"> de base de 2,5%. </w:t>
      </w:r>
    </w:p>
    <w:p w14:paraId="664351F7" w14:textId="3FAC5941" w:rsidP="0094290A" w:rsidR="00290468" w:rsidRDefault="00290468">
      <w:pPr>
        <w:ind w:left="720"/>
        <w:jc w:val="both"/>
        <w:rPr>
          <w:lang w:val="fr-FR"/>
        </w:rPr>
      </w:pPr>
    </w:p>
    <w:p w14:paraId="7431A63C" w14:textId="5AC7A2FA" w:rsidP="004B4C46" w:rsidR="004B4C46" w:rsidRDefault="004B4C46">
      <w:pPr>
        <w:jc w:val="both"/>
        <w:rPr>
          <w:lang w:val="fr-FR"/>
        </w:rPr>
      </w:pPr>
    </w:p>
    <w:p w14:paraId="2FC338D2" w14:textId="77777777" w:rsidP="004B4C46" w:rsidR="004B4C46" w:rsidRDefault="004B4C46" w:rsidRPr="00163B94">
      <w:pPr>
        <w:jc w:val="both"/>
        <w:rPr>
          <w:lang w:val="fr-FR"/>
        </w:rPr>
      </w:pPr>
    </w:p>
    <w:p w14:paraId="6F678EDA" w14:textId="77777777" w:rsidP="004B4C46" w:rsidR="004B4C46" w:rsidRDefault="004B4C46">
      <w:pPr>
        <w:jc w:val="both"/>
        <w:rPr>
          <w:b/>
          <w:lang w:val="fr-FR"/>
        </w:rPr>
      </w:pPr>
      <w:r w:rsidRPr="00163B94">
        <w:rPr>
          <w:b/>
          <w:lang w:val="fr-FR"/>
        </w:rPr>
        <w:t>Article 2 - Dispositions relatives aux cadres</w:t>
      </w:r>
    </w:p>
    <w:p w14:paraId="72E034BB" w14:textId="77777777" w:rsidP="004B4C46" w:rsidR="004B4C46" w:rsidRDefault="004B4C46">
      <w:pPr>
        <w:jc w:val="both"/>
        <w:rPr>
          <w:b/>
          <w:lang w:val="fr-FR"/>
        </w:rPr>
      </w:pPr>
    </w:p>
    <w:p w14:paraId="1E53EDBC" w14:textId="4B1E4470" w:rsidP="007F03AB" w:rsidR="004B4C46" w:rsidRDefault="004B4C46" w:rsidRPr="00F93B82">
      <w:pPr>
        <w:ind w:firstLine="720"/>
        <w:jc w:val="both"/>
        <w:rPr>
          <w:b/>
          <w:lang w:val="fr-FR"/>
        </w:rPr>
      </w:pPr>
      <w:r w:rsidRPr="00F93B82">
        <w:rPr>
          <w:b/>
          <w:lang w:val="fr-FR"/>
        </w:rPr>
        <w:t xml:space="preserve">A </w:t>
      </w:r>
      <w:r w:rsidR="007F03AB">
        <w:rPr>
          <w:b/>
          <w:lang w:val="fr-FR"/>
        </w:rPr>
        <w:t xml:space="preserve">- </w:t>
      </w:r>
      <w:r w:rsidRPr="00F93B82">
        <w:rPr>
          <w:b/>
          <w:lang w:val="fr-FR"/>
        </w:rPr>
        <w:t>Enveloppe d’augmentation de la masse salariale</w:t>
      </w:r>
    </w:p>
    <w:p w14:paraId="14D40C42" w14:textId="77777777" w:rsidP="004B4C46" w:rsidR="004B4C46" w:rsidRDefault="004B4C46" w:rsidRPr="00163B94">
      <w:pPr>
        <w:jc w:val="both"/>
        <w:rPr>
          <w:b/>
          <w:u w:val="single"/>
          <w:lang w:val="fr-FR"/>
        </w:rPr>
      </w:pPr>
    </w:p>
    <w:p w14:paraId="25E6F3FB" w14:textId="16EDBF52" w:rsidP="007F03AB" w:rsidR="004B4C46" w:rsidRDefault="004B4C46" w:rsidRPr="00163B94">
      <w:pPr>
        <w:ind w:left="720"/>
        <w:jc w:val="both"/>
        <w:rPr>
          <w:lang w:val="fr-FR"/>
        </w:rPr>
      </w:pPr>
      <w:r>
        <w:rPr>
          <w:lang w:val="fr-FR"/>
        </w:rPr>
        <w:t>L</w:t>
      </w:r>
      <w:r w:rsidRPr="00163B94">
        <w:rPr>
          <w:lang w:val="fr-FR"/>
        </w:rPr>
        <w:t>es parties conviennent</w:t>
      </w:r>
      <w:r>
        <w:rPr>
          <w:lang w:val="fr-FR"/>
        </w:rPr>
        <w:t xml:space="preserve">, pour l’année </w:t>
      </w:r>
      <w:r w:rsidR="00BE64B3">
        <w:rPr>
          <w:lang w:val="fr-FR"/>
        </w:rPr>
        <w:t>2022</w:t>
      </w:r>
      <w:r>
        <w:rPr>
          <w:lang w:val="fr-FR"/>
        </w:rPr>
        <w:t>,</w:t>
      </w:r>
      <w:r w:rsidRPr="00163B94">
        <w:rPr>
          <w:lang w:val="fr-FR"/>
        </w:rPr>
        <w:t xml:space="preserve"> d’une enveloppe d’augmentation d’un montant global correspondant à </w:t>
      </w:r>
      <w:r>
        <w:rPr>
          <w:lang w:val="fr-FR"/>
        </w:rPr>
        <w:t xml:space="preserve">2,5 </w:t>
      </w:r>
      <w:r w:rsidRPr="00163B94">
        <w:rPr>
          <w:lang w:val="fr-FR"/>
        </w:rPr>
        <w:t xml:space="preserve">% </w:t>
      </w:r>
      <w:r w:rsidR="003070D4">
        <w:rPr>
          <w:lang w:val="fr-FR"/>
        </w:rPr>
        <w:t>des salaires de base</w:t>
      </w:r>
      <w:r>
        <w:rPr>
          <w:lang w:val="fr-FR"/>
        </w:rPr>
        <w:t xml:space="preserve"> des cadres.</w:t>
      </w:r>
    </w:p>
    <w:p w14:paraId="282A99E9" w14:textId="77777777" w:rsidP="007F03AB" w:rsidR="004B4C46" w:rsidRDefault="004B4C46" w:rsidRPr="00163B94">
      <w:pPr>
        <w:ind w:left="720"/>
        <w:jc w:val="both"/>
        <w:rPr>
          <w:lang w:val="fr-FR"/>
        </w:rPr>
      </w:pPr>
    </w:p>
    <w:p w14:paraId="2F014579" w14:textId="0CE635EA" w:rsidP="007F03AB" w:rsidR="0094290A" w:rsidRDefault="008376BE">
      <w:pPr>
        <w:ind w:left="720"/>
        <w:jc w:val="both"/>
        <w:rPr>
          <w:lang w:val="fr-FR"/>
        </w:rPr>
      </w:pPr>
      <w:r w:rsidRPr="008376BE">
        <w:rPr>
          <w:lang w:val="fr-FR"/>
        </w:rPr>
        <w:t>Sont exclues de cette enveloppe d’augmentation</w:t>
      </w:r>
      <w:r w:rsidR="00305984">
        <w:rPr>
          <w:lang w:val="fr-FR"/>
        </w:rPr>
        <w:t>,</w:t>
      </w:r>
      <w:r w:rsidRPr="008376BE">
        <w:rPr>
          <w:lang w:val="fr-FR"/>
        </w:rPr>
        <w:t xml:space="preserve"> les augmentations résultant de promotions et de certifications ainsi que celles liées aux objectifs </w:t>
      </w:r>
      <w:r w:rsidR="00305984">
        <w:rPr>
          <w:lang w:val="fr-FR"/>
        </w:rPr>
        <w:t>de</w:t>
      </w:r>
      <w:r w:rsidRPr="008376BE">
        <w:rPr>
          <w:lang w:val="fr-FR"/>
        </w:rPr>
        <w:t xml:space="preserve"> couverture d’égalité salariale qui auront lieu au cours de l’année 2022.</w:t>
      </w:r>
    </w:p>
    <w:p w14:paraId="56481F83" w14:textId="27EDCEC4" w:rsidP="007F03AB" w:rsidR="008376BE" w:rsidRDefault="008376BE">
      <w:pPr>
        <w:ind w:left="720"/>
        <w:jc w:val="both"/>
        <w:rPr>
          <w:lang w:val="fr-FR"/>
        </w:rPr>
      </w:pPr>
    </w:p>
    <w:p w14:paraId="2619A640" w14:textId="77777777" w:rsidP="00305984" w:rsidR="00305984" w:rsidRDefault="00305984">
      <w:pPr>
        <w:ind w:left="720"/>
        <w:jc w:val="both"/>
        <w:rPr>
          <w:lang w:val="fr-FR"/>
        </w:rPr>
      </w:pPr>
      <w:r w:rsidRPr="009B4968">
        <w:rPr>
          <w:lang w:val="fr-FR"/>
        </w:rPr>
        <w:t>Afin de rester compétitif sur le marché et continuer à retenir et attirer les talents, plusieurs fourchettes de salaire</w:t>
      </w:r>
      <w:r>
        <w:rPr>
          <w:lang w:val="fr-FR"/>
        </w:rPr>
        <w:t xml:space="preserve"> présentées par la Direction</w:t>
      </w:r>
      <w:r w:rsidRPr="009B4968">
        <w:rPr>
          <w:lang w:val="fr-FR"/>
        </w:rPr>
        <w:t xml:space="preserve"> sont augmentées</w:t>
      </w:r>
      <w:r>
        <w:rPr>
          <w:lang w:val="fr-FR"/>
        </w:rPr>
        <w:t xml:space="preserve"> au 1</w:t>
      </w:r>
      <w:r w:rsidRPr="00305984">
        <w:rPr>
          <w:vertAlign w:val="superscript"/>
          <w:lang w:val="fr-FR"/>
        </w:rPr>
        <w:t>er</w:t>
      </w:r>
      <w:r>
        <w:rPr>
          <w:lang w:val="fr-FR"/>
        </w:rPr>
        <w:t xml:space="preserve"> janvier 2022 (annexe).</w:t>
      </w:r>
    </w:p>
    <w:p w14:paraId="04EE2973" w14:textId="410BA46A" w:rsidP="0094290A" w:rsidR="0094290A" w:rsidRDefault="0094290A">
      <w:pPr>
        <w:ind w:left="720"/>
        <w:jc w:val="both"/>
        <w:rPr>
          <w:lang w:val="fr-FR"/>
        </w:rPr>
      </w:pPr>
    </w:p>
    <w:p w14:paraId="20BE4A84" w14:textId="77777777" w:rsidP="004B4C46" w:rsidR="00BE64B3" w:rsidRDefault="00BE64B3">
      <w:pPr>
        <w:jc w:val="both"/>
        <w:rPr>
          <w:lang w:val="fr-FR"/>
        </w:rPr>
      </w:pPr>
    </w:p>
    <w:p w14:paraId="7B9208F5" w14:textId="2A38EAD0" w:rsidP="00BE64B3" w:rsidR="004B4C46" w:rsidRDefault="00BE64B3" w:rsidRPr="00EB6098">
      <w:pPr>
        <w:ind w:firstLine="720"/>
        <w:rPr>
          <w:b/>
          <w:lang w:val="fr-FR"/>
        </w:rPr>
      </w:pPr>
      <w:r>
        <w:rPr>
          <w:b/>
          <w:lang w:val="fr-FR"/>
        </w:rPr>
        <w:t xml:space="preserve">B - </w:t>
      </w:r>
      <w:r w:rsidR="004B4C46" w:rsidRPr="00EB6098">
        <w:rPr>
          <w:b/>
          <w:lang w:val="fr-FR"/>
        </w:rPr>
        <w:t>Attribution des augmentations</w:t>
      </w:r>
      <w:r w:rsidR="004B4C46">
        <w:rPr>
          <w:b/>
          <w:lang w:val="fr-FR"/>
        </w:rPr>
        <w:t xml:space="preserve"> </w:t>
      </w:r>
    </w:p>
    <w:p w14:paraId="2C6EABA5" w14:textId="77777777" w:rsidP="004B4C46" w:rsidR="004B4C46" w:rsidRDefault="004B4C46" w:rsidRPr="00163B94">
      <w:pPr>
        <w:jc w:val="both"/>
        <w:rPr>
          <w:lang w:val="fr-FR"/>
        </w:rPr>
      </w:pPr>
    </w:p>
    <w:p w14:paraId="2D139751" w14:textId="6863BFBF" w:rsidP="00BE64B3" w:rsidR="00BE64B3" w:rsidRDefault="00BE64B3">
      <w:pPr>
        <w:ind w:left="720"/>
        <w:jc w:val="both"/>
        <w:rPr>
          <w:lang w:val="fr-FR"/>
        </w:rPr>
      </w:pPr>
      <w:r>
        <w:rPr>
          <w:lang w:val="fr-FR"/>
        </w:rPr>
        <w:t xml:space="preserve">L’attribution de cette augmentation se fera </w:t>
      </w:r>
      <w:r w:rsidR="0094290A">
        <w:rPr>
          <w:lang w:val="fr-FR"/>
        </w:rPr>
        <w:t>en pourcentage appliqué au salaire de base brut</w:t>
      </w:r>
      <w:r>
        <w:rPr>
          <w:lang w:val="fr-FR"/>
        </w:rPr>
        <w:t xml:space="preserve">, en fonction de la performance évaluée au titre de l’année 2021 et </w:t>
      </w:r>
      <w:r w:rsidR="0094290A">
        <w:rPr>
          <w:lang w:val="fr-FR"/>
        </w:rPr>
        <w:t>du</w:t>
      </w:r>
      <w:r>
        <w:rPr>
          <w:lang w:val="fr-FR"/>
        </w:rPr>
        <w:t xml:space="preserve"> positionnement salarial, selon </w:t>
      </w:r>
      <w:r w:rsidR="009B4968">
        <w:rPr>
          <w:lang w:val="fr-FR"/>
        </w:rPr>
        <w:t>la grille</w:t>
      </w:r>
      <w:r w:rsidR="00290468">
        <w:rPr>
          <w:lang w:val="fr-FR"/>
        </w:rPr>
        <w:t xml:space="preserve"> </w:t>
      </w:r>
      <w:r>
        <w:rPr>
          <w:lang w:val="fr-FR"/>
        </w:rPr>
        <w:t xml:space="preserve"> ci-dessous :</w:t>
      </w:r>
    </w:p>
    <w:p w14:paraId="752B2A40" w14:textId="1400C3E0" w:rsidP="00BE64B3" w:rsidR="00290468" w:rsidRDefault="00290468">
      <w:pPr>
        <w:ind w:left="720"/>
        <w:jc w:val="both"/>
        <w:rPr>
          <w:lang w:val="fr-FR"/>
        </w:rPr>
      </w:pPr>
    </w:p>
    <w:tbl>
      <w:tblPr>
        <w:tblStyle w:val="Grilledutableau"/>
        <w:tblW w:type="dxa" w:w="7819"/>
        <w:jc w:val="center"/>
        <w:tblLook w:firstColumn="0" w:firstRow="1" w:lastColumn="0" w:lastRow="0" w:noHBand="0" w:noVBand="1" w:val="0420"/>
      </w:tblPr>
      <w:tblGrid>
        <w:gridCol w:w="3285"/>
        <w:gridCol w:w="2267"/>
        <w:gridCol w:w="2267"/>
      </w:tblGrid>
      <w:tr w14:paraId="37EEA65B" w14:textId="77777777" w:rsidR="00BE64B3" w:rsidRPr="00BE64B3" w:rsidTr="009B4968">
        <w:trPr>
          <w:trHeight w:val="474"/>
          <w:jc w:val="center"/>
        </w:trPr>
        <w:tc>
          <w:tcPr>
            <w:tcW w:type="dxa" w:w="3285"/>
            <w:hideMark/>
          </w:tcPr>
          <w:p w14:paraId="390ED9B6" w14:textId="7B9ACBB7" w:rsidP="00BE64B3" w:rsidR="00BE64B3" w:rsidRDefault="00BE64B3" w:rsidRPr="00BE64B3">
            <w:pPr>
              <w:jc w:val="both"/>
              <w:rPr>
                <w:lang w:val="fr-FR"/>
              </w:rPr>
            </w:pPr>
          </w:p>
        </w:tc>
        <w:tc>
          <w:tcPr>
            <w:tcW w:type="dxa" w:w="2267"/>
            <w:hideMark/>
          </w:tcPr>
          <w:p w14:paraId="19245838" w14:textId="71103E08" w:rsidP="00BE64B3" w:rsidR="00BE64B3" w:rsidRDefault="00BE64B3">
            <w:pPr>
              <w:jc w:val="center"/>
              <w:rPr>
                <w:lang w:val="fr-FR"/>
              </w:rPr>
            </w:pPr>
            <w:r>
              <w:rPr>
                <w:lang w:val="fr-FR"/>
              </w:rPr>
              <w:t>En</w:t>
            </w:r>
            <w:r w:rsidR="001237E1">
              <w:rPr>
                <w:lang w:val="fr-FR"/>
              </w:rPr>
              <w:t>-</w:t>
            </w:r>
            <w:r>
              <w:rPr>
                <w:lang w:val="fr-FR"/>
              </w:rPr>
              <w:t>dessous et</w:t>
            </w:r>
          </w:p>
          <w:p w14:paraId="09C2E72C" w14:textId="4F29E315" w:rsidP="00BE64B3" w:rsidR="00BE64B3" w:rsidRDefault="00BE64B3" w:rsidRPr="00BE64B3">
            <w:pPr>
              <w:jc w:val="center"/>
              <w:rPr>
                <w:lang w:val="fr-FR"/>
              </w:rPr>
            </w:pPr>
            <w:r>
              <w:rPr>
                <w:lang w:val="fr-FR"/>
              </w:rPr>
              <w:t>au marché</w:t>
            </w:r>
          </w:p>
        </w:tc>
        <w:tc>
          <w:tcPr>
            <w:tcW w:type="dxa" w:w="2267"/>
            <w:hideMark/>
          </w:tcPr>
          <w:p w14:paraId="152B447A" w14:textId="1728A3E8" w:rsidP="00BE64B3" w:rsidR="00BE64B3" w:rsidRDefault="00BE64B3" w:rsidRPr="00BE64B3">
            <w:pPr>
              <w:jc w:val="center"/>
              <w:rPr>
                <w:lang w:val="fr-FR"/>
              </w:rPr>
            </w:pPr>
            <w:r>
              <w:rPr>
                <w:lang w:val="fr-FR"/>
              </w:rPr>
              <w:t>Au</w:t>
            </w:r>
            <w:r w:rsidR="001237E1">
              <w:rPr>
                <w:lang w:val="fr-FR"/>
              </w:rPr>
              <w:t>-</w:t>
            </w:r>
            <w:r>
              <w:rPr>
                <w:lang w:val="fr-FR"/>
              </w:rPr>
              <w:t>dessus du marché</w:t>
            </w:r>
          </w:p>
        </w:tc>
      </w:tr>
      <w:tr w14:paraId="0F42E7C1" w14:textId="77777777" w:rsidR="00BE64B3" w:rsidRPr="00BE64B3" w:rsidTr="009B4968">
        <w:trPr>
          <w:trHeight w:val="474"/>
          <w:jc w:val="center"/>
        </w:trPr>
        <w:tc>
          <w:tcPr>
            <w:tcW w:type="dxa" w:w="3285"/>
            <w:hideMark/>
          </w:tcPr>
          <w:p w14:paraId="357C881F" w14:textId="75B771A9" w:rsidP="00BE64B3" w:rsidR="00BE64B3" w:rsidRDefault="00BE64B3">
            <w:pPr>
              <w:rPr>
                <w:lang w:val="fr-FR"/>
              </w:rPr>
            </w:pPr>
            <w:r>
              <w:rPr>
                <w:lang w:val="fr-FR"/>
              </w:rPr>
              <w:t xml:space="preserve">E = </w:t>
            </w:r>
            <w:r w:rsidR="005F0F1E">
              <w:rPr>
                <w:lang w:val="fr-FR"/>
              </w:rPr>
              <w:t xml:space="preserve">contribue de manière </w:t>
            </w:r>
            <w:r>
              <w:rPr>
                <w:lang w:val="fr-FR"/>
              </w:rPr>
              <w:t>exceptionnel</w:t>
            </w:r>
            <w:r w:rsidR="005F0F1E">
              <w:rPr>
                <w:lang w:val="fr-FR"/>
              </w:rPr>
              <w:t>le</w:t>
            </w:r>
          </w:p>
          <w:p w14:paraId="5970C713" w14:textId="267DA449" w:rsidP="00BE64B3" w:rsidR="00BE64B3" w:rsidRDefault="00BE64B3" w:rsidRPr="00BE64B3">
            <w:pPr>
              <w:rPr>
                <w:lang w:val="fr-FR"/>
              </w:rPr>
            </w:pPr>
            <w:r>
              <w:rPr>
                <w:lang w:val="fr-FR"/>
              </w:rPr>
              <w:t>C = contribue avec succès</w:t>
            </w:r>
          </w:p>
        </w:tc>
        <w:tc>
          <w:tcPr>
            <w:tcW w:type="dxa" w:w="2267"/>
            <w:vAlign w:val="center"/>
            <w:hideMark/>
          </w:tcPr>
          <w:p w14:paraId="569211D2" w14:textId="4BC61FD0" w:rsidP="00EF151E" w:rsidR="00BE64B3" w:rsidRDefault="00BE64B3" w:rsidRPr="00BE64B3">
            <w:pPr>
              <w:jc w:val="center"/>
              <w:rPr>
                <w:lang w:val="fr-FR"/>
              </w:rPr>
            </w:pPr>
            <w:r w:rsidRPr="00BE64B3">
              <w:rPr>
                <w:lang w:val="fr-FR"/>
              </w:rPr>
              <w:t>2%</w:t>
            </w:r>
          </w:p>
        </w:tc>
        <w:tc>
          <w:tcPr>
            <w:tcW w:type="dxa" w:w="2267"/>
            <w:vAlign w:val="center"/>
            <w:hideMark/>
          </w:tcPr>
          <w:p w14:paraId="3CC29109" w14:textId="59CF3091" w:rsidP="00EF151E" w:rsidR="00BE64B3" w:rsidRDefault="00BE64B3" w:rsidRPr="00BE64B3">
            <w:pPr>
              <w:jc w:val="center"/>
              <w:rPr>
                <w:lang w:val="fr-FR"/>
              </w:rPr>
            </w:pPr>
            <w:r w:rsidRPr="00BE64B3">
              <w:rPr>
                <w:lang w:val="fr-FR"/>
              </w:rPr>
              <w:t>1%</w:t>
            </w:r>
          </w:p>
        </w:tc>
      </w:tr>
      <w:tr w14:paraId="53AE5932" w14:textId="77777777" w:rsidR="00BE64B3" w:rsidRPr="00BE64B3" w:rsidTr="009B4968">
        <w:trPr>
          <w:trHeight w:val="474"/>
          <w:jc w:val="center"/>
        </w:trPr>
        <w:tc>
          <w:tcPr>
            <w:tcW w:type="dxa" w:w="3285"/>
            <w:hideMark/>
          </w:tcPr>
          <w:p w14:paraId="14C196A8" w14:textId="29FEA545" w:rsidP="00BE64B3" w:rsidR="00BE64B3" w:rsidRDefault="00BE64B3" w:rsidRPr="00BE64B3">
            <w:pPr>
              <w:rPr>
                <w:lang w:val="fr-FR"/>
              </w:rPr>
            </w:pPr>
            <w:r>
              <w:rPr>
                <w:lang w:val="fr-FR"/>
              </w:rPr>
              <w:t xml:space="preserve">D =  </w:t>
            </w:r>
            <w:r w:rsidR="002D4F3B">
              <w:rPr>
                <w:lang w:val="fr-FR"/>
              </w:rPr>
              <w:t xml:space="preserve">doit se développer et </w:t>
            </w:r>
            <w:r w:rsidR="002D4F3B" w:rsidRPr="002D4F3B">
              <w:rPr>
                <w:lang w:val="fr-FR"/>
              </w:rPr>
              <w:t>progresser dans sa contribution</w:t>
            </w:r>
          </w:p>
        </w:tc>
        <w:tc>
          <w:tcPr>
            <w:tcW w:type="dxa" w:w="2267"/>
            <w:vAlign w:val="center"/>
            <w:hideMark/>
          </w:tcPr>
          <w:p w14:paraId="61BD5FB4" w14:textId="3E7CC0FD" w:rsidP="00EF151E" w:rsidR="00BE64B3" w:rsidRDefault="00BE64B3" w:rsidRPr="00BE64B3">
            <w:pPr>
              <w:jc w:val="center"/>
              <w:rPr>
                <w:lang w:val="fr-FR"/>
              </w:rPr>
            </w:pPr>
            <w:r w:rsidRPr="00BE64B3">
              <w:rPr>
                <w:lang w:val="fr-FR"/>
              </w:rPr>
              <w:t>0%</w:t>
            </w:r>
            <w:r w:rsidR="00A2408B">
              <w:rPr>
                <w:lang w:val="fr-FR"/>
              </w:rPr>
              <w:t xml:space="preserve"> - 1%</w:t>
            </w:r>
          </w:p>
        </w:tc>
        <w:tc>
          <w:tcPr>
            <w:tcW w:type="dxa" w:w="2267"/>
            <w:vAlign w:val="center"/>
            <w:hideMark/>
          </w:tcPr>
          <w:p w14:paraId="390D70D4" w14:textId="77777777" w:rsidP="00EF151E" w:rsidR="00BE64B3" w:rsidRDefault="00BE64B3" w:rsidRPr="00BE64B3">
            <w:pPr>
              <w:jc w:val="center"/>
              <w:rPr>
                <w:lang w:val="fr-FR"/>
              </w:rPr>
            </w:pPr>
            <w:r w:rsidRPr="00BE64B3">
              <w:rPr>
                <w:lang w:val="fr-FR"/>
              </w:rPr>
              <w:t>0%</w:t>
            </w:r>
          </w:p>
        </w:tc>
      </w:tr>
    </w:tbl>
    <w:p w14:paraId="2B144BB5" w14:textId="44A920EA" w:rsidP="00BE64B3" w:rsidR="00BE64B3" w:rsidRDefault="00BE64B3">
      <w:pPr>
        <w:ind w:left="720"/>
        <w:jc w:val="both"/>
        <w:rPr>
          <w:lang w:val="fr-FR"/>
        </w:rPr>
      </w:pPr>
    </w:p>
    <w:p w14:paraId="14C7167F" w14:textId="498FA1CE" w:rsidP="00BE64B3" w:rsidR="00BE64B3" w:rsidRDefault="00290468">
      <w:pPr>
        <w:ind w:left="720"/>
        <w:jc w:val="both"/>
        <w:rPr>
          <w:lang w:val="fr-FR"/>
        </w:rPr>
      </w:pPr>
      <w:r>
        <w:rPr>
          <w:lang w:val="fr-FR"/>
        </w:rPr>
        <w:t>U</w:t>
      </w:r>
      <w:r w:rsidRPr="00290468">
        <w:rPr>
          <w:lang w:val="fr-FR"/>
        </w:rPr>
        <w:t>n budget additionnel de 0</w:t>
      </w:r>
      <w:r w:rsidR="0022046B">
        <w:rPr>
          <w:lang w:val="fr-FR"/>
        </w:rPr>
        <w:t>,</w:t>
      </w:r>
      <w:r w:rsidRPr="00290468">
        <w:rPr>
          <w:lang w:val="fr-FR"/>
        </w:rPr>
        <w:t xml:space="preserve">5% </w:t>
      </w:r>
      <w:r>
        <w:rPr>
          <w:lang w:val="fr-FR"/>
        </w:rPr>
        <w:t xml:space="preserve">de la masse salariale sera donné </w:t>
      </w:r>
      <w:r w:rsidRPr="00290468">
        <w:rPr>
          <w:lang w:val="fr-FR"/>
        </w:rPr>
        <w:t>pour reconnaitre les performances exceptionnelles de l’année</w:t>
      </w:r>
      <w:r>
        <w:rPr>
          <w:lang w:val="fr-FR"/>
        </w:rPr>
        <w:t>.</w:t>
      </w:r>
    </w:p>
    <w:p w14:paraId="74911C09" w14:textId="77777777" w:rsidP="00BE64B3" w:rsidR="009B4968" w:rsidRDefault="009B4968">
      <w:pPr>
        <w:ind w:left="720"/>
        <w:jc w:val="both"/>
        <w:rPr>
          <w:lang w:val="fr-FR"/>
        </w:rPr>
      </w:pPr>
    </w:p>
    <w:p w14:paraId="60A67EE8" w14:textId="4627811D" w:rsidP="00BE64B3" w:rsidR="004B4C46" w:rsidRDefault="004B4C46">
      <w:pPr>
        <w:ind w:left="720"/>
        <w:jc w:val="both"/>
        <w:rPr>
          <w:lang w:val="fr-FR"/>
        </w:rPr>
      </w:pPr>
      <w:r>
        <w:rPr>
          <w:lang w:val="fr-FR"/>
        </w:rPr>
        <w:t>C</w:t>
      </w:r>
      <w:r w:rsidRPr="00163B94">
        <w:rPr>
          <w:lang w:val="fr-FR"/>
        </w:rPr>
        <w:t>es augmentations</w:t>
      </w:r>
      <w:r>
        <w:rPr>
          <w:lang w:val="fr-FR"/>
        </w:rPr>
        <w:t xml:space="preserve"> individuelles </w:t>
      </w:r>
      <w:r w:rsidRPr="00163B94">
        <w:rPr>
          <w:lang w:val="fr-FR"/>
        </w:rPr>
        <w:t xml:space="preserve">seront </w:t>
      </w:r>
      <w:r>
        <w:rPr>
          <w:lang w:val="fr-FR"/>
        </w:rPr>
        <w:t>effectives</w:t>
      </w:r>
      <w:r w:rsidRPr="00163B94">
        <w:rPr>
          <w:lang w:val="fr-FR"/>
        </w:rPr>
        <w:t xml:space="preserve"> au </w:t>
      </w:r>
      <w:r>
        <w:rPr>
          <w:lang w:val="fr-FR"/>
        </w:rPr>
        <w:t>1er avril</w:t>
      </w:r>
      <w:r w:rsidRPr="00163B94">
        <w:rPr>
          <w:lang w:val="fr-FR"/>
        </w:rPr>
        <w:t xml:space="preserve"> </w:t>
      </w:r>
      <w:r w:rsidR="00BE64B3">
        <w:rPr>
          <w:lang w:val="fr-FR"/>
        </w:rPr>
        <w:t>2022.</w:t>
      </w:r>
    </w:p>
    <w:p w14:paraId="6E5F80F7" w14:textId="77777777" w:rsidP="00BE64B3" w:rsidR="004B4C46" w:rsidRDefault="004B4C46">
      <w:pPr>
        <w:ind w:left="720"/>
        <w:jc w:val="both"/>
        <w:rPr>
          <w:lang w:val="fr-FR"/>
        </w:rPr>
      </w:pPr>
    </w:p>
    <w:p w14:paraId="60E37924" w14:textId="05966D74" w:rsidP="00BE64B3" w:rsidR="004B4C46" w:rsidRDefault="004B4C46" w:rsidRPr="007D23B1">
      <w:pPr>
        <w:ind w:left="720"/>
        <w:jc w:val="both"/>
        <w:rPr>
          <w:b/>
          <w:lang w:val="fr-FR"/>
        </w:rPr>
      </w:pPr>
      <w:r>
        <w:rPr>
          <w:lang w:val="fr-FR"/>
        </w:rPr>
        <w:t xml:space="preserve">Dans le cadre de la consultation annuelle sur la politique sociale, il pourra être vérifié que l’entreprise a bien augmenté </w:t>
      </w:r>
      <w:r w:rsidR="00F7539E">
        <w:rPr>
          <w:lang w:val="fr-FR"/>
        </w:rPr>
        <w:t>ses</w:t>
      </w:r>
      <w:r>
        <w:rPr>
          <w:lang w:val="fr-FR"/>
        </w:rPr>
        <w:t xml:space="preserve"> salaire</w:t>
      </w:r>
      <w:r w:rsidR="00F7539E">
        <w:rPr>
          <w:lang w:val="fr-FR"/>
        </w:rPr>
        <w:t>s</w:t>
      </w:r>
      <w:r>
        <w:rPr>
          <w:lang w:val="fr-FR"/>
        </w:rPr>
        <w:t xml:space="preserve"> de base de 2,5%. </w:t>
      </w:r>
    </w:p>
    <w:p w14:paraId="11AB4C32" w14:textId="1EEE7AB6" w:rsidP="00BE64B3" w:rsidR="004B4C46" w:rsidRDefault="004B4C46">
      <w:pPr>
        <w:ind w:left="720"/>
        <w:jc w:val="both"/>
        <w:rPr>
          <w:lang w:val="fr-FR"/>
        </w:rPr>
      </w:pPr>
    </w:p>
    <w:p w14:paraId="3DE6599B" w14:textId="77777777" w:rsidP="00BE64B3" w:rsidR="0022046B" w:rsidRDefault="0022046B">
      <w:pPr>
        <w:ind w:left="720"/>
        <w:jc w:val="both"/>
        <w:rPr>
          <w:lang w:val="fr-FR"/>
        </w:rPr>
      </w:pPr>
    </w:p>
    <w:p w14:paraId="7396E623" w14:textId="083E2FCC" w:rsidP="00261984" w:rsidR="004B4C46" w:rsidRDefault="004B4C46" w:rsidRPr="00163B94">
      <w:pPr>
        <w:jc w:val="both"/>
        <w:rPr>
          <w:b/>
          <w:lang w:val="fr-FR"/>
        </w:rPr>
      </w:pPr>
      <w:r w:rsidRPr="00163B94">
        <w:rPr>
          <w:b/>
          <w:lang w:val="fr-FR"/>
        </w:rPr>
        <w:t xml:space="preserve">Article 3 </w:t>
      </w:r>
      <w:r w:rsidR="0094290A">
        <w:rPr>
          <w:b/>
          <w:lang w:val="fr-FR"/>
        </w:rPr>
        <w:t xml:space="preserve">- </w:t>
      </w:r>
      <w:r w:rsidRPr="00163B94">
        <w:rPr>
          <w:b/>
          <w:lang w:val="fr-FR"/>
        </w:rPr>
        <w:t xml:space="preserve">Revalorisation des primes </w:t>
      </w:r>
    </w:p>
    <w:p w14:paraId="7F07D3F5" w14:textId="77777777" w:rsidP="004B4C46" w:rsidR="004B4C46" w:rsidRDefault="004B4C46" w:rsidRPr="00163B94">
      <w:pPr>
        <w:jc w:val="both"/>
        <w:rPr>
          <w:lang w:val="fr-FR"/>
        </w:rPr>
      </w:pPr>
    </w:p>
    <w:p w14:paraId="6A5B58F5" w14:textId="49085FB5" w:rsidP="004B4C46" w:rsidR="004B4C46" w:rsidRDefault="00313009">
      <w:pPr>
        <w:jc w:val="both"/>
        <w:rPr>
          <w:lang w:val="fr-FR"/>
        </w:rPr>
      </w:pPr>
      <w:r>
        <w:rPr>
          <w:lang w:val="fr-FR"/>
        </w:rPr>
        <w:t>Les</w:t>
      </w:r>
      <w:r w:rsidR="004B4C46" w:rsidRPr="00313009">
        <w:rPr>
          <w:lang w:val="fr-FR"/>
        </w:rPr>
        <w:t xml:space="preserve"> primes fixes liées aux conditions d’exécution du travail (primes d’équipes, panier</w:t>
      </w:r>
      <w:r w:rsidR="005105DB">
        <w:rPr>
          <w:lang w:val="fr-FR"/>
        </w:rPr>
        <w:t xml:space="preserve">) </w:t>
      </w:r>
      <w:r w:rsidR="001237E1">
        <w:rPr>
          <w:lang w:val="fr-FR"/>
        </w:rPr>
        <w:t xml:space="preserve">listées ci-dessous </w:t>
      </w:r>
      <w:r w:rsidR="004B4C46" w:rsidRPr="00313009">
        <w:rPr>
          <w:lang w:val="fr-FR"/>
        </w:rPr>
        <w:t xml:space="preserve">seront revalorisées </w:t>
      </w:r>
      <w:r w:rsidR="00B6136F">
        <w:rPr>
          <w:lang w:val="fr-FR"/>
        </w:rPr>
        <w:t xml:space="preserve">de </w:t>
      </w:r>
      <w:r w:rsidR="004B4C46" w:rsidRPr="00313009">
        <w:rPr>
          <w:lang w:val="fr-FR"/>
        </w:rPr>
        <w:t>2,5%. Ces augmentations interviendront à compter du mois d’avril 20</w:t>
      </w:r>
      <w:r w:rsidR="0094290A" w:rsidRPr="00313009">
        <w:rPr>
          <w:lang w:val="fr-FR"/>
        </w:rPr>
        <w:t>22</w:t>
      </w:r>
      <w:r w:rsidR="004B4C46" w:rsidRPr="00313009">
        <w:rPr>
          <w:lang w:val="fr-FR"/>
        </w:rPr>
        <w:t xml:space="preserve">. </w:t>
      </w:r>
    </w:p>
    <w:p w14:paraId="5A8B3DB5" w14:textId="2ACB3ADF" w:rsidP="004B4C46" w:rsidR="001237E1" w:rsidRDefault="001237E1">
      <w:pPr>
        <w:jc w:val="both"/>
        <w:rPr>
          <w:lang w:val="fr-FR"/>
        </w:rPr>
      </w:pPr>
    </w:p>
    <w:tbl>
      <w:tblPr>
        <w:tblW w:type="dxa" w:w="4180"/>
        <w:jc w:val="cente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left w:type="dxa" w:w="70"/>
          <w:right w:type="dxa" w:w="70"/>
        </w:tblCellMar>
        <w:tblLook w:firstColumn="1" w:firstRow="1" w:lastColumn="0" w:lastRow="0" w:noHBand="0" w:noVBand="1" w:val="04A0"/>
      </w:tblPr>
      <w:tblGrid>
        <w:gridCol w:w="1780"/>
        <w:gridCol w:w="1200"/>
        <w:gridCol w:w="1200"/>
      </w:tblGrid>
      <w:tr w14:paraId="3F18ECF6" w14:textId="77777777" w:rsidR="001237E1" w:rsidRPr="001237E1" w:rsidTr="009B4968">
        <w:trPr>
          <w:trHeight w:val="290"/>
          <w:jc w:val="center"/>
        </w:trPr>
        <w:tc>
          <w:tcPr>
            <w:tcW w:type="dxa" w:w="1780"/>
            <w:vMerge w:val="restart"/>
            <w:tcBorders>
              <w:right w:color="auto" w:space="0" w:sz="4" w:val="single"/>
            </w:tcBorders>
            <w:shd w:color="auto" w:fill="auto" w:val="clear"/>
            <w:vAlign w:val="center"/>
            <w:hideMark/>
          </w:tcPr>
          <w:p w14:paraId="78610A73" w14:textId="77777777" w:rsidP="001237E1" w:rsidR="001237E1" w:rsidRDefault="001237E1" w:rsidRPr="009B4968">
            <w:pPr>
              <w:jc w:val="center"/>
              <w:rPr>
                <w:lang w:val="fr-FR"/>
              </w:rPr>
            </w:pPr>
            <w:r w:rsidRPr="009B4968">
              <w:rPr>
                <w:lang w:val="fr-FR"/>
              </w:rPr>
              <w:t>Primes</w:t>
            </w:r>
          </w:p>
        </w:tc>
        <w:tc>
          <w:tcPr>
            <w:tcW w:type="dxa" w:w="1200"/>
            <w:tcBorders>
              <w:top w:color="auto" w:space="0" w:sz="4" w:val="single"/>
              <w:left w:color="auto" w:space="0" w:sz="4" w:val="single"/>
              <w:bottom w:val="nil"/>
              <w:right w:color="auto" w:space="0" w:sz="4" w:val="single"/>
            </w:tcBorders>
            <w:shd w:color="auto" w:fill="auto" w:val="clear"/>
            <w:vAlign w:val="center"/>
            <w:hideMark/>
          </w:tcPr>
          <w:p w14:paraId="3DDAD510" w14:textId="77777777" w:rsidP="001237E1" w:rsidR="001237E1" w:rsidRDefault="001237E1" w:rsidRPr="009B4968">
            <w:pPr>
              <w:jc w:val="center"/>
              <w:rPr>
                <w:lang w:val="fr-FR"/>
              </w:rPr>
            </w:pPr>
            <w:r w:rsidRPr="009B4968">
              <w:rPr>
                <w:lang w:val="fr-FR"/>
              </w:rPr>
              <w:t>Montant (€)</w:t>
            </w:r>
          </w:p>
        </w:tc>
        <w:tc>
          <w:tcPr>
            <w:tcW w:type="dxa" w:w="1200"/>
            <w:tcBorders>
              <w:top w:color="auto" w:space="0" w:sz="4" w:val="single"/>
              <w:left w:color="auto" w:space="0" w:sz="4" w:val="single"/>
              <w:bottom w:val="nil"/>
              <w:right w:color="auto" w:space="0" w:sz="4" w:val="single"/>
            </w:tcBorders>
            <w:shd w:color="auto" w:fill="auto" w:val="clear"/>
            <w:vAlign w:val="center"/>
            <w:hideMark/>
          </w:tcPr>
          <w:p w14:paraId="0F2CA740" w14:textId="77777777" w:rsidP="001237E1" w:rsidR="001237E1" w:rsidRDefault="001237E1" w:rsidRPr="009B4968">
            <w:pPr>
              <w:jc w:val="center"/>
              <w:rPr>
                <w:lang w:val="fr-FR"/>
              </w:rPr>
            </w:pPr>
            <w:r w:rsidRPr="009B4968">
              <w:rPr>
                <w:lang w:val="fr-FR"/>
              </w:rPr>
              <w:t>Montant (€)</w:t>
            </w:r>
          </w:p>
        </w:tc>
      </w:tr>
      <w:tr w14:paraId="2B505361" w14:textId="77777777" w:rsidR="001237E1" w:rsidRPr="001237E1" w:rsidTr="009B4968">
        <w:trPr>
          <w:trHeight w:val="300"/>
          <w:jc w:val="center"/>
        </w:trPr>
        <w:tc>
          <w:tcPr>
            <w:tcW w:type="dxa" w:w="1780"/>
            <w:vMerge/>
            <w:tcBorders>
              <w:right w:color="auto" w:space="0" w:sz="4" w:val="single"/>
            </w:tcBorders>
            <w:vAlign w:val="center"/>
            <w:hideMark/>
          </w:tcPr>
          <w:p w14:paraId="3A476160" w14:textId="77777777" w:rsidP="001237E1" w:rsidR="001237E1" w:rsidRDefault="001237E1" w:rsidRPr="009B4968">
            <w:pPr>
              <w:rPr>
                <w:lang w:val="fr-FR"/>
              </w:rPr>
            </w:pPr>
          </w:p>
        </w:tc>
        <w:tc>
          <w:tcPr>
            <w:tcW w:type="dxa" w:w="1200"/>
            <w:tcBorders>
              <w:top w:val="nil"/>
              <w:left w:color="auto" w:space="0" w:sz="4" w:val="single"/>
              <w:bottom w:color="auto" w:space="0" w:sz="4" w:val="single"/>
              <w:right w:color="auto" w:space="0" w:sz="4" w:val="single"/>
            </w:tcBorders>
            <w:shd w:color="auto" w:fill="auto" w:val="clear"/>
            <w:vAlign w:val="center"/>
            <w:hideMark/>
          </w:tcPr>
          <w:p w14:paraId="5F6F68B4" w14:textId="77777777" w:rsidP="001237E1" w:rsidR="001237E1" w:rsidRDefault="001237E1" w:rsidRPr="009B4968">
            <w:pPr>
              <w:jc w:val="center"/>
              <w:rPr>
                <w:lang w:val="fr-FR"/>
              </w:rPr>
            </w:pPr>
            <w:r w:rsidRPr="009B4968">
              <w:rPr>
                <w:lang w:val="fr-FR"/>
              </w:rPr>
              <w:t>2021</w:t>
            </w:r>
          </w:p>
        </w:tc>
        <w:tc>
          <w:tcPr>
            <w:tcW w:type="dxa" w:w="1200"/>
            <w:tcBorders>
              <w:top w:val="nil"/>
              <w:left w:color="auto" w:space="0" w:sz="4" w:val="single"/>
              <w:bottom w:color="auto" w:space="0" w:sz="4" w:val="single"/>
              <w:right w:color="auto" w:space="0" w:sz="4" w:val="single"/>
            </w:tcBorders>
            <w:shd w:color="auto" w:fill="auto" w:val="clear"/>
            <w:vAlign w:val="center"/>
            <w:hideMark/>
          </w:tcPr>
          <w:p w14:paraId="5010B082" w14:textId="77777777" w:rsidP="001237E1" w:rsidR="001237E1" w:rsidRDefault="001237E1" w:rsidRPr="009B4968">
            <w:pPr>
              <w:jc w:val="center"/>
              <w:rPr>
                <w:lang w:val="fr-FR"/>
              </w:rPr>
            </w:pPr>
            <w:r w:rsidRPr="009B4968">
              <w:rPr>
                <w:lang w:val="fr-FR"/>
              </w:rPr>
              <w:t>2022</w:t>
            </w:r>
          </w:p>
        </w:tc>
      </w:tr>
      <w:tr w14:paraId="7D47380D" w14:textId="77777777" w:rsidR="001237E1" w:rsidRPr="001237E1" w:rsidTr="009B4968">
        <w:trPr>
          <w:trHeight w:val="300"/>
          <w:jc w:val="center"/>
        </w:trPr>
        <w:tc>
          <w:tcPr>
            <w:tcW w:type="dxa" w:w="1780"/>
            <w:shd w:color="auto" w:fill="auto" w:val="clear"/>
            <w:vAlign w:val="center"/>
            <w:hideMark/>
          </w:tcPr>
          <w:p w14:paraId="439B7626" w14:textId="77777777" w:rsidP="001237E1" w:rsidR="001237E1" w:rsidRDefault="001237E1" w:rsidRPr="009B4968">
            <w:pPr>
              <w:jc w:val="center"/>
              <w:rPr>
                <w:lang w:val="fr-FR"/>
              </w:rPr>
            </w:pPr>
            <w:r w:rsidRPr="009B4968">
              <w:rPr>
                <w:lang w:val="fr-FR"/>
              </w:rPr>
              <w:t>Prime Equipe 2*8</w:t>
            </w:r>
          </w:p>
        </w:tc>
        <w:tc>
          <w:tcPr>
            <w:tcW w:type="dxa" w:w="1200"/>
            <w:tcBorders>
              <w:top w:color="auto" w:space="0" w:sz="4" w:val="single"/>
            </w:tcBorders>
            <w:shd w:color="auto" w:fill="auto" w:val="clear"/>
            <w:vAlign w:val="center"/>
            <w:hideMark/>
          </w:tcPr>
          <w:p w14:paraId="3E105557" w14:textId="77777777" w:rsidP="001237E1" w:rsidR="001237E1" w:rsidRDefault="001237E1" w:rsidRPr="009B4968">
            <w:pPr>
              <w:jc w:val="center"/>
              <w:rPr>
                <w:lang w:val="fr-FR"/>
              </w:rPr>
            </w:pPr>
            <w:r w:rsidRPr="009B4968">
              <w:rPr>
                <w:lang w:val="fr-FR"/>
              </w:rPr>
              <w:t>3,00</w:t>
            </w:r>
          </w:p>
        </w:tc>
        <w:tc>
          <w:tcPr>
            <w:tcW w:type="dxa" w:w="1200"/>
            <w:tcBorders>
              <w:top w:color="auto" w:space="0" w:sz="4" w:val="single"/>
            </w:tcBorders>
            <w:shd w:color="auto" w:fill="auto" w:val="clear"/>
            <w:noWrap/>
            <w:vAlign w:val="center"/>
            <w:hideMark/>
          </w:tcPr>
          <w:p w14:paraId="13A6B3AA" w14:textId="77777777" w:rsidP="001237E1" w:rsidR="001237E1" w:rsidRDefault="001237E1" w:rsidRPr="009B4968">
            <w:pPr>
              <w:jc w:val="center"/>
              <w:rPr>
                <w:lang w:val="fr-FR"/>
              </w:rPr>
            </w:pPr>
            <w:r w:rsidRPr="009B4968">
              <w:rPr>
                <w:lang w:val="fr-FR"/>
              </w:rPr>
              <w:t>3,08</w:t>
            </w:r>
          </w:p>
        </w:tc>
      </w:tr>
      <w:tr w14:paraId="11A41635" w14:textId="77777777" w:rsidR="001237E1" w:rsidRPr="001237E1" w:rsidTr="009B4968">
        <w:trPr>
          <w:trHeight w:val="300"/>
          <w:jc w:val="center"/>
        </w:trPr>
        <w:tc>
          <w:tcPr>
            <w:tcW w:type="dxa" w:w="1780"/>
            <w:shd w:color="auto" w:fill="auto" w:val="clear"/>
            <w:vAlign w:val="center"/>
            <w:hideMark/>
          </w:tcPr>
          <w:p w14:paraId="4F17050F" w14:textId="77777777" w:rsidP="001237E1" w:rsidR="001237E1" w:rsidRDefault="001237E1" w:rsidRPr="009B4968">
            <w:pPr>
              <w:jc w:val="center"/>
              <w:rPr>
                <w:lang w:val="fr-FR"/>
              </w:rPr>
            </w:pPr>
            <w:r w:rsidRPr="009B4968">
              <w:rPr>
                <w:lang w:val="fr-FR"/>
              </w:rPr>
              <w:t>Prime Equipe 3*8</w:t>
            </w:r>
          </w:p>
        </w:tc>
        <w:tc>
          <w:tcPr>
            <w:tcW w:type="dxa" w:w="1200"/>
            <w:shd w:color="auto" w:fill="auto" w:val="clear"/>
            <w:vAlign w:val="center"/>
            <w:hideMark/>
          </w:tcPr>
          <w:p w14:paraId="4129E139" w14:textId="77777777" w:rsidP="001237E1" w:rsidR="001237E1" w:rsidRDefault="001237E1" w:rsidRPr="009B4968">
            <w:pPr>
              <w:jc w:val="center"/>
              <w:rPr>
                <w:lang w:val="fr-FR"/>
              </w:rPr>
            </w:pPr>
            <w:r w:rsidRPr="009B4968">
              <w:rPr>
                <w:lang w:val="fr-FR"/>
              </w:rPr>
              <w:t>6,79</w:t>
            </w:r>
          </w:p>
        </w:tc>
        <w:tc>
          <w:tcPr>
            <w:tcW w:type="dxa" w:w="1200"/>
            <w:shd w:color="auto" w:fill="auto" w:val="clear"/>
            <w:noWrap/>
            <w:vAlign w:val="center"/>
            <w:hideMark/>
          </w:tcPr>
          <w:p w14:paraId="7EB21A33" w14:textId="77777777" w:rsidP="001237E1" w:rsidR="001237E1" w:rsidRDefault="001237E1" w:rsidRPr="009B4968">
            <w:pPr>
              <w:jc w:val="center"/>
              <w:rPr>
                <w:lang w:val="fr-FR"/>
              </w:rPr>
            </w:pPr>
            <w:r w:rsidRPr="009B4968">
              <w:rPr>
                <w:lang w:val="fr-FR"/>
              </w:rPr>
              <w:t>6,96</w:t>
            </w:r>
          </w:p>
        </w:tc>
      </w:tr>
      <w:tr w14:paraId="1AEA36DC" w14:textId="77777777" w:rsidR="001237E1" w:rsidRPr="001237E1" w:rsidTr="009B4968">
        <w:trPr>
          <w:trHeight w:val="510"/>
          <w:jc w:val="center"/>
        </w:trPr>
        <w:tc>
          <w:tcPr>
            <w:tcW w:type="dxa" w:w="1780"/>
            <w:shd w:color="auto" w:fill="auto" w:val="clear"/>
            <w:vAlign w:val="center"/>
            <w:hideMark/>
          </w:tcPr>
          <w:p w14:paraId="5EF4B682" w14:textId="275C6B37" w:rsidP="001237E1" w:rsidR="001237E1" w:rsidRDefault="001237E1" w:rsidRPr="009B4968">
            <w:pPr>
              <w:jc w:val="center"/>
              <w:rPr>
                <w:lang w:val="fr-FR"/>
              </w:rPr>
            </w:pPr>
            <w:r w:rsidRPr="009B4968">
              <w:rPr>
                <w:lang w:val="fr-FR"/>
              </w:rPr>
              <w:t xml:space="preserve">Prime Panier repas </w:t>
            </w:r>
          </w:p>
        </w:tc>
        <w:tc>
          <w:tcPr>
            <w:tcW w:type="dxa" w:w="1200"/>
            <w:shd w:color="auto" w:fill="auto" w:val="clear"/>
            <w:vAlign w:val="center"/>
            <w:hideMark/>
          </w:tcPr>
          <w:p w14:paraId="6D0A8F76" w14:textId="77777777" w:rsidP="001237E1" w:rsidR="001237E1" w:rsidRDefault="001237E1" w:rsidRPr="009B4968">
            <w:pPr>
              <w:jc w:val="center"/>
              <w:rPr>
                <w:lang w:val="fr-FR"/>
              </w:rPr>
            </w:pPr>
            <w:r w:rsidRPr="009B4968">
              <w:rPr>
                <w:lang w:val="fr-FR"/>
              </w:rPr>
              <w:t>5,90</w:t>
            </w:r>
          </w:p>
        </w:tc>
        <w:tc>
          <w:tcPr>
            <w:tcW w:type="dxa" w:w="1200"/>
            <w:shd w:color="auto" w:fill="auto" w:val="clear"/>
            <w:noWrap/>
            <w:vAlign w:val="center"/>
            <w:hideMark/>
          </w:tcPr>
          <w:p w14:paraId="492E93D5" w14:textId="77777777" w:rsidP="001237E1" w:rsidR="001237E1" w:rsidRDefault="001237E1" w:rsidRPr="009B4968">
            <w:pPr>
              <w:jc w:val="center"/>
              <w:rPr>
                <w:lang w:val="fr-FR"/>
              </w:rPr>
            </w:pPr>
            <w:r w:rsidRPr="009B4968">
              <w:rPr>
                <w:lang w:val="fr-FR"/>
              </w:rPr>
              <w:t>6,05</w:t>
            </w:r>
          </w:p>
        </w:tc>
      </w:tr>
    </w:tbl>
    <w:p w14:paraId="519E48FD" w14:textId="77777777" w:rsidP="004B4C46" w:rsidR="001237E1" w:rsidRDefault="001237E1" w:rsidRPr="00313009">
      <w:pPr>
        <w:jc w:val="both"/>
        <w:rPr>
          <w:lang w:val="fr-FR"/>
        </w:rPr>
      </w:pPr>
    </w:p>
    <w:p w14:paraId="43D50560" w14:textId="2AE0C653" w:rsidP="004B4C46" w:rsidR="0033316F" w:rsidRDefault="0033316F">
      <w:pPr>
        <w:numPr>
          <w:ilvl w:val="0"/>
          <w:numId w:val="28"/>
        </w:numPr>
        <w:spacing w:after="160" w:line="259" w:lineRule="auto"/>
        <w:jc w:val="both"/>
        <w:rPr>
          <w:lang w:val="fr-FR"/>
        </w:rPr>
      </w:pPr>
      <w:r>
        <w:rPr>
          <w:lang w:val="fr-FR"/>
        </w:rPr>
        <w:t xml:space="preserve">Le </w:t>
      </w:r>
      <w:r w:rsidRPr="00E458E9">
        <w:rPr>
          <w:b/>
          <w:bCs/>
          <w:lang w:val="fr-FR"/>
        </w:rPr>
        <w:t>forfait repas</w:t>
      </w:r>
      <w:r w:rsidRPr="0033316F">
        <w:rPr>
          <w:lang w:val="fr-FR"/>
        </w:rPr>
        <w:t xml:space="preserve"> des salariés itinérants</w:t>
      </w:r>
      <w:r>
        <w:rPr>
          <w:lang w:val="fr-FR"/>
        </w:rPr>
        <w:t xml:space="preserve"> sera revalorisé à </w:t>
      </w:r>
      <w:r w:rsidRPr="00EF151E">
        <w:rPr>
          <w:b/>
          <w:bCs/>
          <w:lang w:val="fr-FR"/>
        </w:rPr>
        <w:t>15,</w:t>
      </w:r>
      <w:r w:rsidR="00663A0F">
        <w:rPr>
          <w:b/>
          <w:bCs/>
          <w:lang w:val="fr-FR"/>
        </w:rPr>
        <w:t>5</w:t>
      </w:r>
      <w:r w:rsidR="00663A0F" w:rsidRPr="00EF151E">
        <w:rPr>
          <w:b/>
          <w:bCs/>
          <w:lang w:val="fr-FR"/>
        </w:rPr>
        <w:t xml:space="preserve">0 </w:t>
      </w:r>
      <w:r w:rsidRPr="00EF151E">
        <w:rPr>
          <w:b/>
          <w:bCs/>
          <w:lang w:val="fr-FR"/>
        </w:rPr>
        <w:t>€</w:t>
      </w:r>
      <w:r w:rsidR="00EF151E">
        <w:rPr>
          <w:b/>
          <w:bCs/>
          <w:lang w:val="fr-FR"/>
        </w:rPr>
        <w:t>.</w:t>
      </w:r>
    </w:p>
    <w:p w14:paraId="20734843" w14:textId="19D562D6" w:rsidP="004B4C46" w:rsidR="0033316F" w:rsidRDefault="0033316F" w:rsidRPr="007B7B95">
      <w:pPr>
        <w:numPr>
          <w:ilvl w:val="0"/>
          <w:numId w:val="28"/>
        </w:numPr>
        <w:spacing w:after="160" w:line="259" w:lineRule="auto"/>
        <w:jc w:val="both"/>
        <w:rPr>
          <w:lang w:val="fr-FR"/>
        </w:rPr>
      </w:pPr>
      <w:r>
        <w:rPr>
          <w:lang w:val="fr-FR"/>
        </w:rPr>
        <w:t xml:space="preserve">Le plafond de remboursement des </w:t>
      </w:r>
      <w:r w:rsidRPr="00E458E9">
        <w:rPr>
          <w:b/>
          <w:bCs/>
          <w:lang w:val="fr-FR"/>
        </w:rPr>
        <w:t>repas des managers itinérants</w:t>
      </w:r>
      <w:r>
        <w:rPr>
          <w:lang w:val="fr-FR"/>
        </w:rPr>
        <w:t xml:space="preserve"> sera revalorisé à </w:t>
      </w:r>
      <w:r w:rsidRPr="00EF151E">
        <w:rPr>
          <w:b/>
          <w:bCs/>
          <w:lang w:val="fr-FR"/>
        </w:rPr>
        <w:t>18</w:t>
      </w:r>
      <w:r w:rsidR="009B4968">
        <w:rPr>
          <w:b/>
          <w:bCs/>
          <w:lang w:val="fr-FR"/>
        </w:rPr>
        <w:t>,</w:t>
      </w:r>
      <w:r w:rsidRPr="00EF151E">
        <w:rPr>
          <w:b/>
          <w:bCs/>
          <w:lang w:val="fr-FR"/>
        </w:rPr>
        <w:t>50 €</w:t>
      </w:r>
      <w:r w:rsidR="00EF151E">
        <w:rPr>
          <w:b/>
          <w:bCs/>
          <w:lang w:val="fr-FR"/>
        </w:rPr>
        <w:t>.</w:t>
      </w:r>
    </w:p>
    <w:p w14:paraId="118BA139" w14:textId="77A880DA" w:rsidP="007B7B95" w:rsidR="007B7B95" w:rsidRDefault="007B7B95" w:rsidRPr="0022046B">
      <w:pPr>
        <w:numPr>
          <w:ilvl w:val="0"/>
          <w:numId w:val="28"/>
        </w:numPr>
        <w:spacing w:after="160" w:line="259" w:lineRule="auto"/>
        <w:jc w:val="both"/>
        <w:rPr>
          <w:lang w:val="fr-FR"/>
        </w:rPr>
      </w:pPr>
      <w:r w:rsidRPr="0022046B">
        <w:rPr>
          <w:lang w:val="fr-FR"/>
        </w:rPr>
        <w:t>La valeur faciale du</w:t>
      </w:r>
      <w:r w:rsidRPr="0022046B">
        <w:rPr>
          <w:b/>
          <w:bCs/>
          <w:lang w:val="fr-FR"/>
        </w:rPr>
        <w:t xml:space="preserve"> titre restaurant pour l’usine de Toulouse </w:t>
      </w:r>
      <w:r w:rsidR="0022046B" w:rsidRPr="0022046B">
        <w:rPr>
          <w:lang w:val="fr-FR"/>
        </w:rPr>
        <w:t>(</w:t>
      </w:r>
      <w:r w:rsidR="0022046B">
        <w:rPr>
          <w:lang w:val="fr-FR"/>
        </w:rPr>
        <w:t>seule usine à ne pas disposer</w:t>
      </w:r>
      <w:r w:rsidR="0022046B" w:rsidRPr="0022046B">
        <w:rPr>
          <w:lang w:val="fr-FR"/>
        </w:rPr>
        <w:t xml:space="preserve"> de cantine)</w:t>
      </w:r>
      <w:r w:rsidR="0022046B">
        <w:rPr>
          <w:b/>
          <w:bCs/>
          <w:lang w:val="fr-FR"/>
        </w:rPr>
        <w:t xml:space="preserve"> </w:t>
      </w:r>
      <w:r w:rsidRPr="0022046B">
        <w:rPr>
          <w:b/>
          <w:bCs/>
          <w:lang w:val="fr-FR"/>
        </w:rPr>
        <w:t>est revalorisé</w:t>
      </w:r>
      <w:r w:rsidR="0022046B" w:rsidRPr="0022046B">
        <w:rPr>
          <w:b/>
          <w:bCs/>
          <w:lang w:val="fr-FR"/>
        </w:rPr>
        <w:t>e</w:t>
      </w:r>
      <w:r w:rsidRPr="0022046B">
        <w:rPr>
          <w:b/>
          <w:bCs/>
          <w:lang w:val="fr-FR"/>
        </w:rPr>
        <w:t xml:space="preserve"> de 5 € à 5,20€, </w:t>
      </w:r>
      <w:r w:rsidRPr="0022046B">
        <w:rPr>
          <w:lang w:val="fr-FR"/>
        </w:rPr>
        <w:t>sans augmentation de la part salariale</w:t>
      </w:r>
      <w:r w:rsidR="001E6D2E" w:rsidRPr="0022046B">
        <w:rPr>
          <w:lang w:val="fr-FR"/>
        </w:rPr>
        <w:t xml:space="preserve"> (2,37 €).</w:t>
      </w:r>
    </w:p>
    <w:p w14:paraId="603A71B4" w14:textId="13097FB9" w:rsidP="004B4C46" w:rsidR="0094290A" w:rsidRDefault="0094290A" w:rsidRPr="0094290A">
      <w:pPr>
        <w:numPr>
          <w:ilvl w:val="0"/>
          <w:numId w:val="28"/>
        </w:numPr>
        <w:spacing w:after="160" w:line="259" w:lineRule="auto"/>
        <w:jc w:val="both"/>
        <w:rPr>
          <w:lang w:val="fr-FR"/>
        </w:rPr>
      </w:pPr>
      <w:r>
        <w:rPr>
          <w:lang w:val="fr-FR"/>
        </w:rPr>
        <w:t xml:space="preserve">Le montant de la </w:t>
      </w:r>
      <w:r w:rsidRPr="00134297">
        <w:rPr>
          <w:b/>
          <w:bCs/>
          <w:lang w:val="fr-FR"/>
        </w:rPr>
        <w:t>prime annuelle de polyvalence</w:t>
      </w:r>
      <w:r>
        <w:rPr>
          <w:lang w:val="fr-FR"/>
        </w:rPr>
        <w:t xml:space="preserve"> en usine </w:t>
      </w:r>
      <w:r w:rsidR="00134297">
        <w:rPr>
          <w:lang w:val="fr-FR"/>
        </w:rPr>
        <w:t xml:space="preserve">sera </w:t>
      </w:r>
      <w:r>
        <w:rPr>
          <w:lang w:val="fr-FR"/>
        </w:rPr>
        <w:t>portée</w:t>
      </w:r>
      <w:r w:rsidR="0033316F">
        <w:rPr>
          <w:lang w:val="fr-FR"/>
        </w:rPr>
        <w:t xml:space="preserve"> </w:t>
      </w:r>
      <w:r>
        <w:rPr>
          <w:lang w:val="fr-FR"/>
        </w:rPr>
        <w:t xml:space="preserve">à </w:t>
      </w:r>
      <w:r w:rsidRPr="00EF151E">
        <w:rPr>
          <w:b/>
          <w:bCs/>
          <w:lang w:val="fr-FR"/>
        </w:rPr>
        <w:t>1000 €</w:t>
      </w:r>
      <w:r>
        <w:rPr>
          <w:lang w:val="fr-FR"/>
        </w:rPr>
        <w:t xml:space="preserve"> brut</w:t>
      </w:r>
      <w:r w:rsidR="00EF151E">
        <w:rPr>
          <w:lang w:val="fr-FR"/>
        </w:rPr>
        <w:t>s.</w:t>
      </w:r>
    </w:p>
    <w:p w14:paraId="663191F4" w14:textId="779B997E" w:rsidP="004B4C46" w:rsidR="0094290A" w:rsidRDefault="0094290A" w:rsidRPr="0094290A">
      <w:pPr>
        <w:numPr>
          <w:ilvl w:val="0"/>
          <w:numId w:val="28"/>
        </w:numPr>
        <w:spacing w:after="160" w:line="259" w:lineRule="auto"/>
        <w:jc w:val="both"/>
        <w:rPr>
          <w:lang w:val="fr-FR"/>
        </w:rPr>
      </w:pPr>
      <w:r>
        <w:rPr>
          <w:lang w:val="fr-FR"/>
        </w:rPr>
        <w:t xml:space="preserve">Le montant du </w:t>
      </w:r>
      <w:r w:rsidR="0022046B">
        <w:rPr>
          <w:lang w:val="fr-FR"/>
        </w:rPr>
        <w:t>D</w:t>
      </w:r>
      <w:r>
        <w:rPr>
          <w:lang w:val="fr-FR"/>
        </w:rPr>
        <w:t xml:space="preserve">éfi </w:t>
      </w:r>
      <w:r w:rsidR="00134297">
        <w:rPr>
          <w:lang w:val="fr-FR"/>
        </w:rPr>
        <w:t>pour les techniciens itinérants</w:t>
      </w:r>
      <w:r>
        <w:rPr>
          <w:lang w:val="fr-FR"/>
        </w:rPr>
        <w:t xml:space="preserve"> </w:t>
      </w:r>
      <w:r w:rsidR="00134297">
        <w:rPr>
          <w:lang w:val="fr-FR"/>
        </w:rPr>
        <w:t xml:space="preserve">sera </w:t>
      </w:r>
      <w:r>
        <w:rPr>
          <w:lang w:val="fr-FR"/>
        </w:rPr>
        <w:t xml:space="preserve">revalorisé à hauteur de </w:t>
      </w:r>
      <w:r w:rsidRPr="00300DA0">
        <w:rPr>
          <w:b/>
          <w:bCs/>
          <w:lang w:val="fr-FR"/>
        </w:rPr>
        <w:t>2000 €</w:t>
      </w:r>
      <w:r>
        <w:rPr>
          <w:lang w:val="fr-FR"/>
        </w:rPr>
        <w:t xml:space="preserve"> bruts annuel.</w:t>
      </w:r>
    </w:p>
    <w:p w14:paraId="30E59422" w14:textId="77777777" w:rsidP="004B4C46" w:rsidR="00EF151E" w:rsidRDefault="00134297" w:rsidRPr="00EF151E">
      <w:pPr>
        <w:numPr>
          <w:ilvl w:val="0"/>
          <w:numId w:val="28"/>
        </w:numPr>
        <w:spacing w:after="160" w:line="259" w:lineRule="auto"/>
        <w:jc w:val="both"/>
        <w:rPr>
          <w:lang w:val="fr-FR"/>
        </w:rPr>
      </w:pPr>
      <w:r w:rsidRPr="00134297">
        <w:rPr>
          <w:b/>
          <w:lang w:val="fr-FR"/>
        </w:rPr>
        <w:t>Les bons de réduction du siège</w:t>
      </w:r>
      <w:r>
        <w:rPr>
          <w:bCs/>
          <w:lang w:val="fr-FR"/>
        </w:rPr>
        <w:t xml:space="preserve"> sur l’achat des produits de l’entreprise seront remplacés par le système de remboursement </w:t>
      </w:r>
      <w:r w:rsidR="0033316F">
        <w:rPr>
          <w:bCs/>
          <w:lang w:val="fr-FR"/>
        </w:rPr>
        <w:t>sur présentation du ticket de caisse</w:t>
      </w:r>
      <w:r>
        <w:rPr>
          <w:bCs/>
          <w:lang w:val="fr-FR"/>
        </w:rPr>
        <w:t xml:space="preserve">, à hauteur de </w:t>
      </w:r>
      <w:r w:rsidRPr="005105DB">
        <w:rPr>
          <w:b/>
          <w:lang w:val="fr-FR"/>
        </w:rPr>
        <w:t>15 €</w:t>
      </w:r>
      <w:r w:rsidR="00EF151E">
        <w:rPr>
          <w:bCs/>
          <w:lang w:val="fr-FR"/>
        </w:rPr>
        <w:t xml:space="preserve"> par mois.</w:t>
      </w:r>
    </w:p>
    <w:p w14:paraId="692CC5EB" w14:textId="77777777" w:rsidP="004B4C46" w:rsidR="00EF151E" w:rsidRDefault="00EF151E">
      <w:pPr>
        <w:jc w:val="both"/>
        <w:rPr>
          <w:b/>
          <w:lang w:val="fr-FR"/>
        </w:rPr>
      </w:pPr>
    </w:p>
    <w:p w14:paraId="1A1130EE" w14:textId="77777777" w:rsidP="004B4C46" w:rsidR="004B4C46" w:rsidRDefault="004B4C46">
      <w:pPr>
        <w:jc w:val="both"/>
        <w:rPr>
          <w:b/>
          <w:lang w:val="fr-FR"/>
        </w:rPr>
      </w:pPr>
    </w:p>
    <w:p w14:paraId="208EE83D" w14:textId="7E899858" w:rsidP="004B4C46" w:rsidR="004B4C46" w:rsidRDefault="004B4C46" w:rsidRPr="006660DE">
      <w:pPr>
        <w:jc w:val="both"/>
        <w:rPr>
          <w:b/>
          <w:lang w:val="fr-FR"/>
        </w:rPr>
      </w:pPr>
      <w:r w:rsidRPr="006660DE">
        <w:rPr>
          <w:b/>
          <w:lang w:val="fr-FR"/>
        </w:rPr>
        <w:t xml:space="preserve">Article </w:t>
      </w:r>
      <w:r w:rsidR="00876A60">
        <w:rPr>
          <w:b/>
          <w:lang w:val="fr-FR"/>
        </w:rPr>
        <w:t>4-</w:t>
      </w:r>
      <w:r w:rsidRPr="006660DE">
        <w:rPr>
          <w:b/>
          <w:lang w:val="fr-FR"/>
        </w:rPr>
        <w:t xml:space="preserve"> </w:t>
      </w:r>
      <w:r>
        <w:rPr>
          <w:b/>
          <w:lang w:val="fr-FR"/>
        </w:rPr>
        <w:t xml:space="preserve">Suivi et </w:t>
      </w:r>
      <w:r w:rsidRPr="006660DE">
        <w:rPr>
          <w:b/>
          <w:lang w:val="fr-FR"/>
        </w:rPr>
        <w:t>Durée de l’accord</w:t>
      </w:r>
    </w:p>
    <w:p w14:paraId="25703478" w14:textId="77777777" w:rsidP="004B4C46" w:rsidR="004B4C46" w:rsidRDefault="004B4C46">
      <w:pPr>
        <w:jc w:val="both"/>
        <w:rPr>
          <w:lang w:val="fr-FR"/>
        </w:rPr>
      </w:pPr>
    </w:p>
    <w:p w14:paraId="2395A2A9" w14:textId="77777777" w:rsidP="008376BE" w:rsidR="008376BE" w:rsidRDefault="008376BE">
      <w:pPr>
        <w:jc w:val="both"/>
        <w:rPr>
          <w:lang w:val="fr-FR"/>
        </w:rPr>
      </w:pPr>
      <w:r>
        <w:rPr>
          <w:lang w:val="fr-FR"/>
        </w:rPr>
        <w:t>Le présent accord est conclu pour une durée déterminée d’un (1) an dans le cadre de la négociation sur la rémunération, le temps de travail et le partage de la valeur ajoutée pour 2022.</w:t>
      </w:r>
    </w:p>
    <w:p w14:paraId="0C4CB876" w14:textId="77777777" w:rsidP="004B4C46" w:rsidR="004B4C46" w:rsidRDefault="004B4C46">
      <w:pPr>
        <w:jc w:val="both"/>
        <w:rPr>
          <w:lang w:val="fr-FR"/>
        </w:rPr>
      </w:pPr>
    </w:p>
    <w:p w14:paraId="764D4A26" w14:textId="77777777" w:rsidP="004B4C46" w:rsidR="004B4C46" w:rsidRDefault="004B4C46">
      <w:pPr>
        <w:jc w:val="both"/>
        <w:rPr>
          <w:lang w:val="fr-FR"/>
        </w:rPr>
      </w:pPr>
      <w:r>
        <w:rPr>
          <w:lang w:val="fr-FR"/>
        </w:rPr>
        <w:t xml:space="preserve">Les durées d’application des différentes mesures qu’il prévoit figurent dans les articles ci-dessus. </w:t>
      </w:r>
    </w:p>
    <w:p w14:paraId="0E22985B" w14:textId="77777777" w:rsidP="004B4C46" w:rsidR="004B4C46" w:rsidRDefault="004B4C46">
      <w:pPr>
        <w:jc w:val="both"/>
        <w:rPr>
          <w:b/>
          <w:lang w:val="fr-FR"/>
        </w:rPr>
      </w:pPr>
    </w:p>
    <w:p w14:paraId="603B9AF9" w14:textId="21ADF03E" w:rsidR="002D4F3B" w:rsidRDefault="002D4F3B">
      <w:pPr>
        <w:rPr>
          <w:b/>
          <w:lang w:val="fr-FR"/>
        </w:rPr>
      </w:pPr>
      <w:r>
        <w:rPr>
          <w:b/>
          <w:lang w:val="fr-FR"/>
        </w:rPr>
        <w:br w:type="page"/>
      </w:r>
    </w:p>
    <w:p w14:paraId="28E6489A" w14:textId="77777777" w:rsidP="004B4C46" w:rsidR="004B4C46" w:rsidRDefault="004B4C46">
      <w:pPr>
        <w:jc w:val="both"/>
        <w:rPr>
          <w:b/>
          <w:lang w:val="fr-FR"/>
        </w:rPr>
      </w:pPr>
    </w:p>
    <w:p w14:paraId="69B519F9" w14:textId="2D4AB97E" w:rsidP="004B4C46" w:rsidR="004B4C46" w:rsidRDefault="004B4C46" w:rsidRPr="000C1842">
      <w:pPr>
        <w:jc w:val="both"/>
        <w:rPr>
          <w:b/>
          <w:lang w:val="fr-FR"/>
        </w:rPr>
      </w:pPr>
      <w:r w:rsidRPr="000C1842">
        <w:rPr>
          <w:b/>
          <w:lang w:val="fr-FR"/>
        </w:rPr>
        <w:t xml:space="preserve">Article </w:t>
      </w:r>
      <w:r w:rsidR="00876A60">
        <w:rPr>
          <w:b/>
          <w:lang w:val="fr-FR"/>
        </w:rPr>
        <w:t>5</w:t>
      </w:r>
      <w:r>
        <w:rPr>
          <w:b/>
          <w:lang w:val="fr-FR"/>
        </w:rPr>
        <w:t xml:space="preserve"> -  F</w:t>
      </w:r>
      <w:r w:rsidRPr="000C1842">
        <w:rPr>
          <w:b/>
          <w:lang w:val="fr-FR"/>
        </w:rPr>
        <w:t>ormalités de dépôt</w:t>
      </w:r>
    </w:p>
    <w:p w14:paraId="63B2454A" w14:textId="77777777" w:rsidP="004B4C46" w:rsidR="004B4C46" w:rsidRDefault="004B4C46">
      <w:pPr>
        <w:jc w:val="both"/>
        <w:rPr>
          <w:lang w:val="fr-FR"/>
        </w:rPr>
      </w:pPr>
    </w:p>
    <w:p w14:paraId="49190DEF" w14:textId="77777777" w:rsidP="004B4C46" w:rsidR="004B4C46" w:rsidRDefault="004B4C46">
      <w:pPr>
        <w:spacing w:line="280" w:lineRule="atLeast"/>
        <w:ind w:right="290"/>
        <w:jc w:val="both"/>
        <w:rPr>
          <w:lang w:val="fr-FR"/>
        </w:rPr>
      </w:pPr>
      <w:r w:rsidRPr="000C1842">
        <w:rPr>
          <w:lang w:val="fr-FR"/>
        </w:rPr>
        <w:t xml:space="preserve">Le présent Accord sera notifié par la Direction à l’ensemble des organisations syndicales </w:t>
      </w:r>
      <w:r>
        <w:rPr>
          <w:lang w:val="fr-FR"/>
        </w:rPr>
        <w:t>représentatives de l’Entreprise ; elle procèdera également aux formalités légales de dépôt et d’enregistrement.</w:t>
      </w:r>
    </w:p>
    <w:p w14:paraId="0A7C72B7" w14:textId="20298210" w:rsidP="004B4C46" w:rsidR="004B4C46" w:rsidRDefault="004B4C46">
      <w:pPr>
        <w:jc w:val="both"/>
        <w:rPr>
          <w:lang w:val="fr-FR"/>
        </w:rPr>
      </w:pPr>
    </w:p>
    <w:p w14:paraId="736F5994" w14:textId="11CC84B2" w:rsidP="004B4C46" w:rsidR="002D4F3B" w:rsidRDefault="002D4F3B">
      <w:pPr>
        <w:jc w:val="both"/>
        <w:rPr>
          <w:lang w:val="fr-FR"/>
        </w:rPr>
      </w:pPr>
    </w:p>
    <w:p w14:paraId="6E0B52F0" w14:textId="4379BCD2" w:rsidP="004B4C46" w:rsidR="002D4F3B" w:rsidRDefault="002D4F3B">
      <w:pPr>
        <w:jc w:val="both"/>
        <w:rPr>
          <w:lang w:val="fr-FR"/>
        </w:rPr>
      </w:pPr>
    </w:p>
    <w:p w14:paraId="304D930A" w14:textId="77777777" w:rsidP="004B4C46" w:rsidR="002D4F3B" w:rsidRDefault="002D4F3B">
      <w:pPr>
        <w:jc w:val="both"/>
        <w:rPr>
          <w:lang w:val="fr-FR"/>
        </w:rPr>
      </w:pPr>
    </w:p>
    <w:p w14:paraId="50039C3B" w14:textId="60BECDBE" w:rsidP="004B4C46" w:rsidR="004B4C46" w:rsidRDefault="004B4C46" w:rsidRPr="006660DE">
      <w:pPr>
        <w:jc w:val="both"/>
        <w:rPr>
          <w:b/>
          <w:lang w:val="fr-FR"/>
        </w:rPr>
      </w:pPr>
      <w:r w:rsidRPr="006660DE">
        <w:rPr>
          <w:b/>
          <w:lang w:val="fr-FR"/>
        </w:rPr>
        <w:t xml:space="preserve">Fait à Issy les Moulineaux, en 8 exemplaires, le </w:t>
      </w:r>
      <w:r w:rsidR="00804978">
        <w:rPr>
          <w:b/>
          <w:lang w:val="fr-FR"/>
        </w:rPr>
        <w:t>17 décembre</w:t>
      </w:r>
      <w:r w:rsidR="00D25561">
        <w:rPr>
          <w:b/>
          <w:lang w:val="fr-FR"/>
        </w:rPr>
        <w:t xml:space="preserve"> 202</w:t>
      </w:r>
      <w:r w:rsidR="0022046B">
        <w:rPr>
          <w:b/>
          <w:lang w:val="fr-FR"/>
        </w:rPr>
        <w:t>1</w:t>
      </w:r>
    </w:p>
    <w:p w14:paraId="358D6255" w14:textId="77777777" w:rsidP="004B4C46" w:rsidR="004B4C46" w:rsidRDefault="004B4C46" w:rsidRPr="006660DE">
      <w:pPr>
        <w:jc w:val="both"/>
        <w:rPr>
          <w:b/>
          <w:lang w:val="fr-FR"/>
        </w:rPr>
      </w:pPr>
    </w:p>
    <w:p w14:paraId="0C021F6A" w14:textId="77777777" w:rsidP="004B4C46" w:rsidR="004B4C46" w:rsidRDefault="004B4C46">
      <w:pPr>
        <w:jc w:val="both"/>
        <w:rPr>
          <w:lang w:val="fr-FR"/>
        </w:rPr>
      </w:pPr>
    </w:p>
    <w:p w14:paraId="487BD264" w14:textId="77777777" w:rsidP="004B4C46" w:rsidR="004B4C46" w:rsidRDefault="004B4C46" w:rsidRPr="00163B94">
      <w:pPr>
        <w:jc w:val="both"/>
        <w:rPr>
          <w:lang w:val="fr-FR"/>
        </w:rPr>
      </w:pPr>
    </w:p>
    <w:p w14:paraId="51431899" w14:textId="13955C22" w:rsidP="004B4C46" w:rsidR="004B4C46" w:rsidRDefault="004B4C46" w:rsidRPr="00163B94">
      <w:pPr>
        <w:jc w:val="both"/>
        <w:rPr>
          <w:lang w:val="fr-FR"/>
        </w:rPr>
      </w:pPr>
      <w:r w:rsidRPr="00163B94">
        <w:rPr>
          <w:lang w:val="fr-FR"/>
        </w:rPr>
        <w:t xml:space="preserve">Pour la société </w:t>
      </w:r>
      <w:r w:rsidRPr="00163B94">
        <w:rPr>
          <w:lang w:val="fr-FR"/>
        </w:rPr>
        <w:tab/>
      </w:r>
    </w:p>
    <w:p w14:paraId="1613905C" w14:textId="77777777" w:rsidP="004B4C46" w:rsidR="004B4C46" w:rsidRDefault="004B4C46" w:rsidRPr="00163B94">
      <w:pPr>
        <w:jc w:val="both"/>
        <w:rPr>
          <w:lang w:val="fr-FR"/>
        </w:rPr>
      </w:pPr>
      <w:r w:rsidRPr="00163B94">
        <w:rPr>
          <w:lang w:val="fr-FR"/>
        </w:rPr>
        <w:tab/>
      </w:r>
      <w:r w:rsidRPr="00163B94">
        <w:rPr>
          <w:lang w:val="fr-FR"/>
        </w:rPr>
        <w:tab/>
      </w:r>
      <w:r w:rsidRPr="00163B94">
        <w:rPr>
          <w:lang w:val="fr-FR"/>
        </w:rPr>
        <w:tab/>
        <w:t>Directrice des Ressources Humaines</w:t>
      </w:r>
    </w:p>
    <w:p w14:paraId="0795C6AF" w14:textId="77777777" w:rsidP="004B4C46" w:rsidR="004B4C46" w:rsidRDefault="004B4C46">
      <w:pPr>
        <w:jc w:val="both"/>
        <w:rPr>
          <w:lang w:val="fr-FR"/>
        </w:rPr>
      </w:pPr>
    </w:p>
    <w:p w14:paraId="17F3CFF7" w14:textId="77777777" w:rsidP="004B4C46" w:rsidR="004B4C46" w:rsidRDefault="004B4C46">
      <w:pPr>
        <w:jc w:val="both"/>
        <w:rPr>
          <w:lang w:val="fr-FR"/>
        </w:rPr>
      </w:pPr>
    </w:p>
    <w:p w14:paraId="7F7DE688" w14:textId="3218365E" w:rsidP="004B4C46" w:rsidR="004B4C46" w:rsidRDefault="004B4C46">
      <w:pPr>
        <w:jc w:val="both"/>
        <w:rPr>
          <w:lang w:val="fr-FR"/>
        </w:rPr>
      </w:pPr>
    </w:p>
    <w:p w14:paraId="65EA8D89" w14:textId="77777777" w:rsidP="004B4C46" w:rsidR="00F71A46" w:rsidRDefault="00F71A46">
      <w:pPr>
        <w:jc w:val="both"/>
        <w:rPr>
          <w:lang w:val="fr-FR"/>
        </w:rPr>
      </w:pPr>
    </w:p>
    <w:p w14:paraId="1C01EB44" w14:textId="77777777" w:rsidP="004B4C46" w:rsidR="004B4C46" w:rsidRDefault="004B4C46" w:rsidRPr="00163B94">
      <w:pPr>
        <w:jc w:val="both"/>
        <w:rPr>
          <w:lang w:val="fr-FR"/>
        </w:rPr>
      </w:pPr>
    </w:p>
    <w:p w14:paraId="10AB4CEC" w14:textId="77777777" w:rsidP="004B4C46" w:rsidR="004B4C46" w:rsidRDefault="004B4C46" w:rsidRPr="00163B94">
      <w:pPr>
        <w:jc w:val="both"/>
        <w:rPr>
          <w:lang w:val="fr-FR"/>
        </w:rPr>
      </w:pPr>
    </w:p>
    <w:p w14:paraId="16B2BC93" w14:textId="77777777" w:rsidP="004B4C46" w:rsidR="004B4C46" w:rsidRDefault="004B4C46" w:rsidRPr="00163B94">
      <w:pPr>
        <w:jc w:val="both"/>
        <w:rPr>
          <w:lang w:val="fr-FR"/>
        </w:rPr>
      </w:pPr>
      <w:r w:rsidRPr="00163B94">
        <w:rPr>
          <w:lang w:val="fr-FR"/>
        </w:rPr>
        <w:t>Pour les organisations syndicales représentatives</w:t>
      </w:r>
    </w:p>
    <w:p w14:paraId="61F907C7" w14:textId="77777777" w:rsidP="004B4C46" w:rsidR="004B4C46" w:rsidRDefault="004B4C46" w:rsidRPr="00163B94">
      <w:pPr>
        <w:jc w:val="both"/>
        <w:rPr>
          <w:lang w:val="fr-FR"/>
        </w:rPr>
      </w:pPr>
    </w:p>
    <w:tbl>
      <w:tblPr>
        <w:tblW w:type="auto" w:w="0"/>
        <w:tblLook w:firstColumn="1" w:firstRow="1" w:lastColumn="0" w:lastRow="0" w:noHBand="0" w:noVBand="0" w:val="00A0"/>
      </w:tblPr>
      <w:tblGrid>
        <w:gridCol w:w="4889"/>
        <w:gridCol w:w="4889"/>
      </w:tblGrid>
      <w:tr w14:paraId="24ADB22F" w14:textId="77777777" w:rsidR="004B4C46" w:rsidRPr="00FB7BD7" w:rsidTr="00C6646A">
        <w:tc>
          <w:tcPr>
            <w:tcW w:type="dxa" w:w="4889"/>
          </w:tcPr>
          <w:p w14:paraId="29AC35DC" w14:textId="77777777" w:rsidP="00C6646A" w:rsidR="004B4C46" w:rsidRDefault="004B4C46" w:rsidRPr="00D25561">
            <w:pPr>
              <w:jc w:val="both"/>
              <w:rPr>
                <w:lang w:val="fr-FR"/>
              </w:rPr>
            </w:pPr>
            <w:r w:rsidRPr="00D25561">
              <w:rPr>
                <w:lang w:val="fr-FR"/>
              </w:rPr>
              <w:t>Pour la CFDT</w:t>
            </w:r>
          </w:p>
          <w:p w14:paraId="4E9B0739" w14:textId="5FED9B0E" w:rsidP="00C6646A" w:rsidR="004B4C46" w:rsidRDefault="004B4C46" w:rsidRPr="00D25561">
            <w:pPr>
              <w:jc w:val="both"/>
              <w:rPr>
                <w:lang w:val="fr-FR"/>
              </w:rPr>
            </w:pPr>
          </w:p>
        </w:tc>
        <w:tc>
          <w:tcPr>
            <w:tcW w:type="dxa" w:w="4889"/>
          </w:tcPr>
          <w:p w14:paraId="2C70E86E" w14:textId="77777777" w:rsidP="00C6646A" w:rsidR="004B4C46" w:rsidRDefault="004B4C46" w:rsidRPr="00D25561">
            <w:pPr>
              <w:jc w:val="both"/>
              <w:rPr>
                <w:lang w:val="fr-FR"/>
              </w:rPr>
            </w:pPr>
            <w:r w:rsidRPr="00D25561">
              <w:rPr>
                <w:lang w:val="fr-FR"/>
              </w:rPr>
              <w:t xml:space="preserve">Pour la CFE-CGC </w:t>
            </w:r>
          </w:p>
          <w:p w14:paraId="02918BD2" w14:textId="10926358" w:rsidP="00C6646A" w:rsidR="004B4C46" w:rsidRDefault="004B4C46" w:rsidRPr="00D25561">
            <w:pPr>
              <w:jc w:val="both"/>
              <w:rPr>
                <w:lang w:val="fr-FR"/>
              </w:rPr>
            </w:pPr>
          </w:p>
        </w:tc>
      </w:tr>
      <w:tr w14:paraId="69FFBAAD" w14:textId="77777777" w:rsidR="004B4C46" w:rsidRPr="00FB7BD7" w:rsidTr="00C6646A">
        <w:tc>
          <w:tcPr>
            <w:tcW w:type="dxa" w:w="4889"/>
          </w:tcPr>
          <w:p w14:paraId="36998613" w14:textId="77777777" w:rsidP="00C6646A" w:rsidR="004B4C46" w:rsidRDefault="004B4C46" w:rsidRPr="00163B94">
            <w:pPr>
              <w:jc w:val="both"/>
              <w:rPr>
                <w:rFonts w:ascii="Century Schoolbook" w:hAnsi="Century Schoolbook"/>
                <w:lang w:val="fr-FR"/>
              </w:rPr>
            </w:pPr>
          </w:p>
          <w:p w14:paraId="3AB95EF2" w14:textId="77777777" w:rsidP="00C6646A" w:rsidR="004B4C46" w:rsidRDefault="004B4C46" w:rsidRPr="00163B94">
            <w:pPr>
              <w:jc w:val="both"/>
              <w:rPr>
                <w:rFonts w:ascii="Century Schoolbook" w:hAnsi="Century Schoolbook"/>
                <w:lang w:val="fr-FR"/>
              </w:rPr>
            </w:pPr>
          </w:p>
          <w:p w14:paraId="747C2DCC" w14:textId="77777777" w:rsidP="00C6646A" w:rsidR="004B4C46" w:rsidRDefault="004B4C46" w:rsidRPr="00163B94">
            <w:pPr>
              <w:jc w:val="both"/>
              <w:rPr>
                <w:rFonts w:ascii="Century Schoolbook" w:hAnsi="Century Schoolbook"/>
                <w:lang w:val="fr-FR"/>
              </w:rPr>
            </w:pPr>
          </w:p>
          <w:p w14:paraId="5AF5DAAD" w14:textId="77777777" w:rsidP="00C6646A" w:rsidR="004B4C46" w:rsidRDefault="004B4C46" w:rsidRPr="00163B94">
            <w:pPr>
              <w:jc w:val="both"/>
              <w:rPr>
                <w:rFonts w:ascii="Century Schoolbook" w:hAnsi="Century Schoolbook"/>
                <w:lang w:val="fr-FR"/>
              </w:rPr>
            </w:pPr>
          </w:p>
          <w:p w14:paraId="24D30A86" w14:textId="77777777" w:rsidP="00C6646A" w:rsidR="004B4C46" w:rsidRDefault="004B4C46" w:rsidRPr="00163B94">
            <w:pPr>
              <w:jc w:val="both"/>
              <w:rPr>
                <w:rFonts w:ascii="Century Schoolbook" w:hAnsi="Century Schoolbook"/>
                <w:lang w:val="fr-FR"/>
              </w:rPr>
            </w:pPr>
          </w:p>
          <w:p w14:paraId="4F476AD4" w14:textId="77777777" w:rsidP="00C6646A" w:rsidR="004B4C46" w:rsidRDefault="004B4C46">
            <w:pPr>
              <w:jc w:val="both"/>
              <w:rPr>
                <w:rFonts w:ascii="Century Schoolbook" w:hAnsi="Century Schoolbook"/>
                <w:lang w:val="fr-FR"/>
              </w:rPr>
            </w:pPr>
          </w:p>
          <w:p w14:paraId="01DA310B" w14:textId="77777777" w:rsidP="00C6646A" w:rsidR="004B4C46" w:rsidRDefault="004B4C46">
            <w:pPr>
              <w:jc w:val="both"/>
              <w:rPr>
                <w:rFonts w:ascii="Century Schoolbook" w:hAnsi="Century Schoolbook"/>
                <w:lang w:val="fr-FR"/>
              </w:rPr>
            </w:pPr>
          </w:p>
          <w:p w14:paraId="2A98274C" w14:textId="77777777" w:rsidP="00C6646A" w:rsidR="004B4C46" w:rsidRDefault="004B4C46" w:rsidRPr="00163B94">
            <w:pPr>
              <w:jc w:val="both"/>
              <w:rPr>
                <w:rFonts w:ascii="Century Schoolbook" w:hAnsi="Century Schoolbook"/>
                <w:lang w:val="fr-FR"/>
              </w:rPr>
            </w:pPr>
          </w:p>
        </w:tc>
        <w:tc>
          <w:tcPr>
            <w:tcW w:type="dxa" w:w="4889"/>
          </w:tcPr>
          <w:p w14:paraId="2A286036" w14:textId="77777777" w:rsidP="00C6646A" w:rsidR="004B4C46" w:rsidRDefault="004B4C46" w:rsidRPr="00163B94">
            <w:pPr>
              <w:jc w:val="both"/>
              <w:rPr>
                <w:rFonts w:ascii="Century Schoolbook" w:hAnsi="Century Schoolbook"/>
                <w:lang w:val="fr-FR"/>
              </w:rPr>
            </w:pPr>
          </w:p>
        </w:tc>
      </w:tr>
      <w:tr w14:paraId="761956D6" w14:textId="77777777" w:rsidR="004B4C46" w:rsidRPr="00FB7BD7" w:rsidTr="00C6646A">
        <w:tc>
          <w:tcPr>
            <w:tcW w:type="dxa" w:w="4889"/>
          </w:tcPr>
          <w:p w14:paraId="12A96E7E" w14:textId="77777777" w:rsidP="00C6646A" w:rsidR="004B4C46" w:rsidRDefault="004B4C46" w:rsidRPr="00D25561">
            <w:pPr>
              <w:jc w:val="both"/>
              <w:rPr>
                <w:lang w:val="fr-FR"/>
              </w:rPr>
            </w:pPr>
            <w:r w:rsidRPr="00D25561">
              <w:rPr>
                <w:lang w:val="fr-FR"/>
              </w:rPr>
              <w:t>Pour la CGT</w:t>
            </w:r>
          </w:p>
          <w:p w14:paraId="0900A3FB" w14:textId="39624932" w:rsidP="00C6646A" w:rsidR="004B4C46" w:rsidRDefault="004B4C46" w:rsidRPr="00D25561">
            <w:pPr>
              <w:jc w:val="both"/>
              <w:rPr>
                <w:lang w:val="fr-FR"/>
              </w:rPr>
            </w:pPr>
          </w:p>
        </w:tc>
        <w:tc>
          <w:tcPr>
            <w:tcW w:type="dxa" w:w="4889"/>
          </w:tcPr>
          <w:p w14:paraId="789F7D3E" w14:textId="77777777" w:rsidP="00C6646A" w:rsidR="004B4C46" w:rsidRDefault="004B4C46" w:rsidRPr="00663A0F">
            <w:pPr>
              <w:jc w:val="both"/>
              <w:rPr>
                <w:lang w:val="de-DE"/>
              </w:rPr>
            </w:pPr>
            <w:r w:rsidRPr="00663A0F">
              <w:rPr>
                <w:lang w:val="de-DE"/>
              </w:rPr>
              <w:t>Pour FO</w:t>
            </w:r>
          </w:p>
          <w:p w14:paraId="1994A20C" w14:textId="0A9EC63A" w:rsidP="00C6646A" w:rsidR="004B4C46" w:rsidRDefault="004B4C46" w:rsidRPr="00663A0F">
            <w:pPr>
              <w:jc w:val="both"/>
              <w:rPr>
                <w:lang w:val="de-DE"/>
              </w:rPr>
            </w:pPr>
          </w:p>
        </w:tc>
      </w:tr>
      <w:tr w14:paraId="388E0FA6" w14:textId="77777777" w:rsidR="004B4C46" w:rsidRPr="00FB7BD7" w:rsidTr="00C6646A">
        <w:tc>
          <w:tcPr>
            <w:tcW w:type="dxa" w:w="4889"/>
          </w:tcPr>
          <w:p w14:paraId="45253D96" w14:textId="77777777" w:rsidP="00C6646A" w:rsidR="004B4C46" w:rsidRDefault="004B4C46" w:rsidRPr="00663A0F">
            <w:pPr>
              <w:jc w:val="both"/>
              <w:rPr>
                <w:lang w:val="de-DE"/>
              </w:rPr>
            </w:pPr>
          </w:p>
          <w:p w14:paraId="40B8886C" w14:textId="77777777" w:rsidP="00C6646A" w:rsidR="004B4C46" w:rsidRDefault="004B4C46" w:rsidRPr="00663A0F">
            <w:pPr>
              <w:jc w:val="both"/>
              <w:rPr>
                <w:lang w:val="de-DE"/>
              </w:rPr>
            </w:pPr>
          </w:p>
          <w:p w14:paraId="0256646A" w14:textId="77777777" w:rsidP="00C6646A" w:rsidR="004B4C46" w:rsidRDefault="004B4C46" w:rsidRPr="00663A0F">
            <w:pPr>
              <w:jc w:val="both"/>
              <w:rPr>
                <w:lang w:val="de-DE"/>
              </w:rPr>
            </w:pPr>
          </w:p>
          <w:p w14:paraId="4756ED6E" w14:textId="77777777" w:rsidP="00C6646A" w:rsidR="004B4C46" w:rsidRDefault="004B4C46" w:rsidRPr="00663A0F">
            <w:pPr>
              <w:jc w:val="both"/>
              <w:rPr>
                <w:lang w:val="de-DE"/>
              </w:rPr>
            </w:pPr>
          </w:p>
          <w:p w14:paraId="6CDF7445" w14:textId="77777777" w:rsidP="00C6646A" w:rsidR="004B4C46" w:rsidRDefault="004B4C46" w:rsidRPr="00663A0F">
            <w:pPr>
              <w:jc w:val="both"/>
              <w:rPr>
                <w:lang w:val="de-DE"/>
              </w:rPr>
            </w:pPr>
          </w:p>
          <w:p w14:paraId="537C6DB5" w14:textId="77777777" w:rsidP="00C6646A" w:rsidR="004B4C46" w:rsidRDefault="004B4C46" w:rsidRPr="00663A0F">
            <w:pPr>
              <w:jc w:val="both"/>
              <w:rPr>
                <w:lang w:val="de-DE"/>
              </w:rPr>
            </w:pPr>
          </w:p>
          <w:p w14:paraId="67898F4B" w14:textId="77777777" w:rsidP="00C6646A" w:rsidR="004B4C46" w:rsidRDefault="004B4C46" w:rsidRPr="00663A0F">
            <w:pPr>
              <w:jc w:val="both"/>
              <w:rPr>
                <w:lang w:val="de-DE"/>
              </w:rPr>
            </w:pPr>
          </w:p>
          <w:p w14:paraId="234B2895" w14:textId="77777777" w:rsidP="00C6646A" w:rsidR="004B4C46" w:rsidRDefault="004B4C46" w:rsidRPr="00663A0F">
            <w:pPr>
              <w:jc w:val="both"/>
              <w:rPr>
                <w:lang w:val="de-DE"/>
              </w:rPr>
            </w:pPr>
          </w:p>
        </w:tc>
        <w:tc>
          <w:tcPr>
            <w:tcW w:type="dxa" w:w="4889"/>
          </w:tcPr>
          <w:p w14:paraId="1560AB08" w14:textId="77777777" w:rsidP="00C6646A" w:rsidR="004B4C46" w:rsidRDefault="004B4C46" w:rsidRPr="00663A0F">
            <w:pPr>
              <w:jc w:val="both"/>
              <w:rPr>
                <w:lang w:val="de-DE"/>
              </w:rPr>
            </w:pPr>
          </w:p>
        </w:tc>
      </w:tr>
    </w:tbl>
    <w:p w14:paraId="3CFB208E" w14:textId="20B7AB86" w:rsidP="00264188" w:rsidR="004B4C46" w:rsidRDefault="004B4C46">
      <w:pPr>
        <w:jc w:val="both"/>
        <w:rPr>
          <w:lang w:val="de-DE"/>
        </w:rPr>
      </w:pPr>
    </w:p>
    <w:p w14:paraId="413C06ED" w14:textId="36E2845F" w:rsidP="00264188" w:rsidR="008D1A7C" w:rsidRDefault="008D1A7C">
      <w:pPr>
        <w:jc w:val="both"/>
        <w:rPr>
          <w:lang w:val="de-DE"/>
        </w:rPr>
      </w:pPr>
    </w:p>
    <w:p w14:paraId="2AFCF4EC" w14:textId="454CD55B" w:rsidP="00264188" w:rsidR="008D1A7C" w:rsidRDefault="008D1A7C">
      <w:pPr>
        <w:jc w:val="both"/>
        <w:rPr>
          <w:lang w:val="de-DE"/>
        </w:rPr>
      </w:pPr>
    </w:p>
    <w:p w14:paraId="2FA1D2CF" w14:textId="6E21255D" w:rsidP="00264188" w:rsidR="008D1A7C" w:rsidRDefault="008D1A7C">
      <w:pPr>
        <w:jc w:val="both"/>
        <w:rPr>
          <w:lang w:val="de-DE"/>
        </w:rPr>
      </w:pPr>
    </w:p>
    <w:p w14:paraId="08A35CA5" w14:textId="77777777" w:rsidP="00264188" w:rsidR="008D1A7C" w:rsidRDefault="008D1A7C" w:rsidRPr="00074B98">
      <w:pPr>
        <w:jc w:val="both"/>
        <w:rPr>
          <w:lang w:val="de-DE"/>
        </w:rPr>
      </w:pPr>
    </w:p>
    <w:sectPr w:rsidR="008D1A7C" w:rsidRPr="00074B98" w:rsidSect="002D5420">
      <w:footerReference r:id="rId8" w:type="even"/>
      <w:footerReference r:id="rId9" w:type="default"/>
      <w:pgSz w:h="15840" w:w="12240"/>
      <w:pgMar w:bottom="1135" w:footer="709" w:gutter="0" w:header="709" w:left="1134" w:right="1134" w:top="127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5BBEC9" w14:textId="77777777" w:rsidR="008D1A7C" w:rsidRDefault="008D1A7C">
      <w:r>
        <w:separator/>
      </w:r>
    </w:p>
  </w:endnote>
  <w:endnote w:type="continuationSeparator" w:id="0">
    <w:p w14:paraId="174EDCE7" w14:textId="77777777" w:rsidR="008D1A7C" w:rsidRDefault="008D1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r –¾’©">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4C6132FA" w14:textId="77777777" w:rsidP="004122CB" w:rsidR="008D1A7C" w:rsidRDefault="008D1A7C">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2</w:t>
    </w:r>
    <w:r>
      <w:rPr>
        <w:rStyle w:val="Numrodepage"/>
      </w:rPr>
      <w:fldChar w:fldCharType="end"/>
    </w:r>
  </w:p>
  <w:p w14:paraId="47ED6D2C" w14:textId="77777777" w:rsidP="0029103E" w:rsidR="008D1A7C" w:rsidRDefault="008D1A7C">
    <w:pPr>
      <w:pStyle w:val="Pieddepage"/>
      <w:ind w:right="360"/>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p w14:paraId="6A6D2C3E" w14:textId="021E2FB5" w:rsidR="008D1A7C" w:rsidRDefault="008D1A7C">
    <w:pPr>
      <w:pStyle w:val="Pieddepage"/>
      <w:jc w:val="right"/>
    </w:pPr>
    <w:r>
      <w:rPr>
        <w:noProof/>
      </w:rPr>
      <mc:AlternateContent>
        <mc:Choice Requires="wps">
          <w:drawing>
            <wp:anchor allowOverlap="1" behindDoc="0" distB="0" distL="114300" distR="114300" distT="0" layoutInCell="0" locked="0" relativeHeight="251659264" simplePos="0" wp14:anchorId="5B18F67D" wp14:editId="2150EFE7">
              <wp:simplePos x="0" y="0"/>
              <wp:positionH relativeFrom="page">
                <wp:posOffset>0</wp:posOffset>
              </wp:positionH>
              <wp:positionV relativeFrom="page">
                <wp:posOffset>9594215</wp:posOffset>
              </wp:positionV>
              <wp:extent cx="7772400" cy="273050"/>
              <wp:effectExtent b="12700" l="0" r="0" t="0"/>
              <wp:wrapNone/>
              <wp:docPr descr="{&quot;HashCode&quot;:1455167957,&quot;Height&quot;:792.0,&quot;Width&quot;:612.0,&quot;Placement&quot;:&quot;Footer&quot;,&quot;Index&quot;:&quot;Primary&quot;,&quot;Section&quot;:1,&quot;Top&quot;:0.0,&quot;Left&quot;:0.0}" id="1" name="MSIPCMdb8844a3862b02533959e0aa"/>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87C9B3" w14:textId="2730AC27" w:rsidP="00053E72" w:rsidR="008D1A7C" w:rsidRDefault="008D1A7C" w:rsidRPr="00053E72">
                          <w:pPr>
                            <w:jc w:val="center"/>
                            <w:rPr>
                              <w:rFonts w:ascii="Calibri" w:cs="Calibri" w:hAnsi="Calibri"/>
                              <w:color w:val="000000"/>
                              <w:sz w:val="20"/>
                            </w:rPr>
                          </w:pPr>
                          <w:r w:rsidRPr="00053E72">
                            <w:rPr>
                              <w:rFonts w:ascii="Calibri" w:cs="Calibri" w:hAnsi="Calibri"/>
                              <w:color w:val="000000"/>
                              <w:sz w:val="20"/>
                            </w:rPr>
                            <w:t>Classification - Internal</w:t>
                          </w:r>
                        </w:p>
                      </w:txbxContent>
                    </wps:txbx>
                    <wps:bodyPr anchor="b" anchorCtr="0" bIns="0" compatLnSpc="1" forceAA="0" fromWordArt="0" horzOverflow="overflow" lIns="91440" numCol="1" rIns="91440" rot="0" rtlCol="0" spcCol="0" spcFirstLastPara="0" tIns="0" vert="horz" vertOverflow="overflow" wrap="square">
                      <a:prstTxWarp prst="textNoShape">
                        <a:avLst/>
                      </a:prstTxWarp>
                      <a:noAutofit/>
                    </wps:bodyPr>
                  </wps:wsp>
                </a:graphicData>
              </a:graphic>
            </wp:anchor>
          </w:drawing>
        </mc:Choice>
        <mc:Fallback>
          <w:pict>
            <v:shapetype coordsize="21600,21600" id="_x0000_t202" o:spt="202" path="m,l,21600r21600,l21600,xe" w14:anchorId="5B18F67D">
              <v:stroke joinstyle="miter"/>
              <v:path gradientshapeok="t" o:connecttype="rect"/>
            </v:shapetype>
            <v:shape alt="{&quot;HashCode&quot;:1455167957,&quot;Height&quot;:792.0,&quot;Width&quot;:612.0,&quot;Placement&quot;:&quot;Footer&quot;,&quot;Index&quot;:&quot;Primary&quot;,&quot;Section&quot;:1,&quot;Top&quot;:0.0,&quot;Left&quot;:0.0}" filled="f" id="MSIPCMdb8844a3862b02533959e0aa"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CRxFbrQIAAEYFAAAOAAAAZHJzL2Uyb0RvYy54bWysVEtv2zAMvg/YfxB02GmLnacTr06RpchW IG0DpEPPiizHBmxRlZTa2bD/PspW0sd2GnaxKX4UHx9JXVw2VUmehDYFyIT2eyElQnJIC7lP6Pf7 1acpJcYymbISpEjoURh6OX//7qJWsRhADmUqNEEn0sS1SmhurYqDwPBcVMz0QAmJYAa6YhaPeh+k mtXovSqDQRhOghp0qjRwYQxqrzqQzlv/WSa4vcsyIywpE4q52far2+/OfYP5BYv3mqm84D4N9g9Z VKyQGPTs6opZRg66+MNVVXANBjLb41AFkGUFF20NWE0/fFPNNmdKtLUgOUadaTL/zy2/fdpoUqTY O0okq7BFN9vrzfIm3U2noxEbTieDXTgYD4ez8UyEjFGSCsORwZ8fHg9gP39jJl9CKrpT3B+Nx/1J NBtHHz0uin1uPRrNBr3QAw9FanOvn/Sf9ZuScVEJebrTmawArNCd7B1cy1Q03kH32+iiYvr4ymqL I4Cz6e36/u49KK8JzwmtRXaKicpfbjRqZWJkaKuQI9t8gcbR5PUGla7jTaYr98deEsRxyI7nwRKN JRyVURQNRiFCHLFBNAzH7eQFz7eVNvargIo4IaEas27niT2tjcWIaHoyccEkrIqybIe3lKRO6GSI Ll8heKOUeNHV0OXqJNvsGl/ADtIj1qWhWwqj+KrA4Gtm7IZp3ALMFzfb3uEnKwGDgJcoyUH/+Jve 2eNwIkpJjVuVUPN4YFpQUl5LHNtZfzRya9geUNAvtbuTVh6qJeDC4khiVq3obG15EjMN1QMu/sJF Q4hJjjETujuJS4snBPDh4GKxaGVcOMXsWm4Vd64dWY7S++aBaeV5t9ixWzjtHYvf0N/ZdjQvDhay ou2NI7Zj0/ONy9q2zD8s7jV4eW6tnp+/+W8AAAD//wMAUEsDBBQABgAIAAAAIQD7pgnR3gAAAAsB AAAPAAAAZHJzL2Rvd25yZXYueG1sTI/NTsMwEITvSLyDtUjcqNPQIhLiVAjEBQmhFsTZiTc/TbyO YrdN3p7NCY77zWh2JttNthdnHH3rSMF6FYFAKp1pqVbw/fV29wjCB01G945QwYwedvn1VaZT4y60 x/Mh1IJDyKdaQRPCkErpywat9is3ILFWudHqwOdYSzPqC4fbXsZR9CCtbok/NHrAlwbL7nCyCjaf SVHJY2ePH/P7PLdd9fNaVErd3kzPTyACTuHPDEt9rg45dyrciYwXvQIeEphu11ECYtHjeMOsWNj2 PgGZZ/L/hvwXAAD//wMAUEsBAi0AFAAGAAgAAAAhALaDOJL+AAAA4QEAABMAAAAAAAAAAAAAAAAA AAAAAFtDb250ZW50X1R5cGVzXS54bWxQSwECLQAUAAYACAAAACEAOP0h/9YAAACUAQAACwAAAAAA AAAAAAAAAAAvAQAAX3JlbHMvLnJlbHNQSwECLQAUAAYACAAAACEAwkcRW60CAABGBQAADgAAAAAA AAAAAAAAAAAuAgAAZHJzL2Uyb0RvYy54bWxQSwECLQAUAAYACAAAACEA+6YJ0d4AAAALAQAADwAA AAAAAAAAAAAAAAAHBQAAZHJzL2Rvd25yZXYueG1sUEsFBgAAAAAEAAQA8wAAABIGAAAAAA== " o:spid="_x0000_s1026" stroked="f" strokeweight=".5pt"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type="#_x0000_t202">
              <v:textbox inset=",0,,0">
                <w:txbxContent>
                  <w:p w14:paraId="5087C9B3" w14:textId="2730AC27" w:rsidP="00053E72" w:rsidR="008D1A7C" w:rsidRDefault="008D1A7C" w:rsidRPr="00053E72">
                    <w:pPr>
                      <w:jc w:val="center"/>
                      <w:rPr>
                        <w:rFonts w:ascii="Calibri" w:cs="Calibri" w:hAnsi="Calibri"/>
                        <w:color w:val="000000"/>
                        <w:sz w:val="20"/>
                      </w:rPr>
                    </w:pPr>
                    <w:r w:rsidRPr="00053E72">
                      <w:rPr>
                        <w:rFonts w:ascii="Calibri" w:cs="Calibri" w:hAnsi="Calibri"/>
                        <w:color w:val="000000"/>
                        <w:sz w:val="20"/>
                      </w:rPr>
                      <w:t>Classification - Internal</w:t>
                    </w:r>
                  </w:p>
                </w:txbxContent>
              </v:textbox>
              <w10:wrap anchorx="page" anchory="page"/>
            </v:shape>
          </w:pict>
        </mc:Fallback>
      </mc:AlternateContent>
    </w:r>
    <w:sdt>
      <w:sdtPr>
        <w:id w:val="-1117604268"/>
        <w:docPartObj>
          <w:docPartGallery w:val="Page Numbers (Bottom of Page)"/>
          <w:docPartUnique/>
        </w:docPartObj>
      </w:sdtPr>
      <w:sdtEndPr/>
      <w:sdtContent>
        <w:r>
          <w:fldChar w:fldCharType="begin"/>
        </w:r>
        <w:r>
          <w:instrText>PAGE   \* MERGEFORMAT</w:instrText>
        </w:r>
        <w:r>
          <w:fldChar w:fldCharType="separate"/>
        </w:r>
        <w:r w:rsidRPr="004B607C">
          <w:rPr>
            <w:noProof/>
            <w:lang w:val="fr-FR"/>
          </w:rPr>
          <w:t>8</w:t>
        </w:r>
        <w:r>
          <w:fldChar w:fldCharType="end"/>
        </w:r>
      </w:sdtContent>
    </w:sdt>
  </w:p>
  <w:p w14:paraId="7947447A" w14:textId="77777777" w:rsidR="008D1A7C" w:rsidRDefault="008D1A7C" w:rsidRPr="00356ADA">
    <w:pPr>
      <w:pStyle w:val="Pieddepage"/>
      <w:pBdr>
        <w:top w:color="622423" w:space="1" w:sz="24" w:themeColor="accent2" w:themeShade="7F" w:val="thinThickSmallGap"/>
      </w:pBdr>
      <w:rPr>
        <w:rFonts w:asciiTheme="majorHAnsi" w:hAnsiTheme="majorHAnsi"/>
        <w:sz w:val="22"/>
        <w:lang w:val="fr-FR"/>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footnote w:id="-1" w:type="separator">
    <w:p w14:paraId="1AC9A736" w14:textId="77777777" w:rsidR="008D1A7C" w:rsidRDefault="008D1A7C">
      <w:r>
        <w:separator/>
      </w:r>
    </w:p>
  </w:footnote>
  <w:footnote w:id="0" w:type="continuationSeparator">
    <w:p w14:paraId="0C4AA6C5" w14:textId="77777777" w:rsidR="008D1A7C" w:rsidRDefault="008D1A7C">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0502494"/>
    <w:multiLevelType w:val="hybridMultilevel"/>
    <w:tmpl w:val="0F4C5C1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01A70CAD"/>
    <w:multiLevelType w:val="hybridMultilevel"/>
    <w:tmpl w:val="780CD33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2">
    <w:nsid w:val="0AD950A1"/>
    <w:multiLevelType w:val="hybridMultilevel"/>
    <w:tmpl w:val="E210FC62"/>
    <w:lvl w:ilvl="0" w:tplc="04090001">
      <w:start w:val="1"/>
      <w:numFmt w:val="bullet"/>
      <w:lvlText w:val=""/>
      <w:lvlJc w:val="left"/>
      <w:pPr>
        <w:tabs>
          <w:tab w:pos="1440" w:val="num"/>
        </w:tabs>
        <w:ind w:hanging="360" w:left="1440"/>
      </w:pPr>
      <w:rPr>
        <w:rFonts w:ascii="Symbol" w:hAnsi="Symbol" w:hint="default"/>
      </w:rPr>
    </w:lvl>
    <w:lvl w:ilvl="1" w:tentative="1" w:tplc="04090003">
      <w:start w:val="1"/>
      <w:numFmt w:val="bullet"/>
      <w:lvlText w:val="o"/>
      <w:lvlJc w:val="left"/>
      <w:pPr>
        <w:tabs>
          <w:tab w:pos="2160" w:val="num"/>
        </w:tabs>
        <w:ind w:hanging="360" w:left="2160"/>
      </w:pPr>
      <w:rPr>
        <w:rFonts w:ascii="Courier New" w:cs="Courier New" w:hAnsi="Courier New" w:hint="default"/>
      </w:rPr>
    </w:lvl>
    <w:lvl w:ilvl="2" w:tentative="1" w:tplc="04090005">
      <w:start w:val="1"/>
      <w:numFmt w:val="bullet"/>
      <w:lvlText w:val=""/>
      <w:lvlJc w:val="left"/>
      <w:pPr>
        <w:tabs>
          <w:tab w:pos="2880" w:val="num"/>
        </w:tabs>
        <w:ind w:hanging="360" w:left="2880"/>
      </w:pPr>
      <w:rPr>
        <w:rFonts w:ascii="Wingdings" w:hAnsi="Wingdings" w:hint="default"/>
      </w:rPr>
    </w:lvl>
    <w:lvl w:ilvl="3" w:tentative="1" w:tplc="04090001">
      <w:start w:val="1"/>
      <w:numFmt w:val="bullet"/>
      <w:lvlText w:val=""/>
      <w:lvlJc w:val="left"/>
      <w:pPr>
        <w:tabs>
          <w:tab w:pos="3600" w:val="num"/>
        </w:tabs>
        <w:ind w:hanging="360" w:left="3600"/>
      </w:pPr>
      <w:rPr>
        <w:rFonts w:ascii="Symbol" w:hAnsi="Symbol" w:hint="default"/>
      </w:rPr>
    </w:lvl>
    <w:lvl w:ilvl="4" w:tentative="1" w:tplc="04090003">
      <w:start w:val="1"/>
      <w:numFmt w:val="bullet"/>
      <w:lvlText w:val="o"/>
      <w:lvlJc w:val="left"/>
      <w:pPr>
        <w:tabs>
          <w:tab w:pos="4320" w:val="num"/>
        </w:tabs>
        <w:ind w:hanging="360" w:left="4320"/>
      </w:pPr>
      <w:rPr>
        <w:rFonts w:ascii="Courier New" w:cs="Courier New" w:hAnsi="Courier New" w:hint="default"/>
      </w:rPr>
    </w:lvl>
    <w:lvl w:ilvl="5" w:tentative="1" w:tplc="04090005">
      <w:start w:val="1"/>
      <w:numFmt w:val="bullet"/>
      <w:lvlText w:val=""/>
      <w:lvlJc w:val="left"/>
      <w:pPr>
        <w:tabs>
          <w:tab w:pos="5040" w:val="num"/>
        </w:tabs>
        <w:ind w:hanging="360" w:left="5040"/>
      </w:pPr>
      <w:rPr>
        <w:rFonts w:ascii="Wingdings" w:hAnsi="Wingdings" w:hint="default"/>
      </w:rPr>
    </w:lvl>
    <w:lvl w:ilvl="6" w:tentative="1" w:tplc="04090001">
      <w:start w:val="1"/>
      <w:numFmt w:val="bullet"/>
      <w:lvlText w:val=""/>
      <w:lvlJc w:val="left"/>
      <w:pPr>
        <w:tabs>
          <w:tab w:pos="5760" w:val="num"/>
        </w:tabs>
        <w:ind w:hanging="360" w:left="5760"/>
      </w:pPr>
      <w:rPr>
        <w:rFonts w:ascii="Symbol" w:hAnsi="Symbol" w:hint="default"/>
      </w:rPr>
    </w:lvl>
    <w:lvl w:ilvl="7" w:tentative="1" w:tplc="04090003">
      <w:start w:val="1"/>
      <w:numFmt w:val="bullet"/>
      <w:lvlText w:val="o"/>
      <w:lvlJc w:val="left"/>
      <w:pPr>
        <w:tabs>
          <w:tab w:pos="6480" w:val="num"/>
        </w:tabs>
        <w:ind w:hanging="360" w:left="6480"/>
      </w:pPr>
      <w:rPr>
        <w:rFonts w:ascii="Courier New" w:cs="Courier New" w:hAnsi="Courier New" w:hint="default"/>
      </w:rPr>
    </w:lvl>
    <w:lvl w:ilvl="8" w:tentative="1" w:tplc="04090005">
      <w:start w:val="1"/>
      <w:numFmt w:val="bullet"/>
      <w:lvlText w:val=""/>
      <w:lvlJc w:val="left"/>
      <w:pPr>
        <w:tabs>
          <w:tab w:pos="7200" w:val="num"/>
        </w:tabs>
        <w:ind w:hanging="360" w:left="7200"/>
      </w:pPr>
      <w:rPr>
        <w:rFonts w:ascii="Wingdings" w:hAnsi="Wingdings" w:hint="default"/>
      </w:rPr>
    </w:lvl>
  </w:abstractNum>
  <w:abstractNum w15:restartNumberingAfterBreak="0" w:abstractNumId="3">
    <w:nsid w:val="10327D63"/>
    <w:multiLevelType w:val="singleLevel"/>
    <w:tmpl w:val="00DC786A"/>
    <w:lvl w:ilvl="0">
      <w:numFmt w:val="bullet"/>
      <w:lvlText w:val=""/>
      <w:lvlJc w:val="left"/>
      <w:pPr>
        <w:tabs>
          <w:tab w:pos="360" w:val="num"/>
        </w:tabs>
        <w:ind w:hanging="360" w:left="360"/>
      </w:pPr>
      <w:rPr>
        <w:rFonts w:ascii="Symbol" w:hAnsi="Symbol" w:hint="default"/>
      </w:rPr>
    </w:lvl>
  </w:abstractNum>
  <w:abstractNum w15:restartNumberingAfterBreak="0" w:abstractNumId="4">
    <w:nsid w:val="128C38BF"/>
    <w:multiLevelType w:val="hybridMultilevel"/>
    <w:tmpl w:val="BA3893C6"/>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5">
    <w:nsid w:val="190B03AC"/>
    <w:multiLevelType w:val="hybridMultilevel"/>
    <w:tmpl w:val="22CC64D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19F8624B"/>
    <w:multiLevelType w:val="hybridMultilevel"/>
    <w:tmpl w:val="639CE092"/>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7">
    <w:nsid w:val="1E6B31F2"/>
    <w:multiLevelType w:val="hybridMultilevel"/>
    <w:tmpl w:val="839801E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02A2CCD"/>
    <w:multiLevelType w:val="hybridMultilevel"/>
    <w:tmpl w:val="CC14D8EA"/>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9">
    <w:nsid w:val="277E4F0B"/>
    <w:multiLevelType w:val="hybridMultilevel"/>
    <w:tmpl w:val="5A6664D2"/>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0">
    <w:nsid w:val="27CC766E"/>
    <w:multiLevelType w:val="hybridMultilevel"/>
    <w:tmpl w:val="4DECA9D2"/>
    <w:lvl w:ilvl="0" w:tplc="D6DA1FB4">
      <w:numFmt w:val="bullet"/>
      <w:lvlText w:val=""/>
      <w:lvlJc w:val="left"/>
      <w:pPr>
        <w:tabs>
          <w:tab w:pos="720" w:val="num"/>
        </w:tabs>
        <w:ind w:hanging="360" w:left="720"/>
      </w:pPr>
      <w:rPr>
        <w:rFonts w:ascii="Wingdings" w:cs="‚l‚r –¾’©" w:eastAsia="Calibri" w:hAnsi="Wingdings"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1">
    <w:nsid w:val="2B2B494E"/>
    <w:multiLevelType w:val="hybridMultilevel"/>
    <w:tmpl w:val="48C06BC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2">
    <w:nsid w:val="2CA331EA"/>
    <w:multiLevelType w:val="hybridMultilevel"/>
    <w:tmpl w:val="ECE0DB28"/>
    <w:lvl w:ilvl="0" w:tplc="0409000F">
      <w:start w:val="1"/>
      <w:numFmt w:val="decimal"/>
      <w:lvlText w:val="%1."/>
      <w:lvlJc w:val="left"/>
      <w:pPr>
        <w:tabs>
          <w:tab w:pos="720" w:val="num"/>
        </w:tabs>
        <w:ind w:hanging="360" w:left="720"/>
      </w:pPr>
      <w:rPr>
        <w:rFonts w:hint="default"/>
      </w:rPr>
    </w:lvl>
    <w:lvl w:ilvl="1" w:tplc="04090005">
      <w:start w:val="1"/>
      <w:numFmt w:val="bullet"/>
      <w:lvlText w:val=""/>
      <w:lvlJc w:val="left"/>
      <w:pPr>
        <w:tabs>
          <w:tab w:pos="1440" w:val="num"/>
        </w:tabs>
        <w:ind w:hanging="360" w:left="1440"/>
      </w:pPr>
      <w:rPr>
        <w:rFonts w:ascii="Wingdings" w:hAnsi="Wingdings" w:hint="default"/>
      </w:r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3">
    <w:nsid w:val="2E44186A"/>
    <w:multiLevelType w:val="hybridMultilevel"/>
    <w:tmpl w:val="8BE66FE6"/>
    <w:lvl w:ilvl="0" w:tplc="04090005">
      <w:start w:val="1"/>
      <w:numFmt w:val="bullet"/>
      <w:lvlText w:val=""/>
      <w:lvlJc w:val="left"/>
      <w:pPr>
        <w:tabs>
          <w:tab w:pos="720" w:val="num"/>
        </w:tabs>
        <w:ind w:hanging="360" w:left="720"/>
      </w:pPr>
      <w:rPr>
        <w:rFonts w:ascii="Wingdings" w:hAnsi="Wingdings"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4">
    <w:nsid w:val="31583A04"/>
    <w:multiLevelType w:val="hybridMultilevel"/>
    <w:tmpl w:val="F42A716A"/>
    <w:lvl w:ilvl="0" w:tplc="4AE23E42">
      <w:numFmt w:val="bullet"/>
      <w:lvlText w:val="-"/>
      <w:lvlJc w:val="left"/>
      <w:pPr>
        <w:tabs>
          <w:tab w:pos="720" w:val="num"/>
        </w:tabs>
        <w:ind w:hanging="360" w:left="720"/>
      </w:pPr>
      <w:rPr>
        <w:rFonts w:ascii="Times New Roman" w:cs="Times New Roman" w:eastAsia="MS Mincho" w:hAnsi="Times New Roman"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315E20A5"/>
    <w:multiLevelType w:val="hybridMultilevel"/>
    <w:tmpl w:val="38EAB31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32337F9C"/>
    <w:multiLevelType w:val="hybridMultilevel"/>
    <w:tmpl w:val="99F24A9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32D01181"/>
    <w:multiLevelType w:val="hybridMultilevel"/>
    <w:tmpl w:val="1F069AA0"/>
    <w:lvl w:ilvl="0" w:tplc="DBC010F8">
      <w:numFmt w:val="bullet"/>
      <w:lvlText w:val="-"/>
      <w:lvlJc w:val="left"/>
      <w:pPr>
        <w:ind w:hanging="360" w:left="1080"/>
      </w:pPr>
      <w:rPr>
        <w:rFonts w:ascii="Times New Roman" w:cs="Times New Roman" w:eastAsia="MS Mincho" w:hAnsi="Times New Roman"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8">
    <w:nsid w:val="35757DD5"/>
    <w:multiLevelType w:val="hybridMultilevel"/>
    <w:tmpl w:val="DB5005CE"/>
    <w:lvl w:ilvl="0" w:tplc="04090001">
      <w:start w:val="1"/>
      <w:numFmt w:val="bullet"/>
      <w:lvlText w:val=""/>
      <w:lvlJc w:val="left"/>
      <w:pPr>
        <w:tabs>
          <w:tab w:pos="360" w:val="num"/>
        </w:tabs>
        <w:ind w:hanging="360" w:left="360"/>
      </w:pPr>
      <w:rPr>
        <w:rFonts w:ascii="Symbol" w:hAnsi="Symbol" w:hint="default"/>
      </w:rPr>
    </w:lvl>
    <w:lvl w:ilvl="1" w:tplc="04090003">
      <w:start w:val="1"/>
      <w:numFmt w:val="bullet"/>
      <w:lvlText w:val="o"/>
      <w:lvlJc w:val="left"/>
      <w:pPr>
        <w:tabs>
          <w:tab w:pos="1080" w:val="num"/>
        </w:tabs>
        <w:ind w:hanging="360" w:left="1080"/>
      </w:pPr>
      <w:rPr>
        <w:rFonts w:ascii="Courier New" w:cs="Courier New" w:hAnsi="Courier New" w:hint="default"/>
      </w:rPr>
    </w:lvl>
    <w:lvl w:ilvl="2" w:tentative="1" w:tplc="04090005">
      <w:start w:val="1"/>
      <w:numFmt w:val="bullet"/>
      <w:lvlText w:val=""/>
      <w:lvlJc w:val="left"/>
      <w:pPr>
        <w:tabs>
          <w:tab w:pos="1800" w:val="num"/>
        </w:tabs>
        <w:ind w:hanging="360" w:left="1800"/>
      </w:pPr>
      <w:rPr>
        <w:rFonts w:ascii="Wingdings" w:hAnsi="Wingdings" w:hint="default"/>
      </w:rPr>
    </w:lvl>
    <w:lvl w:ilvl="3" w:tentative="1" w:tplc="04090001">
      <w:start w:val="1"/>
      <w:numFmt w:val="bullet"/>
      <w:lvlText w:val=""/>
      <w:lvlJc w:val="left"/>
      <w:pPr>
        <w:tabs>
          <w:tab w:pos="2520" w:val="num"/>
        </w:tabs>
        <w:ind w:hanging="360" w:left="2520"/>
      </w:pPr>
      <w:rPr>
        <w:rFonts w:ascii="Symbol" w:hAnsi="Symbol" w:hint="default"/>
      </w:rPr>
    </w:lvl>
    <w:lvl w:ilvl="4" w:tentative="1" w:tplc="04090003">
      <w:start w:val="1"/>
      <w:numFmt w:val="bullet"/>
      <w:lvlText w:val="o"/>
      <w:lvlJc w:val="left"/>
      <w:pPr>
        <w:tabs>
          <w:tab w:pos="3240" w:val="num"/>
        </w:tabs>
        <w:ind w:hanging="360" w:left="3240"/>
      </w:pPr>
      <w:rPr>
        <w:rFonts w:ascii="Courier New" w:cs="Courier New" w:hAnsi="Courier New" w:hint="default"/>
      </w:rPr>
    </w:lvl>
    <w:lvl w:ilvl="5" w:tentative="1" w:tplc="04090005">
      <w:start w:val="1"/>
      <w:numFmt w:val="bullet"/>
      <w:lvlText w:val=""/>
      <w:lvlJc w:val="left"/>
      <w:pPr>
        <w:tabs>
          <w:tab w:pos="3960" w:val="num"/>
        </w:tabs>
        <w:ind w:hanging="360" w:left="3960"/>
      </w:pPr>
      <w:rPr>
        <w:rFonts w:ascii="Wingdings" w:hAnsi="Wingdings" w:hint="default"/>
      </w:rPr>
    </w:lvl>
    <w:lvl w:ilvl="6" w:tentative="1" w:tplc="04090001">
      <w:start w:val="1"/>
      <w:numFmt w:val="bullet"/>
      <w:lvlText w:val=""/>
      <w:lvlJc w:val="left"/>
      <w:pPr>
        <w:tabs>
          <w:tab w:pos="4680" w:val="num"/>
        </w:tabs>
        <w:ind w:hanging="360" w:left="4680"/>
      </w:pPr>
      <w:rPr>
        <w:rFonts w:ascii="Symbol" w:hAnsi="Symbol" w:hint="default"/>
      </w:rPr>
    </w:lvl>
    <w:lvl w:ilvl="7" w:tentative="1" w:tplc="04090003">
      <w:start w:val="1"/>
      <w:numFmt w:val="bullet"/>
      <w:lvlText w:val="o"/>
      <w:lvlJc w:val="left"/>
      <w:pPr>
        <w:tabs>
          <w:tab w:pos="5400" w:val="num"/>
        </w:tabs>
        <w:ind w:hanging="360" w:left="5400"/>
      </w:pPr>
      <w:rPr>
        <w:rFonts w:ascii="Courier New" w:cs="Courier New" w:hAnsi="Courier New" w:hint="default"/>
      </w:rPr>
    </w:lvl>
    <w:lvl w:ilvl="8" w:tentative="1" w:tplc="04090005">
      <w:start w:val="1"/>
      <w:numFmt w:val="bullet"/>
      <w:lvlText w:val=""/>
      <w:lvlJc w:val="left"/>
      <w:pPr>
        <w:tabs>
          <w:tab w:pos="6120" w:val="num"/>
        </w:tabs>
        <w:ind w:hanging="360" w:left="6120"/>
      </w:pPr>
      <w:rPr>
        <w:rFonts w:ascii="Wingdings" w:hAnsi="Wingdings" w:hint="default"/>
      </w:rPr>
    </w:lvl>
  </w:abstractNum>
  <w:abstractNum w15:restartNumberingAfterBreak="0" w:abstractNumId="19">
    <w:nsid w:val="374A4A79"/>
    <w:multiLevelType w:val="hybridMultilevel"/>
    <w:tmpl w:val="7D4AF64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3B24187E"/>
    <w:multiLevelType w:val="hybridMultilevel"/>
    <w:tmpl w:val="87F8CA6C"/>
    <w:lvl w:ilvl="0" w:tplc="0B10C5AA">
      <w:start w:val="1"/>
      <w:numFmt w:val="bullet"/>
      <w:lvlText w:val=""/>
      <w:lvlJc w:val="left"/>
      <w:pPr>
        <w:tabs>
          <w:tab w:pos="720" w:val="num"/>
        </w:tabs>
        <w:ind w:hanging="360" w:left="720"/>
      </w:pPr>
      <w:rPr>
        <w:rFonts w:ascii="Symbol" w:hAnsi="Symbol" w:hint="default"/>
      </w:rPr>
    </w:lvl>
    <w:lvl w:ilvl="1" w:tentative="1" w:tplc="C6EE343E">
      <w:start w:val="1"/>
      <w:numFmt w:val="bullet"/>
      <w:lvlText w:val=""/>
      <w:lvlJc w:val="left"/>
      <w:pPr>
        <w:tabs>
          <w:tab w:pos="1440" w:val="num"/>
        </w:tabs>
        <w:ind w:hanging="360" w:left="1440"/>
      </w:pPr>
      <w:rPr>
        <w:rFonts w:ascii="Symbol" w:hAnsi="Symbol" w:hint="default"/>
      </w:rPr>
    </w:lvl>
    <w:lvl w:ilvl="2" w:tentative="1" w:tplc="B2DC3028">
      <w:start w:val="1"/>
      <w:numFmt w:val="bullet"/>
      <w:lvlText w:val=""/>
      <w:lvlJc w:val="left"/>
      <w:pPr>
        <w:tabs>
          <w:tab w:pos="2160" w:val="num"/>
        </w:tabs>
        <w:ind w:hanging="360" w:left="2160"/>
      </w:pPr>
      <w:rPr>
        <w:rFonts w:ascii="Symbol" w:hAnsi="Symbol" w:hint="default"/>
      </w:rPr>
    </w:lvl>
    <w:lvl w:ilvl="3" w:tentative="1" w:tplc="DF2C2E82">
      <w:start w:val="1"/>
      <w:numFmt w:val="bullet"/>
      <w:lvlText w:val=""/>
      <w:lvlJc w:val="left"/>
      <w:pPr>
        <w:tabs>
          <w:tab w:pos="2880" w:val="num"/>
        </w:tabs>
        <w:ind w:hanging="360" w:left="2880"/>
      </w:pPr>
      <w:rPr>
        <w:rFonts w:ascii="Symbol" w:hAnsi="Symbol" w:hint="default"/>
      </w:rPr>
    </w:lvl>
    <w:lvl w:ilvl="4" w:tentative="1" w:tplc="9788A85C">
      <w:start w:val="1"/>
      <w:numFmt w:val="bullet"/>
      <w:lvlText w:val=""/>
      <w:lvlJc w:val="left"/>
      <w:pPr>
        <w:tabs>
          <w:tab w:pos="3600" w:val="num"/>
        </w:tabs>
        <w:ind w:hanging="360" w:left="3600"/>
      </w:pPr>
      <w:rPr>
        <w:rFonts w:ascii="Symbol" w:hAnsi="Symbol" w:hint="default"/>
      </w:rPr>
    </w:lvl>
    <w:lvl w:ilvl="5" w:tentative="1" w:tplc="7B62D596">
      <w:start w:val="1"/>
      <w:numFmt w:val="bullet"/>
      <w:lvlText w:val=""/>
      <w:lvlJc w:val="left"/>
      <w:pPr>
        <w:tabs>
          <w:tab w:pos="4320" w:val="num"/>
        </w:tabs>
        <w:ind w:hanging="360" w:left="4320"/>
      </w:pPr>
      <w:rPr>
        <w:rFonts w:ascii="Symbol" w:hAnsi="Symbol" w:hint="default"/>
      </w:rPr>
    </w:lvl>
    <w:lvl w:ilvl="6" w:tentative="1" w:tplc="56149E06">
      <w:start w:val="1"/>
      <w:numFmt w:val="bullet"/>
      <w:lvlText w:val=""/>
      <w:lvlJc w:val="left"/>
      <w:pPr>
        <w:tabs>
          <w:tab w:pos="5040" w:val="num"/>
        </w:tabs>
        <w:ind w:hanging="360" w:left="5040"/>
      </w:pPr>
      <w:rPr>
        <w:rFonts w:ascii="Symbol" w:hAnsi="Symbol" w:hint="default"/>
      </w:rPr>
    </w:lvl>
    <w:lvl w:ilvl="7" w:tentative="1" w:tplc="FB60378C">
      <w:start w:val="1"/>
      <w:numFmt w:val="bullet"/>
      <w:lvlText w:val=""/>
      <w:lvlJc w:val="left"/>
      <w:pPr>
        <w:tabs>
          <w:tab w:pos="5760" w:val="num"/>
        </w:tabs>
        <w:ind w:hanging="360" w:left="5760"/>
      </w:pPr>
      <w:rPr>
        <w:rFonts w:ascii="Symbol" w:hAnsi="Symbol" w:hint="default"/>
      </w:rPr>
    </w:lvl>
    <w:lvl w:ilvl="8" w:tentative="1" w:tplc="4306925C">
      <w:start w:val="1"/>
      <w:numFmt w:val="bullet"/>
      <w:lvlText w:val=""/>
      <w:lvlJc w:val="left"/>
      <w:pPr>
        <w:tabs>
          <w:tab w:pos="6480" w:val="num"/>
        </w:tabs>
        <w:ind w:hanging="360" w:left="6480"/>
      </w:pPr>
      <w:rPr>
        <w:rFonts w:ascii="Symbol" w:hAnsi="Symbol" w:hint="default"/>
      </w:rPr>
    </w:lvl>
  </w:abstractNum>
  <w:abstractNum w15:restartNumberingAfterBreak="0" w:abstractNumId="21">
    <w:nsid w:val="3CE55C3F"/>
    <w:multiLevelType w:val="hybridMultilevel"/>
    <w:tmpl w:val="54546BC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40B776A5"/>
    <w:multiLevelType w:val="hybridMultilevel"/>
    <w:tmpl w:val="EE4EDE3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40ED7945"/>
    <w:multiLevelType w:val="hybridMultilevel"/>
    <w:tmpl w:val="516C2CF0"/>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4">
    <w:nsid w:val="448A1EAB"/>
    <w:multiLevelType w:val="hybridMultilevel"/>
    <w:tmpl w:val="17DCDC74"/>
    <w:lvl w:ilvl="0" w:tplc="FF4A6C4C">
      <w:numFmt w:val="bullet"/>
      <w:lvlText w:val="-"/>
      <w:lvlJc w:val="left"/>
      <w:pPr>
        <w:ind w:hanging="360" w:left="720"/>
      </w:pPr>
      <w:rPr>
        <w:rFonts w:ascii="Times New Roman" w:cs="Times New Roman" w:eastAsia="MS Mincho"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488D0413"/>
    <w:multiLevelType w:val="hybridMultilevel"/>
    <w:tmpl w:val="39BC456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6">
    <w:nsid w:val="4CB173A6"/>
    <w:multiLevelType w:val="hybridMultilevel"/>
    <w:tmpl w:val="168A0866"/>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27">
    <w:nsid w:val="4DD76C81"/>
    <w:multiLevelType w:val="hybridMultilevel"/>
    <w:tmpl w:val="C37606B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52862E1A"/>
    <w:multiLevelType w:val="multilevel"/>
    <w:tmpl w:val="F42A716A"/>
    <w:lvl w:ilvl="0">
      <w:numFmt w:val="bullet"/>
      <w:lvlText w:val="-"/>
      <w:lvlJc w:val="left"/>
      <w:pPr>
        <w:tabs>
          <w:tab w:pos="720" w:val="num"/>
        </w:tabs>
        <w:ind w:hanging="360" w:left="720"/>
      </w:pPr>
      <w:rPr>
        <w:rFonts w:ascii="Times New Roman" w:cs="Times New Roman" w:eastAsia="MS Mincho" w:hAnsi="Times New Roman" w:hint="default"/>
      </w:rPr>
    </w:lvl>
    <w:lvl w:ilvl="1">
      <w:start w:val="1"/>
      <w:numFmt w:val="bullet"/>
      <w:lvlText w:val="o"/>
      <w:lvlJc w:val="left"/>
      <w:pPr>
        <w:tabs>
          <w:tab w:pos="1440" w:val="num"/>
        </w:tabs>
        <w:ind w:hanging="360" w:left="1440"/>
      </w:pPr>
      <w:rPr>
        <w:rFonts w:ascii="Courier New" w:cs="Courier New" w:hAnsi="Courier New" w:hint="default"/>
      </w:rPr>
    </w:lvl>
    <w:lvl w:ilvl="2">
      <w:start w:val="1"/>
      <w:numFmt w:val="bullet"/>
      <w:lvlText w:val=""/>
      <w:lvlJc w:val="left"/>
      <w:pPr>
        <w:tabs>
          <w:tab w:pos="2160" w:val="num"/>
        </w:tabs>
        <w:ind w:hanging="360" w:left="2160"/>
      </w:pPr>
      <w:rPr>
        <w:rFonts w:ascii="Wingdings" w:hAnsi="Wingdings" w:hint="default"/>
      </w:rPr>
    </w:lvl>
    <w:lvl w:ilvl="3">
      <w:start w:val="1"/>
      <w:numFmt w:val="bullet"/>
      <w:lvlText w:val=""/>
      <w:lvlJc w:val="left"/>
      <w:pPr>
        <w:tabs>
          <w:tab w:pos="2880" w:val="num"/>
        </w:tabs>
        <w:ind w:hanging="360" w:left="2880"/>
      </w:pPr>
      <w:rPr>
        <w:rFonts w:ascii="Symbol" w:hAnsi="Symbol" w:hint="default"/>
      </w:rPr>
    </w:lvl>
    <w:lvl w:ilvl="4">
      <w:start w:val="1"/>
      <w:numFmt w:val="bullet"/>
      <w:lvlText w:val="o"/>
      <w:lvlJc w:val="left"/>
      <w:pPr>
        <w:tabs>
          <w:tab w:pos="3600" w:val="num"/>
        </w:tabs>
        <w:ind w:hanging="360" w:left="3600"/>
      </w:pPr>
      <w:rPr>
        <w:rFonts w:ascii="Courier New" w:cs="Courier New" w:hAnsi="Courier New" w:hint="default"/>
      </w:rPr>
    </w:lvl>
    <w:lvl w:ilvl="5">
      <w:start w:val="1"/>
      <w:numFmt w:val="bullet"/>
      <w:lvlText w:val=""/>
      <w:lvlJc w:val="left"/>
      <w:pPr>
        <w:tabs>
          <w:tab w:pos="4320" w:val="num"/>
        </w:tabs>
        <w:ind w:hanging="360" w:left="4320"/>
      </w:pPr>
      <w:rPr>
        <w:rFonts w:ascii="Wingdings" w:hAnsi="Wingdings" w:hint="default"/>
      </w:rPr>
    </w:lvl>
    <w:lvl w:ilvl="6">
      <w:start w:val="1"/>
      <w:numFmt w:val="bullet"/>
      <w:lvlText w:val=""/>
      <w:lvlJc w:val="left"/>
      <w:pPr>
        <w:tabs>
          <w:tab w:pos="5040" w:val="num"/>
        </w:tabs>
        <w:ind w:hanging="360" w:left="5040"/>
      </w:pPr>
      <w:rPr>
        <w:rFonts w:ascii="Symbol" w:hAnsi="Symbol" w:hint="default"/>
      </w:rPr>
    </w:lvl>
    <w:lvl w:ilvl="7">
      <w:start w:val="1"/>
      <w:numFmt w:val="bullet"/>
      <w:lvlText w:val="o"/>
      <w:lvlJc w:val="left"/>
      <w:pPr>
        <w:tabs>
          <w:tab w:pos="5760" w:val="num"/>
        </w:tabs>
        <w:ind w:hanging="360" w:left="5760"/>
      </w:pPr>
      <w:rPr>
        <w:rFonts w:ascii="Courier New" w:cs="Courier New" w:hAnsi="Courier New" w:hint="default"/>
      </w:rPr>
    </w:lvl>
    <w:lvl w:ilvl="8">
      <w:start w:val="1"/>
      <w:numFmt w:val="bullet"/>
      <w:lvlText w:val=""/>
      <w:lvlJc w:val="left"/>
      <w:pPr>
        <w:tabs>
          <w:tab w:pos="6480" w:val="num"/>
        </w:tabs>
        <w:ind w:hanging="360" w:left="6480"/>
      </w:pPr>
      <w:rPr>
        <w:rFonts w:ascii="Wingdings" w:hAnsi="Wingdings" w:hint="default"/>
      </w:rPr>
    </w:lvl>
  </w:abstractNum>
  <w:abstractNum w15:restartNumberingAfterBreak="0" w:abstractNumId="29">
    <w:nsid w:val="54A172F6"/>
    <w:multiLevelType w:val="hybridMultilevel"/>
    <w:tmpl w:val="397CD568"/>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0">
    <w:nsid w:val="56F24FA8"/>
    <w:multiLevelType w:val="hybridMultilevel"/>
    <w:tmpl w:val="E7EA7F2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1">
    <w:nsid w:val="5A39191F"/>
    <w:multiLevelType w:val="hybridMultilevel"/>
    <w:tmpl w:val="69623C98"/>
    <w:lvl w:ilvl="0" w:tplc="7E96D7FE">
      <w:start w:val="1"/>
      <w:numFmt w:val="bullet"/>
      <w:lvlText w:val="•"/>
      <w:lvlJc w:val="left"/>
      <w:pPr>
        <w:tabs>
          <w:tab w:pos="720" w:val="num"/>
        </w:tabs>
        <w:ind w:hanging="360" w:left="720"/>
      </w:pPr>
      <w:rPr>
        <w:rFonts w:ascii="Arial" w:hAnsi="Arial" w:hint="default"/>
      </w:rPr>
    </w:lvl>
    <w:lvl w:ilvl="1" w:tplc="B7526E9C">
      <w:start w:val="239"/>
      <w:numFmt w:val="bullet"/>
      <w:lvlText w:val="•"/>
      <w:lvlJc w:val="left"/>
      <w:pPr>
        <w:tabs>
          <w:tab w:pos="1440" w:val="num"/>
        </w:tabs>
        <w:ind w:hanging="360" w:left="1440"/>
      </w:pPr>
      <w:rPr>
        <w:rFonts w:ascii="Arial" w:hAnsi="Arial" w:hint="default"/>
      </w:rPr>
    </w:lvl>
    <w:lvl w:ilvl="2" w:tplc="D67A8A12">
      <w:start w:val="1"/>
      <w:numFmt w:val="bullet"/>
      <w:lvlText w:val="•"/>
      <w:lvlJc w:val="left"/>
      <w:pPr>
        <w:tabs>
          <w:tab w:pos="2160" w:val="num"/>
        </w:tabs>
        <w:ind w:hanging="360" w:left="2160"/>
      </w:pPr>
      <w:rPr>
        <w:rFonts w:ascii="Arial" w:hAnsi="Arial" w:hint="default"/>
      </w:rPr>
    </w:lvl>
    <w:lvl w:ilvl="3" w:tentative="1" w:tplc="539E3500">
      <w:start w:val="1"/>
      <w:numFmt w:val="bullet"/>
      <w:lvlText w:val="•"/>
      <w:lvlJc w:val="left"/>
      <w:pPr>
        <w:tabs>
          <w:tab w:pos="2880" w:val="num"/>
        </w:tabs>
        <w:ind w:hanging="360" w:left="2880"/>
      </w:pPr>
      <w:rPr>
        <w:rFonts w:ascii="Arial" w:hAnsi="Arial" w:hint="default"/>
      </w:rPr>
    </w:lvl>
    <w:lvl w:ilvl="4" w:tentative="1" w:tplc="BAF4A90E">
      <w:start w:val="1"/>
      <w:numFmt w:val="bullet"/>
      <w:lvlText w:val="•"/>
      <w:lvlJc w:val="left"/>
      <w:pPr>
        <w:tabs>
          <w:tab w:pos="3600" w:val="num"/>
        </w:tabs>
        <w:ind w:hanging="360" w:left="3600"/>
      </w:pPr>
      <w:rPr>
        <w:rFonts w:ascii="Arial" w:hAnsi="Arial" w:hint="default"/>
      </w:rPr>
    </w:lvl>
    <w:lvl w:ilvl="5" w:tentative="1" w:tplc="03BA63A6">
      <w:start w:val="1"/>
      <w:numFmt w:val="bullet"/>
      <w:lvlText w:val="•"/>
      <w:lvlJc w:val="left"/>
      <w:pPr>
        <w:tabs>
          <w:tab w:pos="4320" w:val="num"/>
        </w:tabs>
        <w:ind w:hanging="360" w:left="4320"/>
      </w:pPr>
      <w:rPr>
        <w:rFonts w:ascii="Arial" w:hAnsi="Arial" w:hint="default"/>
      </w:rPr>
    </w:lvl>
    <w:lvl w:ilvl="6" w:tentative="1" w:tplc="6EAAC9FC">
      <w:start w:val="1"/>
      <w:numFmt w:val="bullet"/>
      <w:lvlText w:val="•"/>
      <w:lvlJc w:val="left"/>
      <w:pPr>
        <w:tabs>
          <w:tab w:pos="5040" w:val="num"/>
        </w:tabs>
        <w:ind w:hanging="360" w:left="5040"/>
      </w:pPr>
      <w:rPr>
        <w:rFonts w:ascii="Arial" w:hAnsi="Arial" w:hint="default"/>
      </w:rPr>
    </w:lvl>
    <w:lvl w:ilvl="7" w:tentative="1" w:tplc="496411E2">
      <w:start w:val="1"/>
      <w:numFmt w:val="bullet"/>
      <w:lvlText w:val="•"/>
      <w:lvlJc w:val="left"/>
      <w:pPr>
        <w:tabs>
          <w:tab w:pos="5760" w:val="num"/>
        </w:tabs>
        <w:ind w:hanging="360" w:left="5760"/>
      </w:pPr>
      <w:rPr>
        <w:rFonts w:ascii="Arial" w:hAnsi="Arial" w:hint="default"/>
      </w:rPr>
    </w:lvl>
    <w:lvl w:ilvl="8" w:tentative="1" w:tplc="82DC9324">
      <w:start w:val="1"/>
      <w:numFmt w:val="bullet"/>
      <w:lvlText w:val="•"/>
      <w:lvlJc w:val="left"/>
      <w:pPr>
        <w:tabs>
          <w:tab w:pos="6480" w:val="num"/>
        </w:tabs>
        <w:ind w:hanging="360" w:left="6480"/>
      </w:pPr>
      <w:rPr>
        <w:rFonts w:ascii="Arial" w:hAnsi="Arial" w:hint="default"/>
      </w:rPr>
    </w:lvl>
  </w:abstractNum>
  <w:abstractNum w15:restartNumberingAfterBreak="0" w:abstractNumId="32">
    <w:nsid w:val="5BE34B98"/>
    <w:multiLevelType w:val="hybridMultilevel"/>
    <w:tmpl w:val="9656CAA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606D112C"/>
    <w:multiLevelType w:val="hybridMultilevel"/>
    <w:tmpl w:val="DCECD414"/>
    <w:lvl w:ilvl="0" w:tplc="04090005">
      <w:start w:val="1"/>
      <w:numFmt w:val="bullet"/>
      <w:lvlText w:val=""/>
      <w:lvlJc w:val="left"/>
      <w:pPr>
        <w:tabs>
          <w:tab w:pos="720" w:val="num"/>
        </w:tabs>
        <w:ind w:hanging="360" w:left="720"/>
      </w:pPr>
      <w:rPr>
        <w:rFonts w:ascii="Wingdings" w:hAnsi="Wingdings"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4">
    <w:nsid w:val="60722EB1"/>
    <w:multiLevelType w:val="hybridMultilevel"/>
    <w:tmpl w:val="03E24D56"/>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35">
    <w:nsid w:val="651E71E6"/>
    <w:multiLevelType w:val="hybridMultilevel"/>
    <w:tmpl w:val="9D100310"/>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36">
    <w:nsid w:val="6E712759"/>
    <w:multiLevelType w:val="hybridMultilevel"/>
    <w:tmpl w:val="F5988254"/>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37">
    <w:nsid w:val="6E993155"/>
    <w:multiLevelType w:val="hybridMultilevel"/>
    <w:tmpl w:val="FAA4F7B4"/>
    <w:lvl w:ilvl="0" w:tplc="04090001">
      <w:start w:val="1"/>
      <w:numFmt w:val="bullet"/>
      <w:lvlText w:val=""/>
      <w:lvlJc w:val="left"/>
      <w:pPr>
        <w:tabs>
          <w:tab w:pos="720" w:val="num"/>
        </w:tabs>
        <w:ind w:hanging="360" w:left="720"/>
      </w:pPr>
      <w:rPr>
        <w:rFonts w:ascii="Symbol" w:hAnsi="Symbol" w:hint="default"/>
      </w:rPr>
    </w:lvl>
    <w:lvl w:ilvl="1" w:tentative="1" w:tplc="04090003">
      <w:start w:val="1"/>
      <w:numFmt w:val="bullet"/>
      <w:lvlText w:val="o"/>
      <w:lvlJc w:val="left"/>
      <w:pPr>
        <w:tabs>
          <w:tab w:pos="1440" w:val="num"/>
        </w:tabs>
        <w:ind w:hanging="360" w:left="1440"/>
      </w:pPr>
      <w:rPr>
        <w:rFonts w:ascii="Courier New" w:cs="Courier New" w:hAnsi="Courier New" w:hint="default"/>
      </w:rPr>
    </w:lvl>
    <w:lvl w:ilvl="2" w:tentative="1" w:tplc="04090005">
      <w:start w:val="1"/>
      <w:numFmt w:val="bullet"/>
      <w:lvlText w:val=""/>
      <w:lvlJc w:val="left"/>
      <w:pPr>
        <w:tabs>
          <w:tab w:pos="2160" w:val="num"/>
        </w:tabs>
        <w:ind w:hanging="360" w:left="2160"/>
      </w:pPr>
      <w:rPr>
        <w:rFonts w:ascii="Wingdings" w:hAnsi="Wingdings" w:hint="default"/>
      </w:rPr>
    </w:lvl>
    <w:lvl w:ilvl="3" w:tentative="1" w:tplc="04090001">
      <w:start w:val="1"/>
      <w:numFmt w:val="bullet"/>
      <w:lvlText w:val=""/>
      <w:lvlJc w:val="left"/>
      <w:pPr>
        <w:tabs>
          <w:tab w:pos="2880" w:val="num"/>
        </w:tabs>
        <w:ind w:hanging="360" w:left="2880"/>
      </w:pPr>
      <w:rPr>
        <w:rFonts w:ascii="Symbol" w:hAnsi="Symbol" w:hint="default"/>
      </w:rPr>
    </w:lvl>
    <w:lvl w:ilvl="4" w:tentative="1" w:tplc="04090003">
      <w:start w:val="1"/>
      <w:numFmt w:val="bullet"/>
      <w:lvlText w:val="o"/>
      <w:lvlJc w:val="left"/>
      <w:pPr>
        <w:tabs>
          <w:tab w:pos="3600" w:val="num"/>
        </w:tabs>
        <w:ind w:hanging="360" w:left="3600"/>
      </w:pPr>
      <w:rPr>
        <w:rFonts w:ascii="Courier New" w:cs="Courier New" w:hAnsi="Courier New" w:hint="default"/>
      </w:rPr>
    </w:lvl>
    <w:lvl w:ilvl="5" w:tentative="1" w:tplc="04090005">
      <w:start w:val="1"/>
      <w:numFmt w:val="bullet"/>
      <w:lvlText w:val=""/>
      <w:lvlJc w:val="left"/>
      <w:pPr>
        <w:tabs>
          <w:tab w:pos="4320" w:val="num"/>
        </w:tabs>
        <w:ind w:hanging="360" w:left="4320"/>
      </w:pPr>
      <w:rPr>
        <w:rFonts w:ascii="Wingdings" w:hAnsi="Wingdings" w:hint="default"/>
      </w:rPr>
    </w:lvl>
    <w:lvl w:ilvl="6" w:tentative="1" w:tplc="04090001">
      <w:start w:val="1"/>
      <w:numFmt w:val="bullet"/>
      <w:lvlText w:val=""/>
      <w:lvlJc w:val="left"/>
      <w:pPr>
        <w:tabs>
          <w:tab w:pos="5040" w:val="num"/>
        </w:tabs>
        <w:ind w:hanging="360" w:left="5040"/>
      </w:pPr>
      <w:rPr>
        <w:rFonts w:ascii="Symbol" w:hAnsi="Symbol" w:hint="default"/>
      </w:rPr>
    </w:lvl>
    <w:lvl w:ilvl="7" w:tentative="1" w:tplc="04090003">
      <w:start w:val="1"/>
      <w:numFmt w:val="bullet"/>
      <w:lvlText w:val="o"/>
      <w:lvlJc w:val="left"/>
      <w:pPr>
        <w:tabs>
          <w:tab w:pos="5760" w:val="num"/>
        </w:tabs>
        <w:ind w:hanging="360" w:left="5760"/>
      </w:pPr>
      <w:rPr>
        <w:rFonts w:ascii="Courier New" w:cs="Courier New" w:hAnsi="Courier New" w:hint="default"/>
      </w:rPr>
    </w:lvl>
    <w:lvl w:ilvl="8" w:tentative="1" w:tplc="04090005">
      <w:start w:val="1"/>
      <w:numFmt w:val="bullet"/>
      <w:lvlText w:val=""/>
      <w:lvlJc w:val="left"/>
      <w:pPr>
        <w:tabs>
          <w:tab w:pos="6480" w:val="num"/>
        </w:tabs>
        <w:ind w:hanging="360" w:left="6480"/>
      </w:pPr>
      <w:rPr>
        <w:rFonts w:ascii="Wingdings" w:hAnsi="Wingdings" w:hint="default"/>
      </w:rPr>
    </w:lvl>
  </w:abstractNum>
  <w:abstractNum w15:restartNumberingAfterBreak="0" w:abstractNumId="38">
    <w:nsid w:val="706E0212"/>
    <w:multiLevelType w:val="hybridMultilevel"/>
    <w:tmpl w:val="3470393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9">
    <w:nsid w:val="719235F0"/>
    <w:multiLevelType w:val="hybridMultilevel"/>
    <w:tmpl w:val="DD1AF30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0">
    <w:nsid w:val="7302565B"/>
    <w:multiLevelType w:val="hybridMultilevel"/>
    <w:tmpl w:val="C202649E"/>
    <w:lvl w:ilvl="0" w:tplc="ABDC8E04">
      <w:numFmt w:val="bullet"/>
      <w:lvlText w:val="-"/>
      <w:lvlJc w:val="left"/>
      <w:pPr>
        <w:ind w:hanging="360" w:left="720"/>
      </w:pPr>
      <w:rPr>
        <w:rFonts w:ascii="Times New Roman" w:cs="Times New Roman" w:eastAsia="MS Mincho"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1">
    <w:nsid w:val="751B5691"/>
    <w:multiLevelType w:val="hybridMultilevel"/>
    <w:tmpl w:val="6BAE5684"/>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18"/>
  </w:num>
  <w:num w:numId="2">
    <w:abstractNumId w:val="2"/>
  </w:num>
  <w:num w:numId="3">
    <w:abstractNumId w:val="8"/>
  </w:num>
  <w:num w:numId="4">
    <w:abstractNumId w:val="9"/>
  </w:num>
  <w:num w:numId="5">
    <w:abstractNumId w:val="37"/>
  </w:num>
  <w:num w:numId="6">
    <w:abstractNumId w:val="6"/>
  </w:num>
  <w:num w:numId="7">
    <w:abstractNumId w:val="4"/>
  </w:num>
  <w:num w:numId="8">
    <w:abstractNumId w:val="12"/>
  </w:num>
  <w:num w:numId="9">
    <w:abstractNumId w:val="3"/>
  </w:num>
  <w:num w:numId="10">
    <w:abstractNumId w:val="10"/>
  </w:num>
  <w:num w:numId="11">
    <w:abstractNumId w:val="14"/>
  </w:num>
  <w:num w:numId="12">
    <w:abstractNumId w:val="28"/>
  </w:num>
  <w:num w:numId="13">
    <w:abstractNumId w:val="33"/>
  </w:num>
  <w:num w:numId="14">
    <w:abstractNumId w:val="13"/>
  </w:num>
  <w:num w:numId="15">
    <w:abstractNumId w:val="29"/>
  </w:num>
  <w:num w:numId="16">
    <w:abstractNumId w:val="23"/>
  </w:num>
  <w:num w:numId="17">
    <w:abstractNumId w:val="26"/>
  </w:num>
  <w:num w:numId="18">
    <w:abstractNumId w:val="16"/>
  </w:num>
  <w:num w:numId="19">
    <w:abstractNumId w:val="22"/>
  </w:num>
  <w:num w:numId="20">
    <w:abstractNumId w:val="24"/>
  </w:num>
  <w:num w:numId="21">
    <w:abstractNumId w:val="25"/>
  </w:num>
  <w:num w:numId="22">
    <w:abstractNumId w:val="7"/>
  </w:num>
  <w:num w:numId="23">
    <w:abstractNumId w:val="15"/>
  </w:num>
  <w:num w:numId="24">
    <w:abstractNumId w:val="34"/>
  </w:num>
  <w:num w:numId="25">
    <w:abstractNumId w:val="32"/>
  </w:num>
  <w:num w:numId="26">
    <w:abstractNumId w:val="38"/>
  </w:num>
  <w:num w:numId="27">
    <w:abstractNumId w:val="21"/>
  </w:num>
  <w:num w:numId="28">
    <w:abstractNumId w:val="31"/>
  </w:num>
  <w:num w:numId="29">
    <w:abstractNumId w:val="35"/>
  </w:num>
  <w:num w:numId="30">
    <w:abstractNumId w:val="41"/>
  </w:num>
  <w:num w:numId="31">
    <w:abstractNumId w:val="19"/>
  </w:num>
  <w:num w:numId="32">
    <w:abstractNumId w:val="39"/>
  </w:num>
  <w:num w:numId="33">
    <w:abstractNumId w:val="0"/>
  </w:num>
  <w:num w:numId="34">
    <w:abstractNumId w:val="36"/>
  </w:num>
  <w:num w:numId="35">
    <w:abstractNumId w:val="30"/>
  </w:num>
  <w:num w:numId="36">
    <w:abstractNumId w:val="40"/>
  </w:num>
  <w:num w:numId="37">
    <w:abstractNumId w:val="27"/>
  </w:num>
  <w:num w:numId="38">
    <w:abstractNumId w:val="20"/>
  </w:num>
  <w:num w:numId="39">
    <w:abstractNumId w:val="1"/>
  </w:num>
  <w:num w:numId="40">
    <w:abstractNumId w:val="11"/>
  </w:num>
  <w:num w:numId="41">
    <w:abstractNumId w:val="5"/>
  </w:num>
  <w:num w:numId="42">
    <w:abstractNumId w:val="36"/>
  </w:num>
  <w:num w:numId="43">
    <w:abstractNumId w:val="1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zoom w:percent="12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20"/>
  <w:hyphenationZone w:val="425"/>
  <w:characterSpacingControl w:val="doNotCompress"/>
  <w:hdrShapeDefaults>
    <o:shapedefaults spidmax="4097"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8136C3BF-F3A7-4E0C-98E9-991639C15C14}"/>
    <w:docVar w:name="dgnword-eventsink" w:val="11100512"/>
  </w:docVars>
  <w:rsids>
    <w:rsidRoot w:val="003851F6"/>
    <w:rsid w:val="000042B4"/>
    <w:rsid w:val="000074A5"/>
    <w:rsid w:val="000120D8"/>
    <w:rsid w:val="00013A96"/>
    <w:rsid w:val="00014AC9"/>
    <w:rsid w:val="00015CE9"/>
    <w:rsid w:val="00016051"/>
    <w:rsid w:val="00016178"/>
    <w:rsid w:val="00017278"/>
    <w:rsid w:val="00017D04"/>
    <w:rsid w:val="00020239"/>
    <w:rsid w:val="00020EA3"/>
    <w:rsid w:val="00021A0A"/>
    <w:rsid w:val="00022E0A"/>
    <w:rsid w:val="00025CBD"/>
    <w:rsid w:val="000275FE"/>
    <w:rsid w:val="000343CA"/>
    <w:rsid w:val="000450DC"/>
    <w:rsid w:val="00053C89"/>
    <w:rsid w:val="00053D8A"/>
    <w:rsid w:val="00053E72"/>
    <w:rsid w:val="000609D1"/>
    <w:rsid w:val="00060EE7"/>
    <w:rsid w:val="000640D4"/>
    <w:rsid w:val="000666A8"/>
    <w:rsid w:val="00066F79"/>
    <w:rsid w:val="00067D2B"/>
    <w:rsid w:val="00067E71"/>
    <w:rsid w:val="0007015F"/>
    <w:rsid w:val="000702BF"/>
    <w:rsid w:val="0007404D"/>
    <w:rsid w:val="000758AC"/>
    <w:rsid w:val="000777A0"/>
    <w:rsid w:val="00077809"/>
    <w:rsid w:val="000779FA"/>
    <w:rsid w:val="00081D97"/>
    <w:rsid w:val="00082B0E"/>
    <w:rsid w:val="00085143"/>
    <w:rsid w:val="000858C8"/>
    <w:rsid w:val="00093A23"/>
    <w:rsid w:val="00094A5E"/>
    <w:rsid w:val="00095E2C"/>
    <w:rsid w:val="00097A4A"/>
    <w:rsid w:val="000A02AE"/>
    <w:rsid w:val="000A3A43"/>
    <w:rsid w:val="000A74D9"/>
    <w:rsid w:val="000B32ED"/>
    <w:rsid w:val="000B40F9"/>
    <w:rsid w:val="000C0187"/>
    <w:rsid w:val="000C1842"/>
    <w:rsid w:val="000C1D92"/>
    <w:rsid w:val="000C55BF"/>
    <w:rsid w:val="000C77F6"/>
    <w:rsid w:val="000C7C1C"/>
    <w:rsid w:val="000D0C6A"/>
    <w:rsid w:val="000D1D28"/>
    <w:rsid w:val="000D2E22"/>
    <w:rsid w:val="000D76BB"/>
    <w:rsid w:val="000D7F61"/>
    <w:rsid w:val="000E21C9"/>
    <w:rsid w:val="000E6408"/>
    <w:rsid w:val="000F2973"/>
    <w:rsid w:val="000F3322"/>
    <w:rsid w:val="000F46FA"/>
    <w:rsid w:val="00100E19"/>
    <w:rsid w:val="00101124"/>
    <w:rsid w:val="00107189"/>
    <w:rsid w:val="001125D0"/>
    <w:rsid w:val="00112AB5"/>
    <w:rsid w:val="001144D8"/>
    <w:rsid w:val="0011495A"/>
    <w:rsid w:val="00116E6E"/>
    <w:rsid w:val="0011716F"/>
    <w:rsid w:val="00117DB4"/>
    <w:rsid w:val="0012239E"/>
    <w:rsid w:val="00122485"/>
    <w:rsid w:val="001237E1"/>
    <w:rsid w:val="00124113"/>
    <w:rsid w:val="00131334"/>
    <w:rsid w:val="00134297"/>
    <w:rsid w:val="00136734"/>
    <w:rsid w:val="00137E3D"/>
    <w:rsid w:val="0014178E"/>
    <w:rsid w:val="00144D78"/>
    <w:rsid w:val="00145556"/>
    <w:rsid w:val="001507AB"/>
    <w:rsid w:val="00150DD9"/>
    <w:rsid w:val="00153821"/>
    <w:rsid w:val="00153FAA"/>
    <w:rsid w:val="00156294"/>
    <w:rsid w:val="001563BB"/>
    <w:rsid w:val="001565C6"/>
    <w:rsid w:val="001602B9"/>
    <w:rsid w:val="00162112"/>
    <w:rsid w:val="00163324"/>
    <w:rsid w:val="00163B94"/>
    <w:rsid w:val="00166753"/>
    <w:rsid w:val="0016715E"/>
    <w:rsid w:val="001679A8"/>
    <w:rsid w:val="001751F1"/>
    <w:rsid w:val="001829EC"/>
    <w:rsid w:val="001842E8"/>
    <w:rsid w:val="00184A2B"/>
    <w:rsid w:val="00185A4A"/>
    <w:rsid w:val="00190ACF"/>
    <w:rsid w:val="0019284B"/>
    <w:rsid w:val="00193CF8"/>
    <w:rsid w:val="001941BF"/>
    <w:rsid w:val="001969EF"/>
    <w:rsid w:val="001A0102"/>
    <w:rsid w:val="001A1E71"/>
    <w:rsid w:val="001A2D89"/>
    <w:rsid w:val="001A596B"/>
    <w:rsid w:val="001A75E8"/>
    <w:rsid w:val="001A7820"/>
    <w:rsid w:val="001A7D37"/>
    <w:rsid w:val="001A7FDB"/>
    <w:rsid w:val="001C0608"/>
    <w:rsid w:val="001C4D8E"/>
    <w:rsid w:val="001C5121"/>
    <w:rsid w:val="001D0C50"/>
    <w:rsid w:val="001D44D5"/>
    <w:rsid w:val="001D4BC5"/>
    <w:rsid w:val="001E590D"/>
    <w:rsid w:val="001E6D2E"/>
    <w:rsid w:val="001E78D1"/>
    <w:rsid w:val="001F0604"/>
    <w:rsid w:val="001F0E16"/>
    <w:rsid w:val="001F36AA"/>
    <w:rsid w:val="001F3888"/>
    <w:rsid w:val="001F3CC9"/>
    <w:rsid w:val="001F5910"/>
    <w:rsid w:val="001F62E1"/>
    <w:rsid w:val="001F6A03"/>
    <w:rsid w:val="00200BE1"/>
    <w:rsid w:val="00200EF4"/>
    <w:rsid w:val="00203F58"/>
    <w:rsid w:val="00205826"/>
    <w:rsid w:val="00207066"/>
    <w:rsid w:val="00207077"/>
    <w:rsid w:val="00207941"/>
    <w:rsid w:val="00210EF9"/>
    <w:rsid w:val="0021139E"/>
    <w:rsid w:val="00212748"/>
    <w:rsid w:val="00212A18"/>
    <w:rsid w:val="00212B08"/>
    <w:rsid w:val="002148C8"/>
    <w:rsid w:val="002152CB"/>
    <w:rsid w:val="002160B8"/>
    <w:rsid w:val="002161DB"/>
    <w:rsid w:val="0021700B"/>
    <w:rsid w:val="0022046B"/>
    <w:rsid w:val="002212E8"/>
    <w:rsid w:val="0022337C"/>
    <w:rsid w:val="00224962"/>
    <w:rsid w:val="00224B58"/>
    <w:rsid w:val="002254B6"/>
    <w:rsid w:val="00225C3C"/>
    <w:rsid w:val="00225DB9"/>
    <w:rsid w:val="00227DAE"/>
    <w:rsid w:val="00231167"/>
    <w:rsid w:val="00231B9B"/>
    <w:rsid w:val="00233939"/>
    <w:rsid w:val="0023660C"/>
    <w:rsid w:val="0024179B"/>
    <w:rsid w:val="002420B6"/>
    <w:rsid w:val="00244F81"/>
    <w:rsid w:val="00245291"/>
    <w:rsid w:val="002524A1"/>
    <w:rsid w:val="002528EA"/>
    <w:rsid w:val="00253B84"/>
    <w:rsid w:val="00256134"/>
    <w:rsid w:val="002601EB"/>
    <w:rsid w:val="002613E9"/>
    <w:rsid w:val="00261984"/>
    <w:rsid w:val="0026370A"/>
    <w:rsid w:val="00264188"/>
    <w:rsid w:val="00264E8B"/>
    <w:rsid w:val="002704C8"/>
    <w:rsid w:val="00273241"/>
    <w:rsid w:val="00273CFA"/>
    <w:rsid w:val="002746B0"/>
    <w:rsid w:val="00277C28"/>
    <w:rsid w:val="00282D34"/>
    <w:rsid w:val="002847D7"/>
    <w:rsid w:val="00284C43"/>
    <w:rsid w:val="00290468"/>
    <w:rsid w:val="00290CFB"/>
    <w:rsid w:val="0029103E"/>
    <w:rsid w:val="002925D6"/>
    <w:rsid w:val="00292F0E"/>
    <w:rsid w:val="0029302D"/>
    <w:rsid w:val="002966C2"/>
    <w:rsid w:val="00297A65"/>
    <w:rsid w:val="002A700D"/>
    <w:rsid w:val="002A7E25"/>
    <w:rsid w:val="002B079B"/>
    <w:rsid w:val="002B13AD"/>
    <w:rsid w:val="002B1AF4"/>
    <w:rsid w:val="002B49CE"/>
    <w:rsid w:val="002B50ED"/>
    <w:rsid w:val="002C11F7"/>
    <w:rsid w:val="002C4B7D"/>
    <w:rsid w:val="002C6960"/>
    <w:rsid w:val="002D076B"/>
    <w:rsid w:val="002D1F5A"/>
    <w:rsid w:val="002D4A44"/>
    <w:rsid w:val="002D4F3B"/>
    <w:rsid w:val="002D5420"/>
    <w:rsid w:val="002E2CEA"/>
    <w:rsid w:val="002E4291"/>
    <w:rsid w:val="002E6928"/>
    <w:rsid w:val="002F1EE8"/>
    <w:rsid w:val="002F2D41"/>
    <w:rsid w:val="002F6A96"/>
    <w:rsid w:val="002F7F1E"/>
    <w:rsid w:val="00300607"/>
    <w:rsid w:val="00300DA0"/>
    <w:rsid w:val="003014C3"/>
    <w:rsid w:val="00304D24"/>
    <w:rsid w:val="00305984"/>
    <w:rsid w:val="003070D4"/>
    <w:rsid w:val="00313009"/>
    <w:rsid w:val="00313F72"/>
    <w:rsid w:val="00315915"/>
    <w:rsid w:val="00317E4C"/>
    <w:rsid w:val="00321D09"/>
    <w:rsid w:val="00324B28"/>
    <w:rsid w:val="003277F0"/>
    <w:rsid w:val="00332431"/>
    <w:rsid w:val="0033316F"/>
    <w:rsid w:val="00337160"/>
    <w:rsid w:val="00340136"/>
    <w:rsid w:val="003404F8"/>
    <w:rsid w:val="00341923"/>
    <w:rsid w:val="003445E9"/>
    <w:rsid w:val="003446F8"/>
    <w:rsid w:val="00345C98"/>
    <w:rsid w:val="00345E68"/>
    <w:rsid w:val="00350C2F"/>
    <w:rsid w:val="00355169"/>
    <w:rsid w:val="00356ADA"/>
    <w:rsid w:val="00363F87"/>
    <w:rsid w:val="00365FBC"/>
    <w:rsid w:val="003662D9"/>
    <w:rsid w:val="00367569"/>
    <w:rsid w:val="00367D4F"/>
    <w:rsid w:val="00373863"/>
    <w:rsid w:val="00373AF6"/>
    <w:rsid w:val="00374867"/>
    <w:rsid w:val="00375893"/>
    <w:rsid w:val="00380BED"/>
    <w:rsid w:val="00382B13"/>
    <w:rsid w:val="00383CC1"/>
    <w:rsid w:val="00384220"/>
    <w:rsid w:val="003851F6"/>
    <w:rsid w:val="00385BFD"/>
    <w:rsid w:val="0039165B"/>
    <w:rsid w:val="00393FCD"/>
    <w:rsid w:val="003948B1"/>
    <w:rsid w:val="00395A61"/>
    <w:rsid w:val="003A13BB"/>
    <w:rsid w:val="003A1CB2"/>
    <w:rsid w:val="003A3FD2"/>
    <w:rsid w:val="003A585E"/>
    <w:rsid w:val="003B5693"/>
    <w:rsid w:val="003B7FB6"/>
    <w:rsid w:val="003C10BE"/>
    <w:rsid w:val="003C288E"/>
    <w:rsid w:val="003C4396"/>
    <w:rsid w:val="003C461A"/>
    <w:rsid w:val="003C6337"/>
    <w:rsid w:val="003C782C"/>
    <w:rsid w:val="003C7A76"/>
    <w:rsid w:val="003D3E2F"/>
    <w:rsid w:val="003D4330"/>
    <w:rsid w:val="003D5CA0"/>
    <w:rsid w:val="003D7F46"/>
    <w:rsid w:val="003D7F71"/>
    <w:rsid w:val="003E25D0"/>
    <w:rsid w:val="003E2DE3"/>
    <w:rsid w:val="003E457E"/>
    <w:rsid w:val="003E5333"/>
    <w:rsid w:val="003E58A8"/>
    <w:rsid w:val="003E6488"/>
    <w:rsid w:val="003E79F3"/>
    <w:rsid w:val="003E7A15"/>
    <w:rsid w:val="003E7C38"/>
    <w:rsid w:val="003F086D"/>
    <w:rsid w:val="003F1EE9"/>
    <w:rsid w:val="003F23F6"/>
    <w:rsid w:val="003F27F4"/>
    <w:rsid w:val="003F645C"/>
    <w:rsid w:val="004028EA"/>
    <w:rsid w:val="004030F0"/>
    <w:rsid w:val="00403DF2"/>
    <w:rsid w:val="00404BDE"/>
    <w:rsid w:val="00405287"/>
    <w:rsid w:val="0040558D"/>
    <w:rsid w:val="004122CB"/>
    <w:rsid w:val="00414A0B"/>
    <w:rsid w:val="00415447"/>
    <w:rsid w:val="0041705B"/>
    <w:rsid w:val="004173A8"/>
    <w:rsid w:val="00417EAD"/>
    <w:rsid w:val="0042260C"/>
    <w:rsid w:val="0042450A"/>
    <w:rsid w:val="00434BB5"/>
    <w:rsid w:val="00435A8F"/>
    <w:rsid w:val="00435F4B"/>
    <w:rsid w:val="00442C9A"/>
    <w:rsid w:val="00445795"/>
    <w:rsid w:val="00446617"/>
    <w:rsid w:val="004478E8"/>
    <w:rsid w:val="00453F11"/>
    <w:rsid w:val="00454B94"/>
    <w:rsid w:val="004551A8"/>
    <w:rsid w:val="004557D0"/>
    <w:rsid w:val="00466CAA"/>
    <w:rsid w:val="00472269"/>
    <w:rsid w:val="00475809"/>
    <w:rsid w:val="00475B14"/>
    <w:rsid w:val="004844D0"/>
    <w:rsid w:val="00485BDE"/>
    <w:rsid w:val="004908C8"/>
    <w:rsid w:val="00491A19"/>
    <w:rsid w:val="00492CE0"/>
    <w:rsid w:val="004950C3"/>
    <w:rsid w:val="004956CF"/>
    <w:rsid w:val="004969B1"/>
    <w:rsid w:val="004A084B"/>
    <w:rsid w:val="004A0985"/>
    <w:rsid w:val="004A2AFF"/>
    <w:rsid w:val="004A7263"/>
    <w:rsid w:val="004A7D8D"/>
    <w:rsid w:val="004B0910"/>
    <w:rsid w:val="004B1837"/>
    <w:rsid w:val="004B4C46"/>
    <w:rsid w:val="004B4D21"/>
    <w:rsid w:val="004B4EE9"/>
    <w:rsid w:val="004B607C"/>
    <w:rsid w:val="004C49C9"/>
    <w:rsid w:val="004C4EC7"/>
    <w:rsid w:val="004C582E"/>
    <w:rsid w:val="004D5036"/>
    <w:rsid w:val="004E1FB7"/>
    <w:rsid w:val="004E3730"/>
    <w:rsid w:val="004E3802"/>
    <w:rsid w:val="004E4994"/>
    <w:rsid w:val="004F180D"/>
    <w:rsid w:val="004F321D"/>
    <w:rsid w:val="004F3E05"/>
    <w:rsid w:val="0050205F"/>
    <w:rsid w:val="00502A15"/>
    <w:rsid w:val="005105DB"/>
    <w:rsid w:val="00511020"/>
    <w:rsid w:val="00511229"/>
    <w:rsid w:val="00513F8B"/>
    <w:rsid w:val="0051466B"/>
    <w:rsid w:val="00516627"/>
    <w:rsid w:val="0052074F"/>
    <w:rsid w:val="005219B4"/>
    <w:rsid w:val="00521C5D"/>
    <w:rsid w:val="00521EE3"/>
    <w:rsid w:val="0052375F"/>
    <w:rsid w:val="005250C8"/>
    <w:rsid w:val="005258ED"/>
    <w:rsid w:val="00530747"/>
    <w:rsid w:val="00532E07"/>
    <w:rsid w:val="00534423"/>
    <w:rsid w:val="005358F9"/>
    <w:rsid w:val="005362E2"/>
    <w:rsid w:val="0054375E"/>
    <w:rsid w:val="0054395C"/>
    <w:rsid w:val="00546A49"/>
    <w:rsid w:val="00552E9A"/>
    <w:rsid w:val="00553EC0"/>
    <w:rsid w:val="0055470D"/>
    <w:rsid w:val="00564EB1"/>
    <w:rsid w:val="0056772D"/>
    <w:rsid w:val="005704C1"/>
    <w:rsid w:val="00572A7D"/>
    <w:rsid w:val="0057398D"/>
    <w:rsid w:val="00575A2A"/>
    <w:rsid w:val="00576BB3"/>
    <w:rsid w:val="005773AD"/>
    <w:rsid w:val="005808E9"/>
    <w:rsid w:val="00583F54"/>
    <w:rsid w:val="0058560A"/>
    <w:rsid w:val="005879EB"/>
    <w:rsid w:val="00593061"/>
    <w:rsid w:val="0059551F"/>
    <w:rsid w:val="005959C2"/>
    <w:rsid w:val="00597A5B"/>
    <w:rsid w:val="005A2873"/>
    <w:rsid w:val="005A4589"/>
    <w:rsid w:val="005A51F0"/>
    <w:rsid w:val="005B5B1F"/>
    <w:rsid w:val="005B73C2"/>
    <w:rsid w:val="005C3054"/>
    <w:rsid w:val="005D3E17"/>
    <w:rsid w:val="005D4135"/>
    <w:rsid w:val="005D6804"/>
    <w:rsid w:val="005D7888"/>
    <w:rsid w:val="005E036E"/>
    <w:rsid w:val="005E3D70"/>
    <w:rsid w:val="005E3DDE"/>
    <w:rsid w:val="005E3E12"/>
    <w:rsid w:val="005E6420"/>
    <w:rsid w:val="005F0F1E"/>
    <w:rsid w:val="005F1588"/>
    <w:rsid w:val="005F3D10"/>
    <w:rsid w:val="005F43AC"/>
    <w:rsid w:val="005F5713"/>
    <w:rsid w:val="005F58B7"/>
    <w:rsid w:val="00603574"/>
    <w:rsid w:val="00606E03"/>
    <w:rsid w:val="00613CC1"/>
    <w:rsid w:val="00614F0E"/>
    <w:rsid w:val="00620D1D"/>
    <w:rsid w:val="00625E19"/>
    <w:rsid w:val="0063023E"/>
    <w:rsid w:val="00632690"/>
    <w:rsid w:val="0063295B"/>
    <w:rsid w:val="00634C27"/>
    <w:rsid w:val="00634F1D"/>
    <w:rsid w:val="006363E6"/>
    <w:rsid w:val="00636A63"/>
    <w:rsid w:val="00636A82"/>
    <w:rsid w:val="00636E73"/>
    <w:rsid w:val="006372EE"/>
    <w:rsid w:val="00640515"/>
    <w:rsid w:val="00645EB8"/>
    <w:rsid w:val="00651448"/>
    <w:rsid w:val="00651E16"/>
    <w:rsid w:val="00652C5A"/>
    <w:rsid w:val="00654F69"/>
    <w:rsid w:val="00656D87"/>
    <w:rsid w:val="00660480"/>
    <w:rsid w:val="006629F0"/>
    <w:rsid w:val="00663A0F"/>
    <w:rsid w:val="006660DE"/>
    <w:rsid w:val="0066767C"/>
    <w:rsid w:val="00667BB0"/>
    <w:rsid w:val="00667E63"/>
    <w:rsid w:val="00672CA5"/>
    <w:rsid w:val="00673E1F"/>
    <w:rsid w:val="006752C5"/>
    <w:rsid w:val="006768E0"/>
    <w:rsid w:val="00676BFA"/>
    <w:rsid w:val="00680AF0"/>
    <w:rsid w:val="006818CB"/>
    <w:rsid w:val="00681E78"/>
    <w:rsid w:val="00683817"/>
    <w:rsid w:val="00684E9D"/>
    <w:rsid w:val="006879D3"/>
    <w:rsid w:val="006901A3"/>
    <w:rsid w:val="00690CB5"/>
    <w:rsid w:val="0069297C"/>
    <w:rsid w:val="0069544C"/>
    <w:rsid w:val="006954D7"/>
    <w:rsid w:val="00695680"/>
    <w:rsid w:val="00695689"/>
    <w:rsid w:val="00695A79"/>
    <w:rsid w:val="00696826"/>
    <w:rsid w:val="00696913"/>
    <w:rsid w:val="00697DBD"/>
    <w:rsid w:val="006A107F"/>
    <w:rsid w:val="006A78CF"/>
    <w:rsid w:val="006B11FE"/>
    <w:rsid w:val="006B178B"/>
    <w:rsid w:val="006B1927"/>
    <w:rsid w:val="006B5FA8"/>
    <w:rsid w:val="006B67EB"/>
    <w:rsid w:val="006C385F"/>
    <w:rsid w:val="006C4F18"/>
    <w:rsid w:val="006C68B9"/>
    <w:rsid w:val="006C6935"/>
    <w:rsid w:val="006D00C0"/>
    <w:rsid w:val="006D0F1C"/>
    <w:rsid w:val="006D131F"/>
    <w:rsid w:val="006D3923"/>
    <w:rsid w:val="006D3B48"/>
    <w:rsid w:val="006D4D29"/>
    <w:rsid w:val="006D56B1"/>
    <w:rsid w:val="006D56CC"/>
    <w:rsid w:val="006E1410"/>
    <w:rsid w:val="006F1A61"/>
    <w:rsid w:val="006F46BC"/>
    <w:rsid w:val="006F4A0E"/>
    <w:rsid w:val="006F4B9B"/>
    <w:rsid w:val="006F53D0"/>
    <w:rsid w:val="00701F78"/>
    <w:rsid w:val="00702817"/>
    <w:rsid w:val="00702C33"/>
    <w:rsid w:val="007040B2"/>
    <w:rsid w:val="00705AE5"/>
    <w:rsid w:val="007060B8"/>
    <w:rsid w:val="007073B2"/>
    <w:rsid w:val="00710DD9"/>
    <w:rsid w:val="007134F6"/>
    <w:rsid w:val="007137B3"/>
    <w:rsid w:val="007139E4"/>
    <w:rsid w:val="0071688B"/>
    <w:rsid w:val="007212C7"/>
    <w:rsid w:val="00724015"/>
    <w:rsid w:val="00724E5A"/>
    <w:rsid w:val="007273C8"/>
    <w:rsid w:val="007278FA"/>
    <w:rsid w:val="00730068"/>
    <w:rsid w:val="00732883"/>
    <w:rsid w:val="00734180"/>
    <w:rsid w:val="00736A73"/>
    <w:rsid w:val="007374CE"/>
    <w:rsid w:val="007411B4"/>
    <w:rsid w:val="007430AD"/>
    <w:rsid w:val="00743CE1"/>
    <w:rsid w:val="00743EE5"/>
    <w:rsid w:val="007504AA"/>
    <w:rsid w:val="00751056"/>
    <w:rsid w:val="007517E4"/>
    <w:rsid w:val="00754997"/>
    <w:rsid w:val="00754C6A"/>
    <w:rsid w:val="00761BFA"/>
    <w:rsid w:val="00761CA0"/>
    <w:rsid w:val="00762848"/>
    <w:rsid w:val="00763CF3"/>
    <w:rsid w:val="00764E70"/>
    <w:rsid w:val="0076791D"/>
    <w:rsid w:val="00767BE6"/>
    <w:rsid w:val="0077298F"/>
    <w:rsid w:val="00772E13"/>
    <w:rsid w:val="00774874"/>
    <w:rsid w:val="0077526C"/>
    <w:rsid w:val="00775E2A"/>
    <w:rsid w:val="00777E33"/>
    <w:rsid w:val="00777FF7"/>
    <w:rsid w:val="007800CD"/>
    <w:rsid w:val="00780E9B"/>
    <w:rsid w:val="00783814"/>
    <w:rsid w:val="00785B93"/>
    <w:rsid w:val="00795595"/>
    <w:rsid w:val="00795D4D"/>
    <w:rsid w:val="007A2BAC"/>
    <w:rsid w:val="007A2DEB"/>
    <w:rsid w:val="007A2FC0"/>
    <w:rsid w:val="007A6E7D"/>
    <w:rsid w:val="007B2E87"/>
    <w:rsid w:val="007B61BD"/>
    <w:rsid w:val="007B7307"/>
    <w:rsid w:val="007B7B95"/>
    <w:rsid w:val="007C44DE"/>
    <w:rsid w:val="007C5F6E"/>
    <w:rsid w:val="007C7B6E"/>
    <w:rsid w:val="007D155C"/>
    <w:rsid w:val="007D213E"/>
    <w:rsid w:val="007D23B1"/>
    <w:rsid w:val="007D2AD4"/>
    <w:rsid w:val="007D38CE"/>
    <w:rsid w:val="007D3F99"/>
    <w:rsid w:val="007D5030"/>
    <w:rsid w:val="007D62C4"/>
    <w:rsid w:val="007E08D3"/>
    <w:rsid w:val="007E22FE"/>
    <w:rsid w:val="007E4039"/>
    <w:rsid w:val="007E769B"/>
    <w:rsid w:val="007F03AB"/>
    <w:rsid w:val="007F08D2"/>
    <w:rsid w:val="007F1EC2"/>
    <w:rsid w:val="007F6EDB"/>
    <w:rsid w:val="00803B75"/>
    <w:rsid w:val="00803D0D"/>
    <w:rsid w:val="00804978"/>
    <w:rsid w:val="008051AA"/>
    <w:rsid w:val="0080551C"/>
    <w:rsid w:val="008058ED"/>
    <w:rsid w:val="00806BE1"/>
    <w:rsid w:val="00810BAF"/>
    <w:rsid w:val="00811100"/>
    <w:rsid w:val="00816BDC"/>
    <w:rsid w:val="008266D4"/>
    <w:rsid w:val="00832E0D"/>
    <w:rsid w:val="0083422E"/>
    <w:rsid w:val="0083626D"/>
    <w:rsid w:val="008376BE"/>
    <w:rsid w:val="00841E73"/>
    <w:rsid w:val="00844772"/>
    <w:rsid w:val="00852D20"/>
    <w:rsid w:val="00855E90"/>
    <w:rsid w:val="00860399"/>
    <w:rsid w:val="00861B59"/>
    <w:rsid w:val="00861F9F"/>
    <w:rsid w:val="0086470F"/>
    <w:rsid w:val="00865DF2"/>
    <w:rsid w:val="00872566"/>
    <w:rsid w:val="00873A9C"/>
    <w:rsid w:val="00876A60"/>
    <w:rsid w:val="00876FE1"/>
    <w:rsid w:val="00886215"/>
    <w:rsid w:val="008868D6"/>
    <w:rsid w:val="00887D38"/>
    <w:rsid w:val="00892C9F"/>
    <w:rsid w:val="00895CF6"/>
    <w:rsid w:val="008A005E"/>
    <w:rsid w:val="008A024C"/>
    <w:rsid w:val="008A0BB9"/>
    <w:rsid w:val="008A4628"/>
    <w:rsid w:val="008A4C1E"/>
    <w:rsid w:val="008A6274"/>
    <w:rsid w:val="008A7234"/>
    <w:rsid w:val="008B0E43"/>
    <w:rsid w:val="008B17BE"/>
    <w:rsid w:val="008B3EB9"/>
    <w:rsid w:val="008B75B2"/>
    <w:rsid w:val="008B79C5"/>
    <w:rsid w:val="008C1F23"/>
    <w:rsid w:val="008C33C9"/>
    <w:rsid w:val="008C33EA"/>
    <w:rsid w:val="008C363A"/>
    <w:rsid w:val="008D00E5"/>
    <w:rsid w:val="008D0AA3"/>
    <w:rsid w:val="008D1A7C"/>
    <w:rsid w:val="008D1E59"/>
    <w:rsid w:val="008D4709"/>
    <w:rsid w:val="008D64CA"/>
    <w:rsid w:val="008D798E"/>
    <w:rsid w:val="008E5AB1"/>
    <w:rsid w:val="008F07C3"/>
    <w:rsid w:val="008F1614"/>
    <w:rsid w:val="008F3ABC"/>
    <w:rsid w:val="008F49B8"/>
    <w:rsid w:val="008F79CF"/>
    <w:rsid w:val="00901D83"/>
    <w:rsid w:val="009020B9"/>
    <w:rsid w:val="00902ABC"/>
    <w:rsid w:val="00904313"/>
    <w:rsid w:val="00904DBB"/>
    <w:rsid w:val="00907AD0"/>
    <w:rsid w:val="0091266B"/>
    <w:rsid w:val="00912AC5"/>
    <w:rsid w:val="009168FF"/>
    <w:rsid w:val="00917B5F"/>
    <w:rsid w:val="0092001E"/>
    <w:rsid w:val="00922CA9"/>
    <w:rsid w:val="00922FDF"/>
    <w:rsid w:val="009233B3"/>
    <w:rsid w:val="009276F3"/>
    <w:rsid w:val="009303A1"/>
    <w:rsid w:val="0093369E"/>
    <w:rsid w:val="0093466F"/>
    <w:rsid w:val="00935046"/>
    <w:rsid w:val="009365BB"/>
    <w:rsid w:val="0093764B"/>
    <w:rsid w:val="009406C1"/>
    <w:rsid w:val="0094290A"/>
    <w:rsid w:val="00943128"/>
    <w:rsid w:val="00943D53"/>
    <w:rsid w:val="00944155"/>
    <w:rsid w:val="009453D1"/>
    <w:rsid w:val="0094685B"/>
    <w:rsid w:val="00950184"/>
    <w:rsid w:val="009509C2"/>
    <w:rsid w:val="00950AC0"/>
    <w:rsid w:val="00951EC0"/>
    <w:rsid w:val="00955357"/>
    <w:rsid w:val="0096156B"/>
    <w:rsid w:val="009619CD"/>
    <w:rsid w:val="00961A8B"/>
    <w:rsid w:val="00966E08"/>
    <w:rsid w:val="00967885"/>
    <w:rsid w:val="00970B4D"/>
    <w:rsid w:val="00972B91"/>
    <w:rsid w:val="0098033A"/>
    <w:rsid w:val="00983973"/>
    <w:rsid w:val="00985761"/>
    <w:rsid w:val="009870FA"/>
    <w:rsid w:val="00991191"/>
    <w:rsid w:val="00993ACB"/>
    <w:rsid w:val="009942B0"/>
    <w:rsid w:val="00994B40"/>
    <w:rsid w:val="00995C59"/>
    <w:rsid w:val="009A01EB"/>
    <w:rsid w:val="009A0D22"/>
    <w:rsid w:val="009A1F85"/>
    <w:rsid w:val="009A267B"/>
    <w:rsid w:val="009A31B9"/>
    <w:rsid w:val="009A519C"/>
    <w:rsid w:val="009A6F0E"/>
    <w:rsid w:val="009B44E0"/>
    <w:rsid w:val="009B4968"/>
    <w:rsid w:val="009B5F35"/>
    <w:rsid w:val="009C2736"/>
    <w:rsid w:val="009C61CB"/>
    <w:rsid w:val="009D2879"/>
    <w:rsid w:val="009D2F9B"/>
    <w:rsid w:val="009D2FB6"/>
    <w:rsid w:val="009D3E84"/>
    <w:rsid w:val="009D5199"/>
    <w:rsid w:val="009E0740"/>
    <w:rsid w:val="009E0848"/>
    <w:rsid w:val="009E35D5"/>
    <w:rsid w:val="009E3D0E"/>
    <w:rsid w:val="009E43A1"/>
    <w:rsid w:val="009E780C"/>
    <w:rsid w:val="00A00885"/>
    <w:rsid w:val="00A032AC"/>
    <w:rsid w:val="00A07817"/>
    <w:rsid w:val="00A102AC"/>
    <w:rsid w:val="00A10B90"/>
    <w:rsid w:val="00A1314F"/>
    <w:rsid w:val="00A16E5A"/>
    <w:rsid w:val="00A2107F"/>
    <w:rsid w:val="00A22C77"/>
    <w:rsid w:val="00A2408B"/>
    <w:rsid w:val="00A34463"/>
    <w:rsid w:val="00A34D47"/>
    <w:rsid w:val="00A355F3"/>
    <w:rsid w:val="00A4485E"/>
    <w:rsid w:val="00A45F92"/>
    <w:rsid w:val="00A47A31"/>
    <w:rsid w:val="00A523C9"/>
    <w:rsid w:val="00A548CE"/>
    <w:rsid w:val="00A642B7"/>
    <w:rsid w:val="00A64478"/>
    <w:rsid w:val="00A71854"/>
    <w:rsid w:val="00A775DF"/>
    <w:rsid w:val="00A77747"/>
    <w:rsid w:val="00A7785E"/>
    <w:rsid w:val="00A77BFF"/>
    <w:rsid w:val="00A80605"/>
    <w:rsid w:val="00A82043"/>
    <w:rsid w:val="00A84FE3"/>
    <w:rsid w:val="00A85B73"/>
    <w:rsid w:val="00A9163B"/>
    <w:rsid w:val="00A921DB"/>
    <w:rsid w:val="00A92A5B"/>
    <w:rsid w:val="00A954E6"/>
    <w:rsid w:val="00A97D4F"/>
    <w:rsid w:val="00AA04BA"/>
    <w:rsid w:val="00AA127A"/>
    <w:rsid w:val="00AA2475"/>
    <w:rsid w:val="00AB07C1"/>
    <w:rsid w:val="00AB5768"/>
    <w:rsid w:val="00AB6B7D"/>
    <w:rsid w:val="00AB789E"/>
    <w:rsid w:val="00AC0C94"/>
    <w:rsid w:val="00AC1E8B"/>
    <w:rsid w:val="00AC3CD5"/>
    <w:rsid w:val="00AC46AD"/>
    <w:rsid w:val="00AC5F67"/>
    <w:rsid w:val="00AC6596"/>
    <w:rsid w:val="00AD0226"/>
    <w:rsid w:val="00AD11FD"/>
    <w:rsid w:val="00AD1B86"/>
    <w:rsid w:val="00AD2946"/>
    <w:rsid w:val="00AD3CDC"/>
    <w:rsid w:val="00AD77E7"/>
    <w:rsid w:val="00AE10B2"/>
    <w:rsid w:val="00AF0393"/>
    <w:rsid w:val="00AF4146"/>
    <w:rsid w:val="00AF4B61"/>
    <w:rsid w:val="00AF7E97"/>
    <w:rsid w:val="00B010C2"/>
    <w:rsid w:val="00B015AE"/>
    <w:rsid w:val="00B01605"/>
    <w:rsid w:val="00B024C8"/>
    <w:rsid w:val="00B02652"/>
    <w:rsid w:val="00B02891"/>
    <w:rsid w:val="00B04EDB"/>
    <w:rsid w:val="00B04EE2"/>
    <w:rsid w:val="00B067CE"/>
    <w:rsid w:val="00B07DA5"/>
    <w:rsid w:val="00B12668"/>
    <w:rsid w:val="00B12BA9"/>
    <w:rsid w:val="00B13282"/>
    <w:rsid w:val="00B142AB"/>
    <w:rsid w:val="00B14BCE"/>
    <w:rsid w:val="00B15741"/>
    <w:rsid w:val="00B355ED"/>
    <w:rsid w:val="00B405F2"/>
    <w:rsid w:val="00B419D3"/>
    <w:rsid w:val="00B42DC5"/>
    <w:rsid w:val="00B4303F"/>
    <w:rsid w:val="00B43B61"/>
    <w:rsid w:val="00B446B9"/>
    <w:rsid w:val="00B4517E"/>
    <w:rsid w:val="00B45199"/>
    <w:rsid w:val="00B45EF2"/>
    <w:rsid w:val="00B468AD"/>
    <w:rsid w:val="00B46A30"/>
    <w:rsid w:val="00B47A00"/>
    <w:rsid w:val="00B51ED1"/>
    <w:rsid w:val="00B56ED9"/>
    <w:rsid w:val="00B6136F"/>
    <w:rsid w:val="00B62475"/>
    <w:rsid w:val="00B64E59"/>
    <w:rsid w:val="00B6592E"/>
    <w:rsid w:val="00B7023D"/>
    <w:rsid w:val="00B71270"/>
    <w:rsid w:val="00B7177E"/>
    <w:rsid w:val="00B725F8"/>
    <w:rsid w:val="00B76FF3"/>
    <w:rsid w:val="00B770DC"/>
    <w:rsid w:val="00B778DD"/>
    <w:rsid w:val="00B808A4"/>
    <w:rsid w:val="00B812C1"/>
    <w:rsid w:val="00B81326"/>
    <w:rsid w:val="00B81EF4"/>
    <w:rsid w:val="00B83E62"/>
    <w:rsid w:val="00B93AC7"/>
    <w:rsid w:val="00B93BD7"/>
    <w:rsid w:val="00BA2F17"/>
    <w:rsid w:val="00BA332B"/>
    <w:rsid w:val="00BA4195"/>
    <w:rsid w:val="00BA5336"/>
    <w:rsid w:val="00BA6AD0"/>
    <w:rsid w:val="00BB3842"/>
    <w:rsid w:val="00BB38CD"/>
    <w:rsid w:val="00BB4A9E"/>
    <w:rsid w:val="00BC2A0C"/>
    <w:rsid w:val="00BC38F1"/>
    <w:rsid w:val="00BC3C7E"/>
    <w:rsid w:val="00BC4F81"/>
    <w:rsid w:val="00BD07E4"/>
    <w:rsid w:val="00BD09B3"/>
    <w:rsid w:val="00BD26D9"/>
    <w:rsid w:val="00BD502A"/>
    <w:rsid w:val="00BD5BA2"/>
    <w:rsid w:val="00BD5C3A"/>
    <w:rsid w:val="00BD6B6C"/>
    <w:rsid w:val="00BE2F0A"/>
    <w:rsid w:val="00BE317F"/>
    <w:rsid w:val="00BE4B22"/>
    <w:rsid w:val="00BE58C0"/>
    <w:rsid w:val="00BE64B3"/>
    <w:rsid w:val="00BE6A2D"/>
    <w:rsid w:val="00BE7C6A"/>
    <w:rsid w:val="00BF5184"/>
    <w:rsid w:val="00C018EC"/>
    <w:rsid w:val="00C06FB7"/>
    <w:rsid w:val="00C07E04"/>
    <w:rsid w:val="00C07E90"/>
    <w:rsid w:val="00C10D20"/>
    <w:rsid w:val="00C24091"/>
    <w:rsid w:val="00C24D24"/>
    <w:rsid w:val="00C264DD"/>
    <w:rsid w:val="00C312E4"/>
    <w:rsid w:val="00C322C2"/>
    <w:rsid w:val="00C3442E"/>
    <w:rsid w:val="00C47C32"/>
    <w:rsid w:val="00C52FB6"/>
    <w:rsid w:val="00C54E2D"/>
    <w:rsid w:val="00C57456"/>
    <w:rsid w:val="00C60359"/>
    <w:rsid w:val="00C629E2"/>
    <w:rsid w:val="00C63E93"/>
    <w:rsid w:val="00C6646A"/>
    <w:rsid w:val="00C710BC"/>
    <w:rsid w:val="00C71A4B"/>
    <w:rsid w:val="00C7263A"/>
    <w:rsid w:val="00C772BA"/>
    <w:rsid w:val="00C7736A"/>
    <w:rsid w:val="00C8596D"/>
    <w:rsid w:val="00C86A8E"/>
    <w:rsid w:val="00C86B7B"/>
    <w:rsid w:val="00C86F99"/>
    <w:rsid w:val="00C875AD"/>
    <w:rsid w:val="00C90754"/>
    <w:rsid w:val="00C93805"/>
    <w:rsid w:val="00CA0964"/>
    <w:rsid w:val="00CA3722"/>
    <w:rsid w:val="00CA3F8F"/>
    <w:rsid w:val="00CA743A"/>
    <w:rsid w:val="00CA7ADF"/>
    <w:rsid w:val="00CB34A0"/>
    <w:rsid w:val="00CC084B"/>
    <w:rsid w:val="00CC29F7"/>
    <w:rsid w:val="00CC3427"/>
    <w:rsid w:val="00CC6568"/>
    <w:rsid w:val="00CC7FBA"/>
    <w:rsid w:val="00CD11F2"/>
    <w:rsid w:val="00CD3BDA"/>
    <w:rsid w:val="00CD3DBE"/>
    <w:rsid w:val="00CD5770"/>
    <w:rsid w:val="00CE01E2"/>
    <w:rsid w:val="00CE3542"/>
    <w:rsid w:val="00CF1E98"/>
    <w:rsid w:val="00CF2462"/>
    <w:rsid w:val="00CF2B67"/>
    <w:rsid w:val="00CF4D14"/>
    <w:rsid w:val="00CF5EE6"/>
    <w:rsid w:val="00CF5F4C"/>
    <w:rsid w:val="00CF61B9"/>
    <w:rsid w:val="00D00BE3"/>
    <w:rsid w:val="00D02AA4"/>
    <w:rsid w:val="00D1128C"/>
    <w:rsid w:val="00D12461"/>
    <w:rsid w:val="00D129CF"/>
    <w:rsid w:val="00D1544A"/>
    <w:rsid w:val="00D16D0A"/>
    <w:rsid w:val="00D20FBF"/>
    <w:rsid w:val="00D24EA4"/>
    <w:rsid w:val="00D25561"/>
    <w:rsid w:val="00D27E73"/>
    <w:rsid w:val="00D34D81"/>
    <w:rsid w:val="00D36CF3"/>
    <w:rsid w:val="00D40EF2"/>
    <w:rsid w:val="00D41879"/>
    <w:rsid w:val="00D41D94"/>
    <w:rsid w:val="00D44225"/>
    <w:rsid w:val="00D44986"/>
    <w:rsid w:val="00D45FBE"/>
    <w:rsid w:val="00D4638C"/>
    <w:rsid w:val="00D51271"/>
    <w:rsid w:val="00D53C94"/>
    <w:rsid w:val="00D60110"/>
    <w:rsid w:val="00D6270D"/>
    <w:rsid w:val="00D7040F"/>
    <w:rsid w:val="00D704D7"/>
    <w:rsid w:val="00D7254B"/>
    <w:rsid w:val="00D77CC6"/>
    <w:rsid w:val="00D803AC"/>
    <w:rsid w:val="00D8056B"/>
    <w:rsid w:val="00D905CA"/>
    <w:rsid w:val="00D90B94"/>
    <w:rsid w:val="00D917AD"/>
    <w:rsid w:val="00D937D6"/>
    <w:rsid w:val="00D95834"/>
    <w:rsid w:val="00D95A1C"/>
    <w:rsid w:val="00DA2202"/>
    <w:rsid w:val="00DA482E"/>
    <w:rsid w:val="00DA4A5C"/>
    <w:rsid w:val="00DA4FD7"/>
    <w:rsid w:val="00DA6B40"/>
    <w:rsid w:val="00DB03FE"/>
    <w:rsid w:val="00DB29DF"/>
    <w:rsid w:val="00DB3E24"/>
    <w:rsid w:val="00DB4EE4"/>
    <w:rsid w:val="00DB566C"/>
    <w:rsid w:val="00DC1775"/>
    <w:rsid w:val="00DC24DF"/>
    <w:rsid w:val="00DC2935"/>
    <w:rsid w:val="00DC3743"/>
    <w:rsid w:val="00DC3F99"/>
    <w:rsid w:val="00DC6F07"/>
    <w:rsid w:val="00DD22BF"/>
    <w:rsid w:val="00DD3784"/>
    <w:rsid w:val="00DD4A7D"/>
    <w:rsid w:val="00DD6416"/>
    <w:rsid w:val="00DD70DB"/>
    <w:rsid w:val="00DD740B"/>
    <w:rsid w:val="00DD7629"/>
    <w:rsid w:val="00DE1FDA"/>
    <w:rsid w:val="00DE2AC5"/>
    <w:rsid w:val="00DE2D6A"/>
    <w:rsid w:val="00DE32E5"/>
    <w:rsid w:val="00DE3B65"/>
    <w:rsid w:val="00DE4477"/>
    <w:rsid w:val="00DE4524"/>
    <w:rsid w:val="00DF1F3E"/>
    <w:rsid w:val="00DF3B77"/>
    <w:rsid w:val="00DF400C"/>
    <w:rsid w:val="00DF42CA"/>
    <w:rsid w:val="00DF44A2"/>
    <w:rsid w:val="00DF54B9"/>
    <w:rsid w:val="00DF5B12"/>
    <w:rsid w:val="00E00886"/>
    <w:rsid w:val="00E01632"/>
    <w:rsid w:val="00E0394C"/>
    <w:rsid w:val="00E074EA"/>
    <w:rsid w:val="00E10DB0"/>
    <w:rsid w:val="00E115F6"/>
    <w:rsid w:val="00E14082"/>
    <w:rsid w:val="00E1696B"/>
    <w:rsid w:val="00E20777"/>
    <w:rsid w:val="00E2257F"/>
    <w:rsid w:val="00E226E3"/>
    <w:rsid w:val="00E2295D"/>
    <w:rsid w:val="00E2429E"/>
    <w:rsid w:val="00E30373"/>
    <w:rsid w:val="00E33C5F"/>
    <w:rsid w:val="00E34E3D"/>
    <w:rsid w:val="00E37295"/>
    <w:rsid w:val="00E37531"/>
    <w:rsid w:val="00E454C5"/>
    <w:rsid w:val="00E458E9"/>
    <w:rsid w:val="00E45E94"/>
    <w:rsid w:val="00E4742E"/>
    <w:rsid w:val="00E5044B"/>
    <w:rsid w:val="00E518FC"/>
    <w:rsid w:val="00E53F94"/>
    <w:rsid w:val="00E55E42"/>
    <w:rsid w:val="00E5612C"/>
    <w:rsid w:val="00E56C94"/>
    <w:rsid w:val="00E60167"/>
    <w:rsid w:val="00E60B93"/>
    <w:rsid w:val="00E611C5"/>
    <w:rsid w:val="00E62C49"/>
    <w:rsid w:val="00E6380C"/>
    <w:rsid w:val="00E70185"/>
    <w:rsid w:val="00E7455B"/>
    <w:rsid w:val="00E75875"/>
    <w:rsid w:val="00E767C5"/>
    <w:rsid w:val="00E80F5E"/>
    <w:rsid w:val="00E816F2"/>
    <w:rsid w:val="00E8184D"/>
    <w:rsid w:val="00E8194C"/>
    <w:rsid w:val="00E82301"/>
    <w:rsid w:val="00E90EDB"/>
    <w:rsid w:val="00E91C93"/>
    <w:rsid w:val="00E923B0"/>
    <w:rsid w:val="00E9566F"/>
    <w:rsid w:val="00EA2B9D"/>
    <w:rsid w:val="00EB276D"/>
    <w:rsid w:val="00EB2D63"/>
    <w:rsid w:val="00EB6098"/>
    <w:rsid w:val="00EB6744"/>
    <w:rsid w:val="00EB7524"/>
    <w:rsid w:val="00ED0E27"/>
    <w:rsid w:val="00ED1B46"/>
    <w:rsid w:val="00ED2191"/>
    <w:rsid w:val="00ED3652"/>
    <w:rsid w:val="00ED658F"/>
    <w:rsid w:val="00EE3DC1"/>
    <w:rsid w:val="00EF151E"/>
    <w:rsid w:val="00EF20EE"/>
    <w:rsid w:val="00EF299B"/>
    <w:rsid w:val="00EF62C6"/>
    <w:rsid w:val="00EF6E45"/>
    <w:rsid w:val="00F02D49"/>
    <w:rsid w:val="00F033B5"/>
    <w:rsid w:val="00F04A19"/>
    <w:rsid w:val="00F05742"/>
    <w:rsid w:val="00F059CA"/>
    <w:rsid w:val="00F06A9A"/>
    <w:rsid w:val="00F06B15"/>
    <w:rsid w:val="00F10D33"/>
    <w:rsid w:val="00F11F7D"/>
    <w:rsid w:val="00F12C2B"/>
    <w:rsid w:val="00F137A4"/>
    <w:rsid w:val="00F141E6"/>
    <w:rsid w:val="00F154F7"/>
    <w:rsid w:val="00F1590E"/>
    <w:rsid w:val="00F217D7"/>
    <w:rsid w:val="00F2376D"/>
    <w:rsid w:val="00F27C19"/>
    <w:rsid w:val="00F34B35"/>
    <w:rsid w:val="00F41448"/>
    <w:rsid w:val="00F423DC"/>
    <w:rsid w:val="00F4261D"/>
    <w:rsid w:val="00F45396"/>
    <w:rsid w:val="00F51466"/>
    <w:rsid w:val="00F529A2"/>
    <w:rsid w:val="00F55F82"/>
    <w:rsid w:val="00F563BA"/>
    <w:rsid w:val="00F56874"/>
    <w:rsid w:val="00F57F37"/>
    <w:rsid w:val="00F60EFF"/>
    <w:rsid w:val="00F6103A"/>
    <w:rsid w:val="00F6153C"/>
    <w:rsid w:val="00F619E7"/>
    <w:rsid w:val="00F61BA9"/>
    <w:rsid w:val="00F64D76"/>
    <w:rsid w:val="00F66846"/>
    <w:rsid w:val="00F67706"/>
    <w:rsid w:val="00F71A46"/>
    <w:rsid w:val="00F74545"/>
    <w:rsid w:val="00F7539E"/>
    <w:rsid w:val="00F75555"/>
    <w:rsid w:val="00F76742"/>
    <w:rsid w:val="00F778BE"/>
    <w:rsid w:val="00F80992"/>
    <w:rsid w:val="00F81C32"/>
    <w:rsid w:val="00F81EC7"/>
    <w:rsid w:val="00F82263"/>
    <w:rsid w:val="00F90A5F"/>
    <w:rsid w:val="00F93B82"/>
    <w:rsid w:val="00F94C55"/>
    <w:rsid w:val="00F97797"/>
    <w:rsid w:val="00FA121F"/>
    <w:rsid w:val="00FA3928"/>
    <w:rsid w:val="00FA3B35"/>
    <w:rsid w:val="00FA4962"/>
    <w:rsid w:val="00FA556E"/>
    <w:rsid w:val="00FB4FFA"/>
    <w:rsid w:val="00FB5868"/>
    <w:rsid w:val="00FB5C21"/>
    <w:rsid w:val="00FB625B"/>
    <w:rsid w:val="00FB7BD7"/>
    <w:rsid w:val="00FC2DAD"/>
    <w:rsid w:val="00FC4139"/>
    <w:rsid w:val="00FC5FAC"/>
    <w:rsid w:val="00FC7BB5"/>
    <w:rsid w:val="00FD2100"/>
    <w:rsid w:val="00FD3F8C"/>
    <w:rsid w:val="00FE14FB"/>
    <w:rsid w:val="00FE1FEF"/>
    <w:rsid w:val="00FE4409"/>
    <w:rsid w:val="00FE5E9C"/>
    <w:rsid w:val="00FE5EE0"/>
    <w:rsid w:val="00FE6246"/>
    <w:rsid w:val="00FF0702"/>
    <w:rsid w:val="00FF2056"/>
    <w:rsid w:val="00FF2801"/>
    <w:rsid w:val="00FF3291"/>
    <w:rsid w:val="00FF5E62"/>
    <w:rsid w:val="00FF78C4"/>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4097" v:ext="edit"/>
    <o:shapelayout v:ext="edit">
      <o:idmap data="1" v:ext="edit"/>
    </o:shapelayout>
  </w:shapeDefaults>
  <w:decimalSymbol w:val=","/>
  <w:listSeparator w:val=";"/>
  <w14:docId w14:val="27D7EFBC"/>
  <w15:docId w15:val="{6CEC4D92-E747-41E1-953A-D5294F0E4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imes New Roman" w:cs="Times New Roman" w:eastAsia="MS Mincho"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uiPriority="22"/>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BC38F1"/>
    <w:rPr>
      <w:sz w:val="24"/>
      <w:szCs w:val="24"/>
      <w:lang w:eastAsia="ja-JP" w:val="en-US"/>
    </w:rPr>
  </w:style>
  <w:style w:styleId="Titre2" w:type="paragraph">
    <w:name w:val="heading 2"/>
    <w:basedOn w:val="Normal"/>
    <w:next w:val="Normal"/>
    <w:qFormat/>
    <w:rsid w:val="00702C33"/>
    <w:pPr>
      <w:keepNext/>
      <w:pBdr>
        <w:top w:color="auto" w:shadow="1" w:space="1" w:sz="4" w:val="single"/>
        <w:left w:color="auto" w:shadow="1" w:space="4" w:sz="4" w:val="single"/>
        <w:bottom w:color="auto" w:shadow="1" w:space="1" w:sz="4" w:val="single"/>
        <w:right w:color="auto" w:shadow="1" w:space="4" w:sz="4" w:val="single"/>
      </w:pBdr>
      <w:shd w:color="auto" w:fill="FFFFFF" w:val="pct12"/>
      <w:jc w:val="center"/>
      <w:outlineLvl w:val="1"/>
    </w:pPr>
    <w:rPr>
      <w:rFonts w:ascii="Comic Sans MS" w:eastAsia="Times New Roman" w:hAnsi="Comic Sans MS"/>
      <w:b/>
      <w:sz w:val="28"/>
      <w:szCs w:val="20"/>
      <w:lang w:eastAsia="en-US" w:val="fr-FR"/>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Grilledutableau" w:type="table">
    <w:name w:val="Table Grid"/>
    <w:basedOn w:val="TableauNormal"/>
    <w:uiPriority w:val="39"/>
    <w:rsid w:val="003851F6"/>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ieddepage" w:type="paragraph">
    <w:name w:val="footer"/>
    <w:basedOn w:val="Normal"/>
    <w:link w:val="PieddepageCar"/>
    <w:uiPriority w:val="99"/>
    <w:rsid w:val="0029103E"/>
    <w:pPr>
      <w:tabs>
        <w:tab w:pos="4320" w:val="center"/>
        <w:tab w:pos="8640" w:val="right"/>
      </w:tabs>
    </w:pPr>
  </w:style>
  <w:style w:styleId="Numrodepage" w:type="character">
    <w:name w:val="page number"/>
    <w:basedOn w:val="Policepardfaut"/>
    <w:rsid w:val="0029103E"/>
  </w:style>
  <w:style w:styleId="lev" w:type="character">
    <w:name w:val="Strong"/>
    <w:basedOn w:val="Policepardfaut"/>
    <w:uiPriority w:val="22"/>
    <w:qFormat/>
    <w:rsid w:val="003C782C"/>
    <w:rPr>
      <w:b/>
      <w:bCs/>
    </w:rPr>
  </w:style>
  <w:style w:styleId="En-tte" w:type="paragraph">
    <w:name w:val="header"/>
    <w:basedOn w:val="Normal"/>
    <w:link w:val="En-tteCar"/>
    <w:rsid w:val="00356ADA"/>
    <w:pPr>
      <w:tabs>
        <w:tab w:pos="4513" w:val="center"/>
        <w:tab w:pos="9026" w:val="right"/>
      </w:tabs>
    </w:pPr>
  </w:style>
  <w:style w:customStyle="1" w:styleId="En-tteCar" w:type="character">
    <w:name w:val="En-tête Car"/>
    <w:basedOn w:val="Policepardfaut"/>
    <w:link w:val="En-tte"/>
    <w:rsid w:val="00356ADA"/>
    <w:rPr>
      <w:sz w:val="24"/>
      <w:szCs w:val="24"/>
      <w:lang w:eastAsia="ja-JP" w:val="en-US"/>
    </w:rPr>
  </w:style>
  <w:style w:customStyle="1" w:styleId="PieddepageCar" w:type="character">
    <w:name w:val="Pied de page Car"/>
    <w:basedOn w:val="Policepardfaut"/>
    <w:link w:val="Pieddepage"/>
    <w:uiPriority w:val="99"/>
    <w:rsid w:val="00356ADA"/>
    <w:rPr>
      <w:sz w:val="24"/>
      <w:szCs w:val="24"/>
      <w:lang w:eastAsia="ja-JP" w:val="en-US"/>
    </w:rPr>
  </w:style>
  <w:style w:styleId="Textedebulles" w:type="paragraph">
    <w:name w:val="Balloon Text"/>
    <w:basedOn w:val="Normal"/>
    <w:link w:val="TextedebullesCar"/>
    <w:rsid w:val="00356ADA"/>
    <w:rPr>
      <w:rFonts w:ascii="Tahoma" w:cs="Tahoma" w:hAnsi="Tahoma"/>
      <w:sz w:val="16"/>
      <w:szCs w:val="16"/>
    </w:rPr>
  </w:style>
  <w:style w:customStyle="1" w:styleId="TextedebullesCar" w:type="character">
    <w:name w:val="Texte de bulles Car"/>
    <w:basedOn w:val="Policepardfaut"/>
    <w:link w:val="Textedebulles"/>
    <w:rsid w:val="00356ADA"/>
    <w:rPr>
      <w:rFonts w:ascii="Tahoma" w:cs="Tahoma" w:hAnsi="Tahoma"/>
      <w:sz w:val="16"/>
      <w:szCs w:val="16"/>
      <w:lang w:eastAsia="ja-JP" w:val="en-US"/>
    </w:rPr>
  </w:style>
  <w:style w:styleId="Paragraphedeliste" w:type="paragraph">
    <w:name w:val="List Paragraph"/>
    <w:basedOn w:val="Normal"/>
    <w:uiPriority w:val="34"/>
    <w:qFormat/>
    <w:rsid w:val="00356ADA"/>
    <w:pPr>
      <w:ind w:left="720"/>
      <w:contextualSpacing/>
    </w:pPr>
  </w:style>
  <w:style w:customStyle="1" w:styleId="Default" w:type="paragraph">
    <w:name w:val="Default"/>
    <w:rsid w:val="000C1D92"/>
    <w:pPr>
      <w:autoSpaceDE w:val="0"/>
      <w:autoSpaceDN w:val="0"/>
      <w:adjustRightInd w:val="0"/>
    </w:pPr>
    <w:rPr>
      <w:color w:val="000000"/>
      <w:sz w:val="24"/>
      <w:szCs w:val="24"/>
    </w:rPr>
  </w:style>
  <w:style w:styleId="Marquedecommentaire" w:type="character">
    <w:name w:val="annotation reference"/>
    <w:basedOn w:val="Policepardfaut"/>
    <w:rsid w:val="00BE6A2D"/>
    <w:rPr>
      <w:sz w:val="16"/>
      <w:szCs w:val="16"/>
    </w:rPr>
  </w:style>
  <w:style w:styleId="Commentaire" w:type="paragraph">
    <w:name w:val="annotation text"/>
    <w:basedOn w:val="Normal"/>
    <w:link w:val="CommentaireCar"/>
    <w:rsid w:val="00BE6A2D"/>
    <w:rPr>
      <w:sz w:val="20"/>
      <w:szCs w:val="20"/>
    </w:rPr>
  </w:style>
  <w:style w:customStyle="1" w:styleId="CommentaireCar" w:type="character">
    <w:name w:val="Commentaire Car"/>
    <w:basedOn w:val="Policepardfaut"/>
    <w:link w:val="Commentaire"/>
    <w:rsid w:val="00BE6A2D"/>
    <w:rPr>
      <w:lang w:eastAsia="ja-JP" w:val="en-US"/>
    </w:rPr>
  </w:style>
  <w:style w:styleId="Objetducommentaire" w:type="paragraph">
    <w:name w:val="annotation subject"/>
    <w:basedOn w:val="Commentaire"/>
    <w:next w:val="Commentaire"/>
    <w:link w:val="ObjetducommentaireCar"/>
    <w:rsid w:val="00BE6A2D"/>
    <w:rPr>
      <w:b/>
      <w:bCs/>
    </w:rPr>
  </w:style>
  <w:style w:customStyle="1" w:styleId="ObjetducommentaireCar" w:type="character">
    <w:name w:val="Objet du commentaire Car"/>
    <w:basedOn w:val="CommentaireCar"/>
    <w:link w:val="Objetducommentaire"/>
    <w:rsid w:val="00BE6A2D"/>
    <w:rPr>
      <w:b/>
      <w:bCs/>
      <w:lang w:eastAsia="ja-JP" w:val="en-US"/>
    </w:rPr>
  </w:style>
  <w:style w:styleId="Accentuation" w:type="character">
    <w:name w:val="Emphasis"/>
    <w:basedOn w:val="Policepardfaut"/>
    <w:qFormat/>
    <w:rsid w:val="00107189"/>
    <w:rPr>
      <w:i/>
      <w:iCs/>
    </w:rPr>
  </w:style>
  <w:style w:customStyle="1" w:styleId="txtexp" w:type="character">
    <w:name w:val="txtexp"/>
    <w:basedOn w:val="Policepardfaut"/>
    <w:rsid w:val="004A2AFF"/>
  </w:style>
  <w:style w:customStyle="1" w:styleId="txtexpbold" w:type="character">
    <w:name w:val="txtexpbold"/>
    <w:basedOn w:val="Policepardfaut"/>
    <w:rsid w:val="004A2AFF"/>
  </w:style>
  <w:style w:styleId="Lienhypertexte" w:type="character">
    <w:name w:val="Hyperlink"/>
    <w:basedOn w:val="Policepardfaut"/>
    <w:uiPriority w:val="99"/>
    <w:semiHidden/>
    <w:unhideWhenUsed/>
    <w:rsid w:val="004A2AFF"/>
    <w:rPr>
      <w:color w:val="0000FF"/>
      <w:u w:val="single"/>
    </w:rPr>
  </w:style>
  <w:style w:styleId="NormalWeb" w:type="paragraph">
    <w:name w:val="Normal (Web)"/>
    <w:basedOn w:val="Normal"/>
    <w:uiPriority w:val="99"/>
    <w:semiHidden/>
    <w:unhideWhenUsed/>
    <w:rsid w:val="00BE64B3"/>
    <w:pPr>
      <w:spacing w:after="100" w:afterAutospacing="1" w:before="100" w:beforeAutospacing="1"/>
    </w:pPr>
    <w:rPr>
      <w:rFonts w:eastAsia="Times New Roman"/>
      <w:lang w:eastAsia="fr-FR" w:val="fr-FR"/>
    </w:rPr>
  </w:style>
  <w:style w:styleId="Rvision" w:type="paragraph">
    <w:name w:val="Revision"/>
    <w:hidden/>
    <w:uiPriority w:val="99"/>
    <w:semiHidden/>
    <w:rsid w:val="00153FAA"/>
    <w:rPr>
      <w:sz w:val="24"/>
      <w:szCs w:val="24"/>
      <w:lang w:eastAsia="ja-JP"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699505">
      <w:bodyDiv w:val="1"/>
      <w:marLeft w:val="0"/>
      <w:marRight w:val="0"/>
      <w:marTop w:val="0"/>
      <w:marBottom w:val="0"/>
      <w:divBdr>
        <w:top w:val="none" w:sz="0" w:space="0" w:color="auto"/>
        <w:left w:val="none" w:sz="0" w:space="0" w:color="auto"/>
        <w:bottom w:val="none" w:sz="0" w:space="0" w:color="auto"/>
        <w:right w:val="none" w:sz="0" w:space="0" w:color="auto"/>
      </w:divBdr>
    </w:div>
    <w:div w:id="108746480">
      <w:bodyDiv w:val="1"/>
      <w:marLeft w:val="0"/>
      <w:marRight w:val="0"/>
      <w:marTop w:val="0"/>
      <w:marBottom w:val="0"/>
      <w:divBdr>
        <w:top w:val="none" w:sz="0" w:space="0" w:color="auto"/>
        <w:left w:val="none" w:sz="0" w:space="0" w:color="auto"/>
        <w:bottom w:val="none" w:sz="0" w:space="0" w:color="auto"/>
        <w:right w:val="none" w:sz="0" w:space="0" w:color="auto"/>
      </w:divBdr>
    </w:div>
    <w:div w:id="166332887">
      <w:bodyDiv w:val="1"/>
      <w:marLeft w:val="0"/>
      <w:marRight w:val="0"/>
      <w:marTop w:val="0"/>
      <w:marBottom w:val="0"/>
      <w:divBdr>
        <w:top w:val="none" w:sz="0" w:space="0" w:color="auto"/>
        <w:left w:val="none" w:sz="0" w:space="0" w:color="auto"/>
        <w:bottom w:val="none" w:sz="0" w:space="0" w:color="auto"/>
        <w:right w:val="none" w:sz="0" w:space="0" w:color="auto"/>
      </w:divBdr>
    </w:div>
    <w:div w:id="185022043">
      <w:bodyDiv w:val="1"/>
      <w:marLeft w:val="0"/>
      <w:marRight w:val="0"/>
      <w:marTop w:val="0"/>
      <w:marBottom w:val="0"/>
      <w:divBdr>
        <w:top w:val="none" w:sz="0" w:space="0" w:color="auto"/>
        <w:left w:val="none" w:sz="0" w:space="0" w:color="auto"/>
        <w:bottom w:val="none" w:sz="0" w:space="0" w:color="auto"/>
        <w:right w:val="none" w:sz="0" w:space="0" w:color="auto"/>
      </w:divBdr>
    </w:div>
    <w:div w:id="265626130">
      <w:bodyDiv w:val="1"/>
      <w:marLeft w:val="0"/>
      <w:marRight w:val="0"/>
      <w:marTop w:val="0"/>
      <w:marBottom w:val="0"/>
      <w:divBdr>
        <w:top w:val="none" w:sz="0" w:space="0" w:color="auto"/>
        <w:left w:val="none" w:sz="0" w:space="0" w:color="auto"/>
        <w:bottom w:val="none" w:sz="0" w:space="0" w:color="auto"/>
        <w:right w:val="none" w:sz="0" w:space="0" w:color="auto"/>
      </w:divBdr>
    </w:div>
    <w:div w:id="268855268">
      <w:bodyDiv w:val="1"/>
      <w:marLeft w:val="0"/>
      <w:marRight w:val="0"/>
      <w:marTop w:val="0"/>
      <w:marBottom w:val="0"/>
      <w:divBdr>
        <w:top w:val="none" w:sz="0" w:space="0" w:color="auto"/>
        <w:left w:val="none" w:sz="0" w:space="0" w:color="auto"/>
        <w:bottom w:val="none" w:sz="0" w:space="0" w:color="auto"/>
        <w:right w:val="none" w:sz="0" w:space="0" w:color="auto"/>
      </w:divBdr>
    </w:div>
    <w:div w:id="293829001">
      <w:bodyDiv w:val="1"/>
      <w:marLeft w:val="0"/>
      <w:marRight w:val="0"/>
      <w:marTop w:val="0"/>
      <w:marBottom w:val="0"/>
      <w:divBdr>
        <w:top w:val="none" w:sz="0" w:space="0" w:color="auto"/>
        <w:left w:val="none" w:sz="0" w:space="0" w:color="auto"/>
        <w:bottom w:val="none" w:sz="0" w:space="0" w:color="auto"/>
        <w:right w:val="none" w:sz="0" w:space="0" w:color="auto"/>
      </w:divBdr>
    </w:div>
    <w:div w:id="356857018">
      <w:bodyDiv w:val="1"/>
      <w:marLeft w:val="0"/>
      <w:marRight w:val="0"/>
      <w:marTop w:val="0"/>
      <w:marBottom w:val="0"/>
      <w:divBdr>
        <w:top w:val="none" w:sz="0" w:space="0" w:color="auto"/>
        <w:left w:val="none" w:sz="0" w:space="0" w:color="auto"/>
        <w:bottom w:val="none" w:sz="0" w:space="0" w:color="auto"/>
        <w:right w:val="none" w:sz="0" w:space="0" w:color="auto"/>
      </w:divBdr>
    </w:div>
    <w:div w:id="358241458">
      <w:bodyDiv w:val="1"/>
      <w:marLeft w:val="0"/>
      <w:marRight w:val="0"/>
      <w:marTop w:val="0"/>
      <w:marBottom w:val="0"/>
      <w:divBdr>
        <w:top w:val="none" w:sz="0" w:space="0" w:color="auto"/>
        <w:left w:val="none" w:sz="0" w:space="0" w:color="auto"/>
        <w:bottom w:val="none" w:sz="0" w:space="0" w:color="auto"/>
        <w:right w:val="none" w:sz="0" w:space="0" w:color="auto"/>
      </w:divBdr>
    </w:div>
    <w:div w:id="364453594">
      <w:bodyDiv w:val="1"/>
      <w:marLeft w:val="0"/>
      <w:marRight w:val="0"/>
      <w:marTop w:val="0"/>
      <w:marBottom w:val="0"/>
      <w:divBdr>
        <w:top w:val="none" w:sz="0" w:space="0" w:color="auto"/>
        <w:left w:val="none" w:sz="0" w:space="0" w:color="auto"/>
        <w:bottom w:val="none" w:sz="0" w:space="0" w:color="auto"/>
        <w:right w:val="none" w:sz="0" w:space="0" w:color="auto"/>
      </w:divBdr>
    </w:div>
    <w:div w:id="423653480">
      <w:bodyDiv w:val="1"/>
      <w:marLeft w:val="0"/>
      <w:marRight w:val="0"/>
      <w:marTop w:val="0"/>
      <w:marBottom w:val="0"/>
      <w:divBdr>
        <w:top w:val="none" w:sz="0" w:space="0" w:color="auto"/>
        <w:left w:val="none" w:sz="0" w:space="0" w:color="auto"/>
        <w:bottom w:val="none" w:sz="0" w:space="0" w:color="auto"/>
        <w:right w:val="none" w:sz="0" w:space="0" w:color="auto"/>
      </w:divBdr>
    </w:div>
    <w:div w:id="562713137">
      <w:bodyDiv w:val="1"/>
      <w:marLeft w:val="0"/>
      <w:marRight w:val="0"/>
      <w:marTop w:val="0"/>
      <w:marBottom w:val="0"/>
      <w:divBdr>
        <w:top w:val="none" w:sz="0" w:space="0" w:color="auto"/>
        <w:left w:val="none" w:sz="0" w:space="0" w:color="auto"/>
        <w:bottom w:val="none" w:sz="0" w:space="0" w:color="auto"/>
        <w:right w:val="none" w:sz="0" w:space="0" w:color="auto"/>
      </w:divBdr>
    </w:div>
    <w:div w:id="746415006">
      <w:bodyDiv w:val="1"/>
      <w:marLeft w:val="0"/>
      <w:marRight w:val="0"/>
      <w:marTop w:val="0"/>
      <w:marBottom w:val="0"/>
      <w:divBdr>
        <w:top w:val="none" w:sz="0" w:space="0" w:color="auto"/>
        <w:left w:val="none" w:sz="0" w:space="0" w:color="auto"/>
        <w:bottom w:val="none" w:sz="0" w:space="0" w:color="auto"/>
        <w:right w:val="none" w:sz="0" w:space="0" w:color="auto"/>
      </w:divBdr>
    </w:div>
    <w:div w:id="807631074">
      <w:bodyDiv w:val="1"/>
      <w:marLeft w:val="0"/>
      <w:marRight w:val="0"/>
      <w:marTop w:val="0"/>
      <w:marBottom w:val="0"/>
      <w:divBdr>
        <w:top w:val="none" w:sz="0" w:space="0" w:color="auto"/>
        <w:left w:val="none" w:sz="0" w:space="0" w:color="auto"/>
        <w:bottom w:val="none" w:sz="0" w:space="0" w:color="auto"/>
        <w:right w:val="none" w:sz="0" w:space="0" w:color="auto"/>
      </w:divBdr>
    </w:div>
    <w:div w:id="814569294">
      <w:bodyDiv w:val="1"/>
      <w:marLeft w:val="0"/>
      <w:marRight w:val="0"/>
      <w:marTop w:val="0"/>
      <w:marBottom w:val="0"/>
      <w:divBdr>
        <w:top w:val="none" w:sz="0" w:space="0" w:color="auto"/>
        <w:left w:val="none" w:sz="0" w:space="0" w:color="auto"/>
        <w:bottom w:val="none" w:sz="0" w:space="0" w:color="auto"/>
        <w:right w:val="none" w:sz="0" w:space="0" w:color="auto"/>
      </w:divBdr>
    </w:div>
    <w:div w:id="845443577">
      <w:bodyDiv w:val="1"/>
      <w:marLeft w:val="0"/>
      <w:marRight w:val="0"/>
      <w:marTop w:val="0"/>
      <w:marBottom w:val="0"/>
      <w:divBdr>
        <w:top w:val="none" w:sz="0" w:space="0" w:color="auto"/>
        <w:left w:val="none" w:sz="0" w:space="0" w:color="auto"/>
        <w:bottom w:val="none" w:sz="0" w:space="0" w:color="auto"/>
        <w:right w:val="none" w:sz="0" w:space="0" w:color="auto"/>
      </w:divBdr>
    </w:div>
    <w:div w:id="960453941">
      <w:bodyDiv w:val="1"/>
      <w:marLeft w:val="0"/>
      <w:marRight w:val="0"/>
      <w:marTop w:val="0"/>
      <w:marBottom w:val="0"/>
      <w:divBdr>
        <w:top w:val="none" w:sz="0" w:space="0" w:color="auto"/>
        <w:left w:val="none" w:sz="0" w:space="0" w:color="auto"/>
        <w:bottom w:val="none" w:sz="0" w:space="0" w:color="auto"/>
        <w:right w:val="none" w:sz="0" w:space="0" w:color="auto"/>
      </w:divBdr>
    </w:div>
    <w:div w:id="1021710063">
      <w:bodyDiv w:val="1"/>
      <w:marLeft w:val="0"/>
      <w:marRight w:val="0"/>
      <w:marTop w:val="0"/>
      <w:marBottom w:val="0"/>
      <w:divBdr>
        <w:top w:val="none" w:sz="0" w:space="0" w:color="auto"/>
        <w:left w:val="none" w:sz="0" w:space="0" w:color="auto"/>
        <w:bottom w:val="none" w:sz="0" w:space="0" w:color="auto"/>
        <w:right w:val="none" w:sz="0" w:space="0" w:color="auto"/>
      </w:divBdr>
    </w:div>
    <w:div w:id="1090394216">
      <w:bodyDiv w:val="1"/>
      <w:marLeft w:val="0"/>
      <w:marRight w:val="0"/>
      <w:marTop w:val="0"/>
      <w:marBottom w:val="0"/>
      <w:divBdr>
        <w:top w:val="none" w:sz="0" w:space="0" w:color="auto"/>
        <w:left w:val="none" w:sz="0" w:space="0" w:color="auto"/>
        <w:bottom w:val="none" w:sz="0" w:space="0" w:color="auto"/>
        <w:right w:val="none" w:sz="0" w:space="0" w:color="auto"/>
      </w:divBdr>
    </w:div>
    <w:div w:id="1130052390">
      <w:bodyDiv w:val="1"/>
      <w:marLeft w:val="0"/>
      <w:marRight w:val="0"/>
      <w:marTop w:val="0"/>
      <w:marBottom w:val="0"/>
      <w:divBdr>
        <w:top w:val="none" w:sz="0" w:space="0" w:color="auto"/>
        <w:left w:val="none" w:sz="0" w:space="0" w:color="auto"/>
        <w:bottom w:val="none" w:sz="0" w:space="0" w:color="auto"/>
        <w:right w:val="none" w:sz="0" w:space="0" w:color="auto"/>
      </w:divBdr>
    </w:div>
    <w:div w:id="1132359945">
      <w:bodyDiv w:val="1"/>
      <w:marLeft w:val="0"/>
      <w:marRight w:val="0"/>
      <w:marTop w:val="0"/>
      <w:marBottom w:val="0"/>
      <w:divBdr>
        <w:top w:val="none" w:sz="0" w:space="0" w:color="auto"/>
        <w:left w:val="none" w:sz="0" w:space="0" w:color="auto"/>
        <w:bottom w:val="none" w:sz="0" w:space="0" w:color="auto"/>
        <w:right w:val="none" w:sz="0" w:space="0" w:color="auto"/>
      </w:divBdr>
    </w:div>
    <w:div w:id="1216968451">
      <w:bodyDiv w:val="1"/>
      <w:marLeft w:val="0"/>
      <w:marRight w:val="0"/>
      <w:marTop w:val="0"/>
      <w:marBottom w:val="0"/>
      <w:divBdr>
        <w:top w:val="none" w:sz="0" w:space="0" w:color="auto"/>
        <w:left w:val="none" w:sz="0" w:space="0" w:color="auto"/>
        <w:bottom w:val="none" w:sz="0" w:space="0" w:color="auto"/>
        <w:right w:val="none" w:sz="0" w:space="0" w:color="auto"/>
      </w:divBdr>
    </w:div>
    <w:div w:id="1254126647">
      <w:bodyDiv w:val="1"/>
      <w:marLeft w:val="0"/>
      <w:marRight w:val="0"/>
      <w:marTop w:val="0"/>
      <w:marBottom w:val="0"/>
      <w:divBdr>
        <w:top w:val="none" w:sz="0" w:space="0" w:color="auto"/>
        <w:left w:val="none" w:sz="0" w:space="0" w:color="auto"/>
        <w:bottom w:val="none" w:sz="0" w:space="0" w:color="auto"/>
        <w:right w:val="none" w:sz="0" w:space="0" w:color="auto"/>
      </w:divBdr>
    </w:div>
    <w:div w:id="1254629642">
      <w:bodyDiv w:val="1"/>
      <w:marLeft w:val="0"/>
      <w:marRight w:val="0"/>
      <w:marTop w:val="0"/>
      <w:marBottom w:val="0"/>
      <w:divBdr>
        <w:top w:val="none" w:sz="0" w:space="0" w:color="auto"/>
        <w:left w:val="none" w:sz="0" w:space="0" w:color="auto"/>
        <w:bottom w:val="none" w:sz="0" w:space="0" w:color="auto"/>
        <w:right w:val="none" w:sz="0" w:space="0" w:color="auto"/>
      </w:divBdr>
    </w:div>
    <w:div w:id="1323974479">
      <w:bodyDiv w:val="1"/>
      <w:marLeft w:val="0"/>
      <w:marRight w:val="0"/>
      <w:marTop w:val="0"/>
      <w:marBottom w:val="0"/>
      <w:divBdr>
        <w:top w:val="none" w:sz="0" w:space="0" w:color="auto"/>
        <w:left w:val="none" w:sz="0" w:space="0" w:color="auto"/>
        <w:bottom w:val="none" w:sz="0" w:space="0" w:color="auto"/>
        <w:right w:val="none" w:sz="0" w:space="0" w:color="auto"/>
      </w:divBdr>
      <w:divsChild>
        <w:div w:id="1434671104">
          <w:marLeft w:val="547"/>
          <w:marRight w:val="0"/>
          <w:marTop w:val="60"/>
          <w:marBottom w:val="160"/>
          <w:divBdr>
            <w:top w:val="none" w:sz="0" w:space="0" w:color="auto"/>
            <w:left w:val="none" w:sz="0" w:space="0" w:color="auto"/>
            <w:bottom w:val="none" w:sz="0" w:space="0" w:color="auto"/>
            <w:right w:val="none" w:sz="0" w:space="0" w:color="auto"/>
          </w:divBdr>
        </w:div>
        <w:div w:id="48775023">
          <w:marLeft w:val="547"/>
          <w:marRight w:val="0"/>
          <w:marTop w:val="60"/>
          <w:marBottom w:val="160"/>
          <w:divBdr>
            <w:top w:val="none" w:sz="0" w:space="0" w:color="auto"/>
            <w:left w:val="none" w:sz="0" w:space="0" w:color="auto"/>
            <w:bottom w:val="none" w:sz="0" w:space="0" w:color="auto"/>
            <w:right w:val="none" w:sz="0" w:space="0" w:color="auto"/>
          </w:divBdr>
        </w:div>
        <w:div w:id="668674438">
          <w:marLeft w:val="547"/>
          <w:marRight w:val="0"/>
          <w:marTop w:val="60"/>
          <w:marBottom w:val="160"/>
          <w:divBdr>
            <w:top w:val="none" w:sz="0" w:space="0" w:color="auto"/>
            <w:left w:val="none" w:sz="0" w:space="0" w:color="auto"/>
            <w:bottom w:val="none" w:sz="0" w:space="0" w:color="auto"/>
            <w:right w:val="none" w:sz="0" w:space="0" w:color="auto"/>
          </w:divBdr>
        </w:div>
        <w:div w:id="726145198">
          <w:marLeft w:val="547"/>
          <w:marRight w:val="0"/>
          <w:marTop w:val="60"/>
          <w:marBottom w:val="160"/>
          <w:divBdr>
            <w:top w:val="none" w:sz="0" w:space="0" w:color="auto"/>
            <w:left w:val="none" w:sz="0" w:space="0" w:color="auto"/>
            <w:bottom w:val="none" w:sz="0" w:space="0" w:color="auto"/>
            <w:right w:val="none" w:sz="0" w:space="0" w:color="auto"/>
          </w:divBdr>
        </w:div>
      </w:divsChild>
    </w:div>
    <w:div w:id="1376077451">
      <w:bodyDiv w:val="1"/>
      <w:marLeft w:val="0"/>
      <w:marRight w:val="0"/>
      <w:marTop w:val="0"/>
      <w:marBottom w:val="0"/>
      <w:divBdr>
        <w:top w:val="none" w:sz="0" w:space="0" w:color="auto"/>
        <w:left w:val="none" w:sz="0" w:space="0" w:color="auto"/>
        <w:bottom w:val="none" w:sz="0" w:space="0" w:color="auto"/>
        <w:right w:val="none" w:sz="0" w:space="0" w:color="auto"/>
      </w:divBdr>
    </w:div>
    <w:div w:id="1406875587">
      <w:bodyDiv w:val="1"/>
      <w:marLeft w:val="0"/>
      <w:marRight w:val="0"/>
      <w:marTop w:val="0"/>
      <w:marBottom w:val="0"/>
      <w:divBdr>
        <w:top w:val="none" w:sz="0" w:space="0" w:color="auto"/>
        <w:left w:val="none" w:sz="0" w:space="0" w:color="auto"/>
        <w:bottom w:val="none" w:sz="0" w:space="0" w:color="auto"/>
        <w:right w:val="none" w:sz="0" w:space="0" w:color="auto"/>
      </w:divBdr>
    </w:div>
    <w:div w:id="1475443313">
      <w:bodyDiv w:val="1"/>
      <w:marLeft w:val="0"/>
      <w:marRight w:val="0"/>
      <w:marTop w:val="0"/>
      <w:marBottom w:val="0"/>
      <w:divBdr>
        <w:top w:val="none" w:sz="0" w:space="0" w:color="auto"/>
        <w:left w:val="none" w:sz="0" w:space="0" w:color="auto"/>
        <w:bottom w:val="none" w:sz="0" w:space="0" w:color="auto"/>
        <w:right w:val="none" w:sz="0" w:space="0" w:color="auto"/>
      </w:divBdr>
    </w:div>
    <w:div w:id="1508979240">
      <w:bodyDiv w:val="1"/>
      <w:marLeft w:val="0"/>
      <w:marRight w:val="0"/>
      <w:marTop w:val="0"/>
      <w:marBottom w:val="0"/>
      <w:divBdr>
        <w:top w:val="none" w:sz="0" w:space="0" w:color="auto"/>
        <w:left w:val="none" w:sz="0" w:space="0" w:color="auto"/>
        <w:bottom w:val="none" w:sz="0" w:space="0" w:color="auto"/>
        <w:right w:val="none" w:sz="0" w:space="0" w:color="auto"/>
      </w:divBdr>
    </w:div>
    <w:div w:id="1559129541">
      <w:bodyDiv w:val="1"/>
      <w:marLeft w:val="0"/>
      <w:marRight w:val="0"/>
      <w:marTop w:val="0"/>
      <w:marBottom w:val="0"/>
      <w:divBdr>
        <w:top w:val="none" w:sz="0" w:space="0" w:color="auto"/>
        <w:left w:val="none" w:sz="0" w:space="0" w:color="auto"/>
        <w:bottom w:val="none" w:sz="0" w:space="0" w:color="auto"/>
        <w:right w:val="none" w:sz="0" w:space="0" w:color="auto"/>
      </w:divBdr>
    </w:div>
    <w:div w:id="1585871412">
      <w:bodyDiv w:val="1"/>
      <w:marLeft w:val="0"/>
      <w:marRight w:val="0"/>
      <w:marTop w:val="0"/>
      <w:marBottom w:val="0"/>
      <w:divBdr>
        <w:top w:val="none" w:sz="0" w:space="0" w:color="auto"/>
        <w:left w:val="none" w:sz="0" w:space="0" w:color="auto"/>
        <w:bottom w:val="none" w:sz="0" w:space="0" w:color="auto"/>
        <w:right w:val="none" w:sz="0" w:space="0" w:color="auto"/>
      </w:divBdr>
    </w:div>
    <w:div w:id="1633752290">
      <w:bodyDiv w:val="1"/>
      <w:marLeft w:val="0"/>
      <w:marRight w:val="0"/>
      <w:marTop w:val="0"/>
      <w:marBottom w:val="0"/>
      <w:divBdr>
        <w:top w:val="none" w:sz="0" w:space="0" w:color="auto"/>
        <w:left w:val="none" w:sz="0" w:space="0" w:color="auto"/>
        <w:bottom w:val="none" w:sz="0" w:space="0" w:color="auto"/>
        <w:right w:val="none" w:sz="0" w:space="0" w:color="auto"/>
      </w:divBdr>
    </w:div>
    <w:div w:id="1751387637">
      <w:bodyDiv w:val="1"/>
      <w:marLeft w:val="0"/>
      <w:marRight w:val="0"/>
      <w:marTop w:val="0"/>
      <w:marBottom w:val="0"/>
      <w:divBdr>
        <w:top w:val="none" w:sz="0" w:space="0" w:color="auto"/>
        <w:left w:val="none" w:sz="0" w:space="0" w:color="auto"/>
        <w:bottom w:val="none" w:sz="0" w:space="0" w:color="auto"/>
        <w:right w:val="none" w:sz="0" w:space="0" w:color="auto"/>
      </w:divBdr>
    </w:div>
    <w:div w:id="1944218254">
      <w:bodyDiv w:val="1"/>
      <w:marLeft w:val="0"/>
      <w:marRight w:val="0"/>
      <w:marTop w:val="0"/>
      <w:marBottom w:val="0"/>
      <w:divBdr>
        <w:top w:val="none" w:sz="0" w:space="0" w:color="auto"/>
        <w:left w:val="none" w:sz="0" w:space="0" w:color="auto"/>
        <w:bottom w:val="none" w:sz="0" w:space="0" w:color="auto"/>
        <w:right w:val="none" w:sz="0" w:space="0" w:color="auto"/>
      </w:divBdr>
    </w:div>
    <w:div w:id="1970477640">
      <w:bodyDiv w:val="1"/>
      <w:marLeft w:val="0"/>
      <w:marRight w:val="0"/>
      <w:marTop w:val="0"/>
      <w:marBottom w:val="0"/>
      <w:divBdr>
        <w:top w:val="none" w:sz="0" w:space="0" w:color="auto"/>
        <w:left w:val="none" w:sz="0" w:space="0" w:color="auto"/>
        <w:bottom w:val="none" w:sz="0" w:space="0" w:color="auto"/>
        <w:right w:val="none" w:sz="0" w:space="0" w:color="auto"/>
      </w:divBdr>
      <w:divsChild>
        <w:div w:id="637954669">
          <w:marLeft w:val="0"/>
          <w:marRight w:val="0"/>
          <w:marTop w:val="0"/>
          <w:marBottom w:val="0"/>
          <w:divBdr>
            <w:top w:val="none" w:sz="0" w:space="0" w:color="auto"/>
            <w:left w:val="none" w:sz="0" w:space="0" w:color="auto"/>
            <w:bottom w:val="none" w:sz="0" w:space="0" w:color="auto"/>
            <w:right w:val="none" w:sz="0" w:space="0" w:color="auto"/>
          </w:divBdr>
        </w:div>
      </w:divsChild>
    </w:div>
    <w:div w:id="2052145546">
      <w:bodyDiv w:val="1"/>
      <w:marLeft w:val="0"/>
      <w:marRight w:val="0"/>
      <w:marTop w:val="0"/>
      <w:marBottom w:val="0"/>
      <w:divBdr>
        <w:top w:val="none" w:sz="0" w:space="0" w:color="auto"/>
        <w:left w:val="none" w:sz="0" w:space="0" w:color="auto"/>
        <w:bottom w:val="none" w:sz="0" w:space="0" w:color="auto"/>
        <w:right w:val="none" w:sz="0" w:space="0" w:color="auto"/>
      </w:divBdr>
    </w:div>
    <w:div w:id="208221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oter2.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D66385-EB01-48BB-B38B-A6298252C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1194</Words>
  <Characters>6521</Characters>
  <Application>Microsoft Office Word</Application>
  <DocSecurity>0</DocSecurity>
  <Lines>54</Lines>
  <Paragraphs>15</Paragraphs>
  <ScaleCrop>false</ScaleCrop>
  <HeadingPairs>
    <vt:vector baseType="variant" size="2">
      <vt:variant>
        <vt:lpstr>Titre</vt:lpstr>
      </vt:variant>
      <vt:variant>
        <vt:i4>1</vt:i4>
      </vt:variant>
    </vt:vector>
  </HeadingPairs>
  <TitlesOfParts>
    <vt:vector baseType="lpstr" size="1">
      <vt:lpstr>Projet d’accord Salarial 2009</vt:lpstr>
    </vt:vector>
  </TitlesOfParts>
  <Company>shiseido</Company>
  <LinksUpToDate>false</LinksUpToDate>
  <CharactersWithSpaces>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2022-01-04T14:40:00Z</dcterms:created>
  <cp:lastPrinted>2021-12-17T12:48:00Z</cp:lastPrinted>
  <dcterms:modified xsi:type="dcterms:W3CDTF">2022-01-04T14:43:00Z</dcterms:modified>
  <cp:revision>3</cp:revision>
  <dc:title>Projet d’accord Salarial 2009</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ontentTypeId" pid="2">
    <vt:lpwstr>0x010100CC1AE1D23459544CA8644D83E788CC2C</vt:lpwstr>
  </property>
  <property fmtid="{D5CDD505-2E9C-101B-9397-08002B2CF9AE}" name="MSIP_Label_1bcd7ed4-0651-498c-ac89-2efddadcfa2f_Enabled" pid="3">
    <vt:lpwstr>true</vt:lpwstr>
  </property>
  <property fmtid="{D5CDD505-2E9C-101B-9397-08002B2CF9AE}" name="MSIP_Label_1bcd7ed4-0651-498c-ac89-2efddadcfa2f_SetDate" pid="4">
    <vt:lpwstr>2022-01-04T14:43:26Z</vt:lpwstr>
  </property>
  <property fmtid="{D5CDD505-2E9C-101B-9397-08002B2CF9AE}" name="MSIP_Label_1bcd7ed4-0651-498c-ac89-2efddadcfa2f_Method" pid="5">
    <vt:lpwstr>Standard</vt:lpwstr>
  </property>
  <property fmtid="{D5CDD505-2E9C-101B-9397-08002B2CF9AE}" name="MSIP_Label_1bcd7ed4-0651-498c-ac89-2efddadcfa2f_Name" pid="6">
    <vt:lpwstr>1bcd7ed4-0651-498c-ac89-2efddadcfa2f</vt:lpwstr>
  </property>
  <property fmtid="{D5CDD505-2E9C-101B-9397-08002B2CF9AE}" name="MSIP_Label_1bcd7ed4-0651-498c-ac89-2efddadcfa2f_SiteId" pid="7">
    <vt:lpwstr>c3549632-51ee-40fe-b6ae-a69f3a6cc157</vt:lpwstr>
  </property>
  <property fmtid="{D5CDD505-2E9C-101B-9397-08002B2CF9AE}" name="MSIP_Label_1bcd7ed4-0651-498c-ac89-2efddadcfa2f_ActionId" pid="8">
    <vt:lpwstr>4b34a22d-8f6e-4c2b-8aed-6cf8d25f4271</vt:lpwstr>
  </property>
  <property fmtid="{D5CDD505-2E9C-101B-9397-08002B2CF9AE}" name="MSIP_Label_1bcd7ed4-0651-498c-ac89-2efddadcfa2f_ContentBits" pid="9">
    <vt:lpwstr>2</vt:lpwstr>
  </property>
</Properties>
</file>