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hanging="0"/>
        <w:jc w:val="both"/>
        <w:rPr>
          <w:rFonts w:ascii="Swiss;Times New Roman" w:hAnsi="Swiss;Times New Roman" w:cs="Swiss;Times New Roman"/>
        </w:rPr>
      </w:pPr>
      <w:r>
        <w:rPr>
          <w:rFonts w:cs="Swiss;Times New Roman" w:ascii="Swiss;Times New Roman" w:hAnsi="Swiss;Times New Roman"/>
          <w:lang w:val="fr-FR" w:eastAsia="en-GB"/>
        </w:rPr>
        <w:drawing>
          <wp:inline distT="0" distB="0" distL="0" distR="0">
            <wp:extent cx="1623060" cy="6324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23" t="-67" r="-23" b="-67"/>
                    <a:stretch>
                      <a:fillRect/>
                    </a:stretch>
                  </pic:blipFill>
                  <pic:spPr bwMode="auto">
                    <a:xfrm>
                      <a:off x="0" y="0"/>
                      <a:ext cx="1623060" cy="632460"/>
                    </a:xfrm>
                    <a:prstGeom prst="rect">
                      <a:avLst/>
                    </a:prstGeom>
                  </pic:spPr>
                </pic:pic>
              </a:graphicData>
            </a:graphic>
          </wp:inline>
        </w:drawing>
      </w:r>
    </w:p>
    <w:p>
      <w:pPr>
        <w:pStyle w:val="Normal"/>
        <w:jc w:val="both"/>
        <w:rPr>
          <w:rFonts w:ascii="Swiss;Times New Roman" w:hAnsi="Swiss;Times New Roman" w:cs="Swiss;Times New Roman"/>
        </w:rPr>
      </w:pPr>
      <w:r>
        <w:rPr>
          <w:rFonts w:cs="Swiss;Times New Roman" w:ascii="Swiss;Times New Roman" w:hAnsi="Swiss;Times New Roman"/>
        </w:rPr>
      </w:r>
    </w:p>
    <w:p>
      <w:pPr>
        <w:pStyle w:val="Normal"/>
        <w:jc w:val="center"/>
        <w:rPr>
          <w:b/>
          <w:b/>
          <w:u w:val="single"/>
        </w:rPr>
      </w:pPr>
      <w:r>
        <w:rPr>
          <w:b/>
          <w:u w:val="single"/>
        </w:rPr>
        <w:t>NEGOCIATION ANNUELLE OBLIGATOIRE : ANNEE 2022</w:t>
      </w:r>
    </w:p>
    <w:p>
      <w:pPr>
        <w:pStyle w:val="Normal"/>
        <w:rPr>
          <w:b/>
          <w:b/>
          <w:u w:val="single"/>
        </w:rPr>
      </w:pPr>
      <w:r>
        <w:rPr>
          <w:b/>
          <w:u w:val="single"/>
        </w:rPr>
      </w:r>
    </w:p>
    <w:p>
      <w:pPr>
        <w:pStyle w:val="Normal"/>
        <w:jc w:val="both"/>
        <w:rPr/>
      </w:pPr>
      <w:r>
        <w:rPr/>
      </w:r>
    </w:p>
    <w:p>
      <w:pPr>
        <w:pStyle w:val="Normal"/>
        <w:jc w:val="center"/>
        <w:rPr>
          <w:b/>
          <w:b/>
          <w:u w:val="single"/>
        </w:rPr>
      </w:pPr>
      <w:r>
        <w:rPr>
          <w:b/>
          <w:u w:val="single"/>
        </w:rPr>
        <w:t>LISTE DES DOCUMENTS COMMUNIQUES</w:t>
      </w:r>
    </w:p>
    <w:p>
      <w:pPr>
        <w:pStyle w:val="Normal"/>
        <w:jc w:val="both"/>
        <w:rPr>
          <w:b/>
          <w:b/>
          <w:u w:val="single"/>
        </w:rPr>
      </w:pPr>
      <w:r>
        <w:rPr>
          <w:b/>
          <w:u w:val="single"/>
        </w:rPr>
      </w:r>
    </w:p>
    <w:p>
      <w:pPr>
        <w:pStyle w:val="Normal"/>
        <w:jc w:val="both"/>
        <w:rPr/>
      </w:pPr>
      <w:r>
        <w:rPr/>
      </w:r>
    </w:p>
    <w:p>
      <w:pPr>
        <w:pStyle w:val="Normal"/>
        <w:jc w:val="both"/>
        <w:rPr/>
      </w:pPr>
      <w:r>
        <w:rPr/>
        <w:t xml:space="preserve">I - </w:t>
      </w:r>
      <w:r>
        <w:rPr>
          <w:b/>
          <w:u w:val="single"/>
        </w:rPr>
        <w:t>Rémunération</w:t>
      </w:r>
    </w:p>
    <w:p>
      <w:pPr>
        <w:pStyle w:val="Normal"/>
        <w:jc w:val="both"/>
        <w:rPr/>
      </w:pPr>
      <w:r>
        <w:rPr/>
      </w:r>
    </w:p>
    <w:p>
      <w:pPr>
        <w:pStyle w:val="Normal"/>
        <w:numPr>
          <w:ilvl w:val="0"/>
          <w:numId w:val="2"/>
        </w:numPr>
        <w:jc w:val="both"/>
        <w:rPr/>
      </w:pPr>
      <w:r>
        <w:rPr/>
        <w:t>Réductions de charges 2021</w:t>
      </w:r>
    </w:p>
    <w:p>
      <w:pPr>
        <w:pStyle w:val="Normal"/>
        <w:numPr>
          <w:ilvl w:val="0"/>
          <w:numId w:val="2"/>
        </w:numPr>
        <w:jc w:val="both"/>
        <w:rPr/>
      </w:pPr>
      <w:r>
        <w:rPr/>
        <w:t>Masse salariale des années 2019 et 2020</w:t>
      </w:r>
    </w:p>
    <w:p>
      <w:pPr>
        <w:pStyle w:val="Normal"/>
        <w:numPr>
          <w:ilvl w:val="0"/>
          <w:numId w:val="2"/>
        </w:numPr>
        <w:jc w:val="both"/>
        <w:rPr/>
      </w:pPr>
      <w:r>
        <w:rPr/>
        <w:t xml:space="preserve">Masse salariale 2020 par statut et par sexe </w:t>
      </w:r>
    </w:p>
    <w:p>
      <w:pPr>
        <w:pStyle w:val="Normal"/>
        <w:numPr>
          <w:ilvl w:val="0"/>
          <w:numId w:val="2"/>
        </w:numPr>
        <w:jc w:val="both"/>
        <w:rPr/>
      </w:pPr>
      <w:r>
        <w:rPr/>
        <w:t>Salaire effectif de l’année 2021 par catégorie, par sexe, par niveau, moyenne, dispersion</w:t>
      </w:r>
    </w:p>
    <w:p>
      <w:pPr>
        <w:pStyle w:val="Normal"/>
        <w:numPr>
          <w:ilvl w:val="0"/>
          <w:numId w:val="2"/>
        </w:numPr>
        <w:jc w:val="both"/>
        <w:rPr/>
      </w:pPr>
      <w:r>
        <w:rPr/>
        <w:t xml:space="preserve">Graphique sur l’analyse des écarts des écarts de rémunération entre les hommes et les femmes par catégorie professionnelle </w:t>
      </w:r>
    </w:p>
    <w:p>
      <w:pPr>
        <w:pStyle w:val="Normal"/>
        <w:numPr>
          <w:ilvl w:val="0"/>
          <w:numId w:val="2"/>
        </w:numPr>
        <w:jc w:val="both"/>
        <w:rPr/>
      </w:pPr>
      <w:r>
        <w:rPr/>
        <w:t>Tranche de salaire septembre 2021</w:t>
      </w:r>
    </w:p>
    <w:p>
      <w:pPr>
        <w:pStyle w:val="Normal"/>
        <w:ind w:left="720" w:hanging="0"/>
        <w:jc w:val="both"/>
        <w:rPr/>
      </w:pPr>
      <w:r>
        <w:rPr/>
      </w:r>
    </w:p>
    <w:p>
      <w:pPr>
        <w:pStyle w:val="Normal"/>
        <w:jc w:val="both"/>
        <w:rPr/>
      </w:pPr>
      <w:r>
        <w:rPr/>
      </w:r>
    </w:p>
    <w:p>
      <w:pPr>
        <w:pStyle w:val="Normal"/>
        <w:jc w:val="both"/>
        <w:rPr/>
      </w:pPr>
      <w:r>
        <w:rPr/>
        <w:t xml:space="preserve">II – </w:t>
      </w:r>
      <w:r>
        <w:rPr>
          <w:b/>
          <w:u w:val="single"/>
        </w:rPr>
        <w:t>Égalité professionnelle</w:t>
      </w:r>
    </w:p>
    <w:p>
      <w:pPr>
        <w:pStyle w:val="Normal"/>
        <w:jc w:val="both"/>
        <w:rPr/>
      </w:pPr>
      <w:r>
        <w:rPr/>
      </w:r>
    </w:p>
    <w:p>
      <w:pPr>
        <w:pStyle w:val="Normal"/>
        <w:numPr>
          <w:ilvl w:val="0"/>
          <w:numId w:val="2"/>
        </w:numPr>
        <w:jc w:val="both"/>
        <w:rPr/>
      </w:pPr>
      <w:r>
        <w:rPr/>
        <w:t>Situation comparée des hommes et des femmes sur l’année 2021 par niveau</w:t>
      </w:r>
    </w:p>
    <w:p>
      <w:pPr>
        <w:pStyle w:val="Normal"/>
        <w:numPr>
          <w:ilvl w:val="0"/>
          <w:numId w:val="2"/>
        </w:numPr>
        <w:jc w:val="both"/>
        <w:rPr/>
      </w:pPr>
      <w:r>
        <w:rPr/>
        <w:t>Bilan des formations 2020 par sexe</w:t>
      </w:r>
    </w:p>
    <w:p>
      <w:pPr>
        <w:pStyle w:val="Normal"/>
        <w:numPr>
          <w:ilvl w:val="0"/>
          <w:numId w:val="2"/>
        </w:numPr>
        <w:jc w:val="both"/>
        <w:rPr/>
      </w:pPr>
      <w:r>
        <w:rPr/>
        <w:t>Bilan du plan de formation 2021 en cours</w:t>
      </w:r>
    </w:p>
    <w:p>
      <w:pPr>
        <w:pStyle w:val="Normal"/>
        <w:numPr>
          <w:ilvl w:val="0"/>
          <w:numId w:val="2"/>
        </w:numPr>
        <w:jc w:val="both"/>
        <w:rPr/>
      </w:pPr>
      <w:r>
        <w:rPr/>
        <w:t>Répartition de l’effectif par sexe et par tranche d’âge au 30 septembre 2021</w:t>
      </w:r>
    </w:p>
    <w:p>
      <w:pPr>
        <w:pStyle w:val="Normal"/>
        <w:numPr>
          <w:ilvl w:val="0"/>
          <w:numId w:val="2"/>
        </w:numPr>
        <w:jc w:val="both"/>
        <w:rPr/>
      </w:pPr>
      <w:r>
        <w:rPr/>
        <w:t>Répartition de l’effectif par sexe et par CSP au 30 septembre 2021</w:t>
      </w:r>
    </w:p>
    <w:p>
      <w:pPr>
        <w:pStyle w:val="Normal"/>
        <w:numPr>
          <w:ilvl w:val="0"/>
          <w:numId w:val="2"/>
        </w:numPr>
        <w:jc w:val="both"/>
        <w:rPr/>
      </w:pPr>
      <w:r>
        <w:rPr/>
        <w:t>Index sur l’égalité professionnelle 2021 (calculé sur l’année civile 2020)</w:t>
      </w:r>
    </w:p>
    <w:p>
      <w:pPr>
        <w:pStyle w:val="Normal"/>
        <w:ind w:left="360" w:hanging="0"/>
        <w:jc w:val="both"/>
        <w:rPr/>
      </w:pPr>
      <w:r>
        <w:rPr/>
      </w:r>
    </w:p>
    <w:p>
      <w:pPr>
        <w:pStyle w:val="Normal"/>
        <w:jc w:val="both"/>
        <w:rPr/>
      </w:pPr>
      <w:r>
        <w:rPr/>
        <w:t xml:space="preserve">III – </w:t>
      </w:r>
      <w:r>
        <w:rPr>
          <w:b/>
          <w:u w:val="single"/>
        </w:rPr>
        <w:t>Temps de travail</w:t>
      </w:r>
    </w:p>
    <w:p>
      <w:pPr>
        <w:pStyle w:val="Normal"/>
        <w:jc w:val="both"/>
        <w:rPr/>
      </w:pPr>
      <w:r>
        <w:rPr/>
      </w:r>
    </w:p>
    <w:p>
      <w:pPr>
        <w:pStyle w:val="Normal"/>
        <w:numPr>
          <w:ilvl w:val="0"/>
          <w:numId w:val="2"/>
        </w:numPr>
        <w:jc w:val="both"/>
        <w:rPr/>
      </w:pPr>
      <w:r>
        <w:rPr/>
        <w:t>Nombre de salariés occupés à temps partiel sur 3 ans</w:t>
      </w:r>
    </w:p>
    <w:p>
      <w:pPr>
        <w:pStyle w:val="Normal"/>
        <w:jc w:val="both"/>
        <w:rPr/>
      </w:pPr>
      <w:r>
        <w:rPr/>
      </w:r>
    </w:p>
    <w:p>
      <w:pPr>
        <w:pStyle w:val="Normal"/>
        <w:jc w:val="both"/>
        <w:rPr/>
      </w:pPr>
      <w:r>
        <w:rPr/>
        <w:t xml:space="preserve">IV – </w:t>
      </w:r>
      <w:r>
        <w:rPr>
          <w:b/>
          <w:u w:val="single"/>
        </w:rPr>
        <w:t>Insertion et maintien dans l’emploi des travailleurs handicapés</w:t>
      </w:r>
    </w:p>
    <w:p>
      <w:pPr>
        <w:pStyle w:val="Normal"/>
        <w:jc w:val="both"/>
        <w:rPr/>
      </w:pPr>
      <w:r>
        <w:rPr/>
      </w:r>
    </w:p>
    <w:p>
      <w:pPr>
        <w:pStyle w:val="Normal"/>
        <w:numPr>
          <w:ilvl w:val="0"/>
          <w:numId w:val="2"/>
        </w:numPr>
        <w:jc w:val="both"/>
        <w:rPr/>
      </w:pPr>
      <w:r>
        <w:rPr/>
        <w:t>Rapport sur l’obligation d’emploi des travailleurs handicapés</w:t>
      </w:r>
    </w:p>
    <w:p>
      <w:pPr>
        <w:pStyle w:val="Normal"/>
        <w:numPr>
          <w:ilvl w:val="0"/>
          <w:numId w:val="2"/>
        </w:numPr>
        <w:jc w:val="both"/>
        <w:rPr/>
      </w:pPr>
      <w:r>
        <w:rPr/>
        <w:t>Comparatif du nombre de travailleurs handicapés par année sur trois ans</w:t>
      </w:r>
    </w:p>
    <w:p>
      <w:pPr>
        <w:pStyle w:val="Normal"/>
        <w:jc w:val="both"/>
        <w:rPr/>
      </w:pPr>
      <w:r>
        <w:rPr/>
      </w:r>
    </w:p>
    <w:p>
      <w:pPr>
        <w:pStyle w:val="Normal"/>
        <w:jc w:val="both"/>
        <w:rPr/>
      </w:pPr>
      <w:r>
        <w:rPr/>
      </w:r>
    </w:p>
    <w:p>
      <w:pPr>
        <w:pStyle w:val="Normal"/>
        <w:jc w:val="both"/>
        <w:rPr/>
      </w:pPr>
      <w:r>
        <w:rPr/>
        <w:t xml:space="preserve">VI – </w:t>
      </w:r>
      <w:r>
        <w:rPr>
          <w:b/>
          <w:u w:val="single"/>
        </w:rPr>
        <w:t>Autres documents</w:t>
      </w:r>
    </w:p>
    <w:p>
      <w:pPr>
        <w:pStyle w:val="Normal"/>
        <w:jc w:val="both"/>
        <w:rPr/>
      </w:pPr>
      <w:r>
        <w:rPr/>
      </w:r>
    </w:p>
    <w:p>
      <w:pPr>
        <w:pStyle w:val="Normal"/>
        <w:numPr>
          <w:ilvl w:val="0"/>
          <w:numId w:val="2"/>
        </w:numPr>
        <w:jc w:val="both"/>
        <w:rPr/>
      </w:pPr>
      <w:r>
        <w:rPr/>
        <w:t>Nombre de jours CDD 2021 et durée moyenne CDD</w:t>
      </w:r>
    </w:p>
    <w:p>
      <w:pPr>
        <w:pStyle w:val="Normal"/>
        <w:numPr>
          <w:ilvl w:val="0"/>
          <w:numId w:val="2"/>
        </w:numPr>
        <w:jc w:val="both"/>
        <w:rPr/>
      </w:pPr>
      <w:r>
        <w:rPr/>
        <w:t>Analyse de l’ancienneté moyenne au 30.09.21</w:t>
      </w:r>
    </w:p>
    <w:p>
      <w:pPr>
        <w:pStyle w:val="Normal"/>
        <w:jc w:val="both"/>
        <w:rPr/>
      </w:pPr>
      <w:r>
        <w:rPr/>
      </w:r>
      <w:r>
        <w:br w:type="page"/>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pPr>
      <w:r>
        <w:rPr>
          <w:b/>
          <w:u w:val="single"/>
        </w:rPr>
        <w:t xml:space="preserve">PROCES VERBAL D’ACCORD </w:t>
      </w:r>
      <w:r>
        <w:rPr>
          <w:b/>
          <w:color w:val="000000"/>
          <w:u w:val="single"/>
        </w:rPr>
        <w:t>DE LA NEGOCIATION</w:t>
      </w:r>
      <w:r>
        <w:rPr>
          <w:b/>
          <w:u w:val="single"/>
        </w:rPr>
        <w:t xml:space="preserve"> ANNUELLE OBLIGATOIRE </w:t>
      </w:r>
    </w:p>
    <w:p>
      <w:pPr>
        <w:pStyle w:val="Normal"/>
        <w:jc w:val="center"/>
        <w:rPr>
          <w:b/>
          <w:b/>
          <w:u w:val="single"/>
        </w:rPr>
      </w:pPr>
      <w:r>
        <w:rPr>
          <w:b/>
          <w:u w:val="single"/>
        </w:rPr>
        <w:t>POUR L’ANNEE 2022</w:t>
      </w:r>
    </w:p>
    <w:p>
      <w:pPr>
        <w:pStyle w:val="Normal"/>
        <w:jc w:val="center"/>
        <w:rPr>
          <w:b/>
          <w:b/>
          <w:u w:val="single"/>
        </w:rPr>
      </w:pPr>
      <w:r>
        <w:rPr>
          <w:b/>
          <w:u w:val="single"/>
        </w:rPr>
      </w:r>
    </w:p>
    <w:p>
      <w:pPr>
        <w:pStyle w:val="Normal"/>
        <w:jc w:val="center"/>
        <w:rPr>
          <w:b/>
          <w:b/>
          <w:u w:val="single"/>
        </w:rPr>
      </w:pPr>
      <w:r>
        <w:rPr>
          <w:b/>
          <w:u w:val="single"/>
        </w:rPr>
      </w:r>
    </w:p>
    <w:p>
      <w:pPr>
        <w:pStyle w:val="Normal"/>
        <w:tabs>
          <w:tab w:val="left" w:pos="0" w:leader="none"/>
        </w:tabs>
        <w:ind w:left="284" w:hanging="0"/>
        <w:jc w:val="both"/>
        <w:rPr>
          <w:b/>
          <w:b/>
          <w:u w:val="single"/>
        </w:rPr>
      </w:pPr>
      <w:r>
        <w:rPr>
          <w:b/>
          <w:u w:val="single"/>
        </w:rPr>
      </w:r>
    </w:p>
    <w:p>
      <w:pPr>
        <w:pStyle w:val="Normal"/>
        <w:spacing w:lineRule="exact" w:line="320"/>
        <w:jc w:val="both"/>
        <w:rPr>
          <w:szCs w:val="22"/>
          <w:u w:val="single"/>
        </w:rPr>
      </w:pPr>
      <w:r>
        <w:rPr>
          <w:szCs w:val="22"/>
          <w:u w:val="single"/>
        </w:rPr>
        <w:t>Préambule</w:t>
      </w:r>
    </w:p>
    <w:p>
      <w:pPr>
        <w:pStyle w:val="Normal"/>
        <w:spacing w:lineRule="exact" w:line="320"/>
        <w:jc w:val="both"/>
        <w:rPr>
          <w:szCs w:val="22"/>
          <w:u w:val="single"/>
        </w:rPr>
      </w:pPr>
      <w:r>
        <w:rPr>
          <w:szCs w:val="22"/>
          <w:u w:val="single"/>
        </w:rPr>
      </w:r>
    </w:p>
    <w:p>
      <w:pPr>
        <w:pStyle w:val="Normal"/>
        <w:spacing w:lineRule="exact" w:line="320"/>
        <w:jc w:val="both"/>
        <w:rPr>
          <w:szCs w:val="22"/>
        </w:rPr>
      </w:pPr>
      <w:r>
        <w:rPr>
          <w:szCs w:val="22"/>
        </w:rPr>
        <w:t xml:space="preserve">La Direction et l’ensemble des Organisations Syndicales Représentatives au sein de la Société Idex Services se sont rapprochés dans le cadre des dispositions de l’article L.2242-1 et suivants du code du travail, relatives à la négociation obligatoire dans l’entreprise. </w:t>
      </w:r>
    </w:p>
    <w:p>
      <w:pPr>
        <w:pStyle w:val="Normal"/>
        <w:spacing w:lineRule="exact" w:line="320"/>
        <w:jc w:val="both"/>
        <w:rPr>
          <w:szCs w:val="22"/>
        </w:rPr>
      </w:pPr>
      <w:r>
        <w:rPr>
          <w:szCs w:val="22"/>
        </w:rPr>
      </w:r>
    </w:p>
    <w:p>
      <w:pPr>
        <w:pStyle w:val="Normal"/>
        <w:spacing w:lineRule="exact" w:line="320"/>
        <w:jc w:val="both"/>
        <w:rPr/>
      </w:pPr>
      <w:r>
        <w:rPr>
          <w:szCs w:val="22"/>
        </w:rPr>
        <w:t>Outre la question des rémunérations effectives, les parties ont échangé sur l’organisation du temps de travail, l’intéressement, la participation et l’épargne salariale ainsi que sur le suivi de la mise en œuvre des mesures visant à supprimer les écarts de rémunération et les différences de déroulement de carrière entre les femmes et les hommes.</w:t>
      </w:r>
    </w:p>
    <w:p>
      <w:pPr>
        <w:pStyle w:val="Normal"/>
        <w:spacing w:lineRule="exact" w:line="320"/>
        <w:jc w:val="both"/>
        <w:rPr>
          <w:szCs w:val="22"/>
        </w:rPr>
      </w:pPr>
      <w:r>
        <w:rPr>
          <w:szCs w:val="22"/>
        </w:rPr>
      </w:r>
    </w:p>
    <w:p>
      <w:pPr>
        <w:pStyle w:val="Normal"/>
        <w:spacing w:lineRule="exact" w:line="320"/>
        <w:jc w:val="both"/>
        <w:rPr>
          <w:szCs w:val="22"/>
        </w:rPr>
      </w:pPr>
      <w:r>
        <w:rPr>
          <w:szCs w:val="22"/>
        </w:rPr>
        <w:t>A cet effet, la négociation annuelle obligatoire s’est déroulée au sein d’IDEX Services au cours de 5 réunions de négociation en date des 21 octobre puis des 18 novembre et des 1</w:t>
      </w:r>
      <w:r>
        <w:rPr>
          <w:szCs w:val="22"/>
          <w:vertAlign w:val="superscript"/>
        </w:rPr>
        <w:t>er</w:t>
      </w:r>
      <w:r>
        <w:rPr>
          <w:szCs w:val="22"/>
        </w:rPr>
        <w:t xml:space="preserve">, 3 et 10 décembre 2021. </w:t>
      </w:r>
    </w:p>
    <w:p>
      <w:pPr>
        <w:pStyle w:val="Normal"/>
        <w:spacing w:lineRule="exact" w:line="320"/>
        <w:jc w:val="both"/>
        <w:rPr>
          <w:strike/>
          <w:szCs w:val="22"/>
        </w:rPr>
      </w:pPr>
      <w:r>
        <w:rPr>
          <w:strike/>
          <w:szCs w:val="22"/>
        </w:rPr>
      </w:r>
    </w:p>
    <w:p>
      <w:pPr>
        <w:pStyle w:val="Normal"/>
        <w:spacing w:lineRule="exact" w:line="320"/>
        <w:ind w:left="283" w:hanging="0"/>
        <w:jc w:val="both"/>
        <w:rPr>
          <w:b/>
          <w:b/>
          <w:strike/>
          <w:szCs w:val="22"/>
        </w:rPr>
      </w:pPr>
      <w:r>
        <w:rPr>
          <w:b/>
          <w:strike/>
          <w:szCs w:val="22"/>
        </w:rPr>
      </w:r>
    </w:p>
    <w:p>
      <w:pPr>
        <w:pStyle w:val="Normal"/>
        <w:numPr>
          <w:ilvl w:val="0"/>
          <w:numId w:val="3"/>
        </w:numPr>
        <w:spacing w:lineRule="exact" w:line="320"/>
        <w:jc w:val="both"/>
        <w:rPr>
          <w:b/>
          <w:b/>
          <w:szCs w:val="22"/>
        </w:rPr>
      </w:pPr>
      <w:r>
        <w:rPr>
          <w:b/>
          <w:szCs w:val="22"/>
          <w:u w:val="single"/>
        </w:rPr>
        <w:t>DERNIER ETAT DES PROPOSITIONS DES ORGANISATIONS SYNDICALES</w:t>
      </w:r>
    </w:p>
    <w:p>
      <w:pPr>
        <w:pStyle w:val="Normal"/>
        <w:numPr>
          <w:ilvl w:val="0"/>
          <w:numId w:val="0"/>
        </w:numPr>
        <w:spacing w:lineRule="exact" w:line="320"/>
        <w:ind w:left="283" w:hanging="283"/>
        <w:jc w:val="both"/>
        <w:rPr>
          <w:b/>
          <w:b/>
          <w:szCs w:val="22"/>
        </w:rPr>
      </w:pPr>
      <w:r>
        <w:rPr>
          <w:b/>
          <w:szCs w:val="22"/>
        </w:rPr>
      </w:r>
    </w:p>
    <w:p>
      <w:pPr>
        <w:pStyle w:val="Normal"/>
        <w:numPr>
          <w:ilvl w:val="0"/>
          <w:numId w:val="0"/>
        </w:numPr>
        <w:spacing w:lineRule="exact" w:line="320"/>
        <w:ind w:left="283" w:hanging="283"/>
        <w:jc w:val="both"/>
        <w:rPr>
          <w:sz w:val="24"/>
          <w:szCs w:val="24"/>
        </w:rPr>
      </w:pPr>
      <w:r>
        <w:rPr>
          <w:sz w:val="24"/>
          <w:szCs w:val="24"/>
        </w:rPr>
        <w:t>Les propositions des organisations sont les suivantes :</w:t>
      </w:r>
    </w:p>
    <w:p>
      <w:pPr>
        <w:pStyle w:val="Normal"/>
        <w:numPr>
          <w:ilvl w:val="0"/>
          <w:numId w:val="0"/>
        </w:numPr>
        <w:spacing w:lineRule="exact" w:line="320"/>
        <w:ind w:left="283" w:hanging="283"/>
        <w:jc w:val="both"/>
        <w:rPr>
          <w:sz w:val="24"/>
          <w:szCs w:val="24"/>
        </w:rPr>
      </w:pPr>
      <w:r>
        <w:rPr>
          <w:sz w:val="24"/>
          <w:szCs w:val="24"/>
        </w:rPr>
      </w:r>
    </w:p>
    <w:p>
      <w:pPr>
        <w:pStyle w:val="Heading3"/>
        <w:numPr>
          <w:ilvl w:val="2"/>
          <w:numId w:val="1"/>
        </w:numPr>
        <w:spacing w:lineRule="exact" w:line="320"/>
        <w:ind w:left="284" w:hanging="284"/>
        <w:rPr>
          <w:rFonts w:ascii="Times New Roman" w:hAnsi="Times New Roman" w:cs="Times New Roman"/>
          <w:sz w:val="24"/>
          <w:szCs w:val="24"/>
        </w:rPr>
      </w:pPr>
      <w:r>
        <w:rPr>
          <w:rFonts w:cs="Times New Roman" w:ascii="Times New Roman" w:hAnsi="Times New Roman"/>
          <w:sz w:val="24"/>
          <w:szCs w:val="24"/>
        </w:rPr>
        <w:t>Propositions délégation syndicale CFTC</w:t>
      </w:r>
    </w:p>
    <w:p>
      <w:pPr>
        <w:pStyle w:val="Normal"/>
        <w:spacing w:lineRule="exact" w:line="320"/>
        <w:rPr>
          <w:rFonts w:ascii="Times New Roman" w:hAnsi="Times New Roman" w:cs="Times New Roman"/>
          <w:sz w:val="24"/>
          <w:szCs w:val="24"/>
        </w:rPr>
      </w:pPr>
      <w:r>
        <w:rPr>
          <w:rFonts w:cs="Times New Roman"/>
          <w:sz w:val="24"/>
          <w:szCs w:val="24"/>
        </w:rPr>
      </w:r>
    </w:p>
    <w:p>
      <w:pPr>
        <w:pStyle w:val="Normal"/>
        <w:numPr>
          <w:ilvl w:val="0"/>
          <w:numId w:val="7"/>
        </w:numPr>
        <w:spacing w:lineRule="exact" w:line="320"/>
        <w:ind w:left="426" w:hanging="426"/>
        <w:jc w:val="both"/>
        <w:rPr>
          <w:color w:val="000000"/>
          <w:sz w:val="24"/>
          <w:szCs w:val="24"/>
        </w:rPr>
      </w:pPr>
      <w:r>
        <w:rPr>
          <w:color w:val="000000"/>
          <w:sz w:val="24"/>
          <w:szCs w:val="24"/>
        </w:rPr>
        <w:t>Augmentation générale de 5% pour les salaires jusqu’à 3600 € bruts et de 4% pour les salaires supérieurs à 3600€,</w:t>
      </w:r>
    </w:p>
    <w:p>
      <w:pPr>
        <w:pStyle w:val="Normal"/>
        <w:numPr>
          <w:ilvl w:val="0"/>
          <w:numId w:val="7"/>
        </w:numPr>
        <w:spacing w:lineRule="exact" w:line="320"/>
        <w:ind w:left="426" w:hanging="426"/>
        <w:jc w:val="both"/>
        <w:rPr/>
      </w:pPr>
      <w:r>
        <w:rPr>
          <w:color w:val="000000"/>
          <w:sz w:val="24"/>
          <w:szCs w:val="24"/>
        </w:rPr>
        <w:t>Prise en charge des titres de transport à hauteur de 65%,</w:t>
      </w:r>
    </w:p>
    <w:p>
      <w:pPr>
        <w:pStyle w:val="Normal"/>
        <w:numPr>
          <w:ilvl w:val="0"/>
          <w:numId w:val="7"/>
        </w:numPr>
        <w:spacing w:lineRule="exact" w:line="320"/>
        <w:ind w:left="426" w:hanging="426"/>
        <w:jc w:val="both"/>
        <w:rPr/>
      </w:pPr>
      <w:r>
        <w:rPr>
          <w:color w:val="000000"/>
          <w:sz w:val="24"/>
          <w:szCs w:val="24"/>
        </w:rPr>
        <w:t>Revalorisation des tickets restaurant à 10€,</w:t>
      </w:r>
    </w:p>
    <w:p>
      <w:pPr>
        <w:pStyle w:val="Normal"/>
        <w:numPr>
          <w:ilvl w:val="0"/>
          <w:numId w:val="7"/>
        </w:numPr>
        <w:spacing w:lineRule="exact" w:line="320"/>
        <w:ind w:left="426" w:hanging="426"/>
        <w:jc w:val="both"/>
        <w:rPr>
          <w:color w:val="000000"/>
          <w:sz w:val="24"/>
          <w:szCs w:val="24"/>
        </w:rPr>
      </w:pPr>
      <w:r>
        <w:rPr>
          <w:color w:val="000000"/>
          <w:sz w:val="24"/>
          <w:szCs w:val="24"/>
        </w:rPr>
        <w:t>Mise en place des chèques vacances avec participation de l’employeur à hauteur de 80% pour les rémunérations inférieures à 3 428€ et 50% pour les rémunérations supérieures à 3 428€,</w:t>
      </w:r>
    </w:p>
    <w:p>
      <w:pPr>
        <w:pStyle w:val="Normal"/>
        <w:numPr>
          <w:ilvl w:val="0"/>
          <w:numId w:val="7"/>
        </w:numPr>
        <w:spacing w:lineRule="exact" w:line="320"/>
        <w:ind w:left="426" w:hanging="426"/>
        <w:jc w:val="both"/>
        <w:rPr>
          <w:color w:val="000000"/>
          <w:sz w:val="24"/>
          <w:szCs w:val="24"/>
        </w:rPr>
      </w:pPr>
      <w:r>
        <w:rPr>
          <w:color w:val="000000"/>
          <w:sz w:val="24"/>
          <w:szCs w:val="24"/>
        </w:rPr>
        <w:t>Reconduction de la prime Macron à hauteur de 400€,</w:t>
      </w:r>
    </w:p>
    <w:p>
      <w:pPr>
        <w:pStyle w:val="Normal"/>
        <w:numPr>
          <w:ilvl w:val="0"/>
          <w:numId w:val="7"/>
        </w:numPr>
        <w:spacing w:lineRule="exact" w:line="320"/>
        <w:ind w:left="426" w:hanging="426"/>
        <w:jc w:val="both"/>
        <w:rPr>
          <w:color w:val="000000"/>
          <w:sz w:val="24"/>
          <w:szCs w:val="24"/>
        </w:rPr>
      </w:pPr>
      <w:r>
        <w:rPr>
          <w:color w:val="000000"/>
          <w:sz w:val="24"/>
          <w:szCs w:val="24"/>
        </w:rPr>
        <w:t>Demande d’une analyse approfondie sur les écarts de rémunération de le Position II.</w:t>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r>
    </w:p>
    <w:p>
      <w:pPr>
        <w:pStyle w:val="TextBodyIndent"/>
        <w:numPr>
          <w:ilvl w:val="0"/>
          <w:numId w:val="0"/>
        </w:numPr>
        <w:spacing w:lineRule="exact" w:line="320"/>
        <w:ind w:left="360" w:hanging="426"/>
        <w:rPr>
          <w:rFonts w:ascii="Times New Roman" w:hAnsi="Times New Roman" w:cs="Times New Roman"/>
          <w:b/>
          <w:b/>
          <w:bCs/>
          <w:color w:val="000000"/>
          <w:sz w:val="24"/>
          <w:szCs w:val="24"/>
          <w:u w:val="single"/>
        </w:rPr>
      </w:pPr>
      <w:r>
        <w:rPr>
          <w:rFonts w:cs="Times New Roman" w:ascii="Times New Roman" w:hAnsi="Times New Roman"/>
          <w:b/>
          <w:bCs/>
          <w:color w:val="000000"/>
          <w:sz w:val="24"/>
          <w:szCs w:val="24"/>
          <w:u w:val="single"/>
        </w:rPr>
        <w:t xml:space="preserve">B. </w:t>
      </w:r>
      <w:r>
        <w:rPr>
          <w:rFonts w:cs="Times New Roman" w:ascii="Times New Roman" w:hAnsi="Times New Roman"/>
          <w:b/>
          <w:sz w:val="24"/>
          <w:szCs w:val="24"/>
          <w:u w:val="single"/>
        </w:rPr>
        <w:t xml:space="preserve">DERNIER ETAT DES PROPOSITIONS DE LA DIRECTION </w:t>
      </w:r>
    </w:p>
    <w:p>
      <w:pPr>
        <w:pStyle w:val="Normal"/>
        <w:spacing w:lineRule="exact" w:line="320"/>
        <w:rPr>
          <w:rFonts w:ascii="Times New Roman" w:hAnsi="Times New Roman" w:cs="Times New Roman"/>
          <w:b/>
          <w:b/>
          <w:bCs/>
          <w:color w:val="000000"/>
          <w:sz w:val="24"/>
          <w:szCs w:val="24"/>
          <w:u w:val="single"/>
        </w:rPr>
      </w:pPr>
      <w:r>
        <w:rPr>
          <w:rFonts w:cs="Times New Roman"/>
          <w:b/>
          <w:bCs/>
          <w:color w:val="000000"/>
          <w:sz w:val="24"/>
          <w:szCs w:val="24"/>
          <w:u w:val="single"/>
        </w:rPr>
      </w:r>
    </w:p>
    <w:p>
      <w:pPr>
        <w:pStyle w:val="Normal"/>
        <w:numPr>
          <w:ilvl w:val="0"/>
          <w:numId w:val="6"/>
        </w:numPr>
        <w:spacing w:lineRule="exact" w:line="320"/>
        <w:rPr>
          <w:b/>
          <w:b/>
          <w:sz w:val="24"/>
          <w:szCs w:val="24"/>
          <w:u w:val="single"/>
        </w:rPr>
      </w:pPr>
      <w:r>
        <w:rPr>
          <w:b/>
          <w:sz w:val="24"/>
          <w:szCs w:val="24"/>
          <w:u w:val="single"/>
        </w:rPr>
        <w:t>Augmentations</w:t>
      </w:r>
    </w:p>
    <w:p>
      <w:pPr>
        <w:pStyle w:val="Normal"/>
        <w:spacing w:lineRule="exact" w:line="320"/>
        <w:rPr>
          <w:b/>
          <w:b/>
          <w:sz w:val="24"/>
          <w:szCs w:val="24"/>
          <w:u w:val="single"/>
        </w:rPr>
      </w:pPr>
      <w:r>
        <w:rPr>
          <w:b/>
          <w:sz w:val="24"/>
          <w:szCs w:val="24"/>
          <w:u w:val="single"/>
        </w:rPr>
      </w:r>
    </w:p>
    <w:p>
      <w:pPr>
        <w:pStyle w:val="Normal"/>
        <w:numPr>
          <w:ilvl w:val="0"/>
          <w:numId w:val="4"/>
        </w:numPr>
        <w:spacing w:lineRule="exact" w:line="320"/>
        <w:ind w:left="1134" w:hanging="360"/>
        <w:rPr>
          <w:b/>
          <w:b/>
          <w:sz w:val="24"/>
          <w:szCs w:val="24"/>
        </w:rPr>
      </w:pPr>
      <w:r>
        <w:rPr>
          <w:b/>
          <w:sz w:val="24"/>
          <w:szCs w:val="24"/>
        </w:rPr>
        <w:t>O/ETAM</w:t>
      </w:r>
    </w:p>
    <w:p>
      <w:pPr>
        <w:pStyle w:val="Normal"/>
        <w:spacing w:lineRule="exact" w:line="320"/>
        <w:ind w:left="709" w:hanging="0"/>
        <w:rPr>
          <w:b/>
          <w:b/>
          <w:sz w:val="24"/>
          <w:szCs w:val="24"/>
        </w:rPr>
      </w:pPr>
      <w:r>
        <w:rPr>
          <w:b/>
          <w:sz w:val="24"/>
          <w:szCs w:val="24"/>
        </w:rPr>
      </w:r>
    </w:p>
    <w:p>
      <w:pPr>
        <w:pStyle w:val="Normal"/>
        <w:numPr>
          <w:ilvl w:val="0"/>
          <w:numId w:val="9"/>
        </w:numPr>
        <w:spacing w:lineRule="exact" w:line="320"/>
        <w:jc w:val="both"/>
        <w:rPr>
          <w:sz w:val="24"/>
          <w:szCs w:val="24"/>
        </w:rPr>
      </w:pPr>
      <w:r>
        <w:rPr>
          <w:b/>
          <w:sz w:val="24"/>
          <w:szCs w:val="24"/>
        </w:rPr>
        <w:t>Augmentation générale</w:t>
      </w:r>
      <w:r>
        <w:rPr>
          <w:sz w:val="24"/>
          <w:szCs w:val="24"/>
        </w:rPr>
        <w:t xml:space="preserve"> sur la base d'un budget équivalent à </w:t>
      </w:r>
      <w:r>
        <w:rPr>
          <w:b/>
          <w:sz w:val="24"/>
          <w:szCs w:val="24"/>
        </w:rPr>
        <w:t>1,8 %</w:t>
      </w:r>
      <w:r>
        <w:rPr>
          <w:sz w:val="24"/>
          <w:szCs w:val="24"/>
        </w:rPr>
        <w:t xml:space="preserve"> de la masse mensuelle des appointements (novembre 2021).</w:t>
      </w:r>
    </w:p>
    <w:p>
      <w:pPr>
        <w:pStyle w:val="Normal"/>
        <w:spacing w:lineRule="exact" w:line="320"/>
        <w:ind w:left="709" w:hanging="0"/>
        <w:jc w:val="both"/>
        <w:rPr>
          <w:sz w:val="24"/>
          <w:szCs w:val="24"/>
        </w:rPr>
      </w:pPr>
      <w:r>
        <w:rPr>
          <w:sz w:val="24"/>
          <w:szCs w:val="24"/>
        </w:rPr>
      </w:r>
    </w:p>
    <w:p>
      <w:pPr>
        <w:pStyle w:val="Normal"/>
        <w:numPr>
          <w:ilvl w:val="0"/>
          <w:numId w:val="9"/>
        </w:numPr>
        <w:spacing w:lineRule="exact" w:line="320"/>
        <w:jc w:val="both"/>
        <w:rPr>
          <w:sz w:val="24"/>
          <w:szCs w:val="24"/>
        </w:rPr>
      </w:pPr>
      <w:r>
        <w:rPr>
          <w:b/>
          <w:sz w:val="24"/>
          <w:szCs w:val="24"/>
        </w:rPr>
        <w:t>Augmentation individuelle</w:t>
      </w:r>
      <w:r>
        <w:rPr>
          <w:sz w:val="24"/>
          <w:szCs w:val="24"/>
        </w:rPr>
        <w:t xml:space="preserve"> sur la base d'un budget équivalent à </w:t>
      </w:r>
      <w:r>
        <w:rPr>
          <w:b/>
          <w:sz w:val="24"/>
          <w:szCs w:val="24"/>
        </w:rPr>
        <w:t>1,2 %</w:t>
      </w:r>
      <w:r>
        <w:rPr>
          <w:sz w:val="24"/>
          <w:szCs w:val="24"/>
        </w:rPr>
        <w:t xml:space="preserve"> de la masse mensuelle des appointements (novembre 2021).</w:t>
      </w:r>
    </w:p>
    <w:p>
      <w:pPr>
        <w:pStyle w:val="Normal"/>
        <w:shd w:fill="FFFFFF" w:val="clear"/>
        <w:ind w:left="993" w:hanging="284"/>
        <w:rPr>
          <w:color w:val="222222"/>
          <w:sz w:val="24"/>
          <w:szCs w:val="24"/>
          <w:lang w:val="fr-FR"/>
        </w:rPr>
      </w:pPr>
      <w:r>
        <w:rPr>
          <w:color w:val="222222"/>
          <w:sz w:val="24"/>
          <w:szCs w:val="24"/>
          <w:lang w:val="fr-FR"/>
        </w:rPr>
      </w:r>
    </w:p>
    <w:p>
      <w:pPr>
        <w:pStyle w:val="Normal"/>
        <w:tabs>
          <w:tab w:val="left" w:pos="1134" w:leader="none"/>
          <w:tab w:val="left" w:pos="1418" w:leader="none"/>
        </w:tabs>
        <w:spacing w:lineRule="exact" w:line="320"/>
        <w:ind w:left="709" w:hanging="0"/>
        <w:rPr/>
      </w:pPr>
      <w:r>
        <w:rPr>
          <w:sz w:val="24"/>
          <w:szCs w:val="24"/>
        </w:rPr>
        <w:t>Ces augmentations individuelles seront fondées pour les O/ETAM sur :</w:t>
      </w:r>
    </w:p>
    <w:p>
      <w:pPr>
        <w:pStyle w:val="Normal"/>
        <w:tabs>
          <w:tab w:val="left" w:pos="1134" w:leader="none"/>
          <w:tab w:val="left" w:pos="1418" w:leader="none"/>
        </w:tabs>
        <w:spacing w:lineRule="exact" w:line="320"/>
        <w:ind w:left="709" w:hanging="0"/>
        <w:rPr>
          <w:sz w:val="24"/>
          <w:szCs w:val="24"/>
        </w:rPr>
      </w:pPr>
      <w:r>
        <w:rPr>
          <w:sz w:val="24"/>
          <w:szCs w:val="24"/>
        </w:rPr>
      </w:r>
    </w:p>
    <w:p>
      <w:pPr>
        <w:pStyle w:val="ListecouleurAccent1"/>
        <w:numPr>
          <w:ilvl w:val="0"/>
          <w:numId w:val="8"/>
        </w:numPr>
        <w:tabs>
          <w:tab w:val="left" w:pos="993" w:leader="none"/>
          <w:tab w:val="left" w:pos="1418" w:leader="none"/>
        </w:tabs>
        <w:spacing w:lineRule="exact" w:line="320" w:before="0" w:after="0"/>
        <w:ind w:left="993" w:hanging="284"/>
        <w:contextualSpacing/>
        <w:jc w:val="both"/>
        <w:rPr>
          <w:sz w:val="24"/>
          <w:szCs w:val="24"/>
        </w:rPr>
      </w:pPr>
      <w:r>
        <w:rPr>
          <w:sz w:val="24"/>
          <w:szCs w:val="24"/>
        </w:rPr>
        <w:t xml:space="preserve">L’efficience professionnelle, </w:t>
      </w:r>
    </w:p>
    <w:p>
      <w:pPr>
        <w:pStyle w:val="ListecouleurAccent1"/>
        <w:numPr>
          <w:ilvl w:val="0"/>
          <w:numId w:val="8"/>
        </w:numPr>
        <w:tabs>
          <w:tab w:val="left" w:pos="993" w:leader="none"/>
          <w:tab w:val="left" w:pos="1418" w:leader="none"/>
        </w:tabs>
        <w:spacing w:lineRule="exact" w:line="320" w:before="0" w:after="0"/>
        <w:ind w:left="993" w:hanging="284"/>
        <w:contextualSpacing/>
        <w:jc w:val="both"/>
        <w:rPr>
          <w:sz w:val="24"/>
          <w:szCs w:val="24"/>
        </w:rPr>
      </w:pPr>
      <w:r>
        <w:rPr>
          <w:sz w:val="24"/>
          <w:szCs w:val="24"/>
        </w:rPr>
        <w:t xml:space="preserve">L’investissement personnel, </w:t>
      </w:r>
    </w:p>
    <w:p>
      <w:pPr>
        <w:pStyle w:val="ListecouleurAccent1"/>
        <w:numPr>
          <w:ilvl w:val="0"/>
          <w:numId w:val="8"/>
        </w:numPr>
        <w:tabs>
          <w:tab w:val="left" w:pos="993" w:leader="none"/>
          <w:tab w:val="left" w:pos="1418" w:leader="none"/>
        </w:tabs>
        <w:spacing w:lineRule="exact" w:line="320" w:before="0" w:after="0"/>
        <w:ind w:left="993" w:hanging="284"/>
        <w:contextualSpacing/>
        <w:jc w:val="both"/>
        <w:rPr>
          <w:sz w:val="24"/>
          <w:szCs w:val="24"/>
        </w:rPr>
      </w:pPr>
      <w:r>
        <w:rPr>
          <w:sz w:val="24"/>
          <w:szCs w:val="24"/>
        </w:rPr>
        <w:t>La ponctualité et réactivité.</w:t>
      </w:r>
    </w:p>
    <w:p>
      <w:pPr>
        <w:pStyle w:val="Normal"/>
        <w:shd w:fill="FFFFFF" w:val="clear"/>
        <w:rPr>
          <w:color w:val="222222"/>
          <w:sz w:val="24"/>
          <w:szCs w:val="24"/>
          <w:lang w:val="fr-FR"/>
        </w:rPr>
      </w:pPr>
      <w:r>
        <w:rPr>
          <w:color w:val="222222"/>
          <w:sz w:val="24"/>
          <w:szCs w:val="24"/>
          <w:lang w:val="fr-FR"/>
        </w:rPr>
      </w:r>
    </w:p>
    <w:p>
      <w:pPr>
        <w:pStyle w:val="Normal"/>
        <w:shd w:fill="FFFFFF" w:val="clear"/>
        <w:ind w:left="709" w:hanging="0"/>
        <w:rPr/>
      </w:pPr>
      <w:r>
        <w:rPr>
          <w:color w:val="222222"/>
          <w:sz w:val="24"/>
          <w:szCs w:val="24"/>
          <w:lang w:val="fr-FR"/>
        </w:rPr>
        <w:t>Ces mesures ne concernent pas les contrats en alternance qui bénéficient d’une réévaluation de leur salaire selon le SMIC.</w:t>
      </w:r>
    </w:p>
    <w:p>
      <w:pPr>
        <w:pStyle w:val="Normal"/>
        <w:spacing w:lineRule="exact" w:line="320"/>
        <w:ind w:left="709" w:hanging="0"/>
        <w:jc w:val="both"/>
        <w:rPr>
          <w:color w:val="222222"/>
          <w:sz w:val="24"/>
          <w:szCs w:val="24"/>
          <w:lang w:val="fr-FR"/>
        </w:rPr>
      </w:pPr>
      <w:r>
        <w:rPr>
          <w:color w:val="222222"/>
          <w:sz w:val="24"/>
          <w:szCs w:val="24"/>
          <w:lang w:val="fr-FR"/>
        </w:rPr>
      </w:r>
    </w:p>
    <w:p>
      <w:pPr>
        <w:pStyle w:val="Normal"/>
        <w:numPr>
          <w:ilvl w:val="0"/>
          <w:numId w:val="4"/>
        </w:numPr>
        <w:spacing w:lineRule="exact" w:line="320"/>
        <w:ind w:left="1134" w:hanging="360"/>
        <w:rPr>
          <w:b/>
          <w:b/>
          <w:sz w:val="24"/>
          <w:szCs w:val="24"/>
        </w:rPr>
      </w:pPr>
      <w:r>
        <w:rPr>
          <w:b/>
          <w:sz w:val="24"/>
          <w:szCs w:val="24"/>
        </w:rPr>
        <w:t>CADRES</w:t>
      </w:r>
    </w:p>
    <w:p>
      <w:pPr>
        <w:pStyle w:val="Normal"/>
        <w:shd w:fill="FFFFFF" w:val="clear"/>
        <w:ind w:left="993" w:hanging="284"/>
        <w:rPr>
          <w:b/>
          <w:b/>
          <w:color w:val="222222"/>
          <w:sz w:val="24"/>
          <w:szCs w:val="24"/>
          <w:lang w:val="fr-FR"/>
        </w:rPr>
      </w:pPr>
      <w:r>
        <w:rPr>
          <w:b/>
          <w:color w:val="222222"/>
          <w:sz w:val="24"/>
          <w:szCs w:val="24"/>
          <w:lang w:val="fr-FR"/>
        </w:rPr>
      </w:r>
    </w:p>
    <w:p>
      <w:pPr>
        <w:pStyle w:val="Normal"/>
        <w:numPr>
          <w:ilvl w:val="0"/>
          <w:numId w:val="5"/>
        </w:numPr>
        <w:spacing w:lineRule="exact" w:line="320"/>
        <w:jc w:val="both"/>
        <w:rPr/>
      </w:pPr>
      <w:r>
        <w:rPr>
          <w:b/>
          <w:sz w:val="24"/>
          <w:szCs w:val="24"/>
        </w:rPr>
        <w:t>Augmentation individuelle</w:t>
      </w:r>
      <w:r>
        <w:rPr>
          <w:sz w:val="24"/>
          <w:szCs w:val="24"/>
        </w:rPr>
        <w:t xml:space="preserve"> sur la base d'un budget équivalent à </w:t>
      </w:r>
      <w:r>
        <w:rPr>
          <w:b/>
          <w:sz w:val="24"/>
          <w:szCs w:val="24"/>
        </w:rPr>
        <w:t>2,8 %</w:t>
      </w:r>
      <w:r>
        <w:rPr>
          <w:sz w:val="24"/>
          <w:szCs w:val="24"/>
        </w:rPr>
        <w:t xml:space="preserve"> de la masse mensuelle des appointements (novembre 2021) avec un minimum de 60 € bruts pour les salaires de base inférieurs à 3 500 €.</w:t>
      </w:r>
    </w:p>
    <w:p>
      <w:pPr>
        <w:pStyle w:val="Normal"/>
        <w:spacing w:lineRule="exact" w:line="320"/>
        <w:ind w:left="349" w:hanging="0"/>
        <w:jc w:val="both"/>
        <w:rPr>
          <w:sz w:val="24"/>
          <w:szCs w:val="24"/>
        </w:rPr>
      </w:pPr>
      <w:r>
        <w:rPr>
          <w:sz w:val="24"/>
          <w:szCs w:val="24"/>
        </w:rPr>
      </w:r>
    </w:p>
    <w:p>
      <w:pPr>
        <w:pStyle w:val="Normal"/>
        <w:spacing w:lineRule="exact" w:line="320"/>
        <w:ind w:left="709" w:hanging="0"/>
        <w:jc w:val="both"/>
        <w:rPr/>
      </w:pPr>
      <w:r>
        <w:rPr>
          <w:sz w:val="24"/>
          <w:szCs w:val="24"/>
        </w:rPr>
        <w:t>Cette augmentation individuelle (hors minimum de 60 €) sera fondée pour les CADRES sur les compétences dans le poste appréciées par la hiérarchie selon les critères de l’entretien annuel d’évaluation.</w:t>
      </w:r>
    </w:p>
    <w:p>
      <w:pPr>
        <w:pStyle w:val="Normal"/>
        <w:shd w:fill="FFFFFF" w:val="clear"/>
        <w:ind w:left="993" w:hanging="284"/>
        <w:rPr>
          <w:color w:val="222222"/>
          <w:sz w:val="24"/>
          <w:szCs w:val="24"/>
        </w:rPr>
      </w:pPr>
      <w:r>
        <w:rPr>
          <w:color w:val="222222"/>
          <w:sz w:val="24"/>
          <w:szCs w:val="24"/>
        </w:rPr>
      </w:r>
    </w:p>
    <w:p>
      <w:pPr>
        <w:pStyle w:val="Normal"/>
        <w:shd w:fill="FFFFFF" w:val="clear"/>
        <w:ind w:left="993" w:hanging="284"/>
        <w:rPr>
          <w:b/>
          <w:b/>
          <w:color w:val="222222"/>
          <w:sz w:val="24"/>
          <w:szCs w:val="24"/>
        </w:rPr>
      </w:pPr>
      <w:r>
        <w:rPr>
          <w:b/>
          <w:color w:val="222222"/>
          <w:sz w:val="24"/>
          <w:szCs w:val="24"/>
        </w:rPr>
        <w:t>Dispositions communes :</w:t>
      </w:r>
    </w:p>
    <w:p>
      <w:pPr>
        <w:pStyle w:val="Normal"/>
        <w:shd w:fill="FFFFFF" w:val="clear"/>
        <w:ind w:left="993" w:hanging="284"/>
        <w:rPr>
          <w:b/>
          <w:b/>
          <w:color w:val="222222"/>
          <w:sz w:val="24"/>
          <w:szCs w:val="24"/>
        </w:rPr>
      </w:pPr>
      <w:r>
        <w:rPr>
          <w:b/>
          <w:color w:val="222222"/>
          <w:sz w:val="24"/>
          <w:szCs w:val="24"/>
        </w:rPr>
      </w:r>
    </w:p>
    <w:p>
      <w:pPr>
        <w:pStyle w:val="Normal"/>
        <w:spacing w:lineRule="exact" w:line="320"/>
        <w:ind w:left="709" w:hanging="0"/>
        <w:jc w:val="both"/>
        <w:rPr>
          <w:sz w:val="24"/>
          <w:szCs w:val="24"/>
        </w:rPr>
      </w:pPr>
      <w:r>
        <w:rPr>
          <w:sz w:val="24"/>
          <w:szCs w:val="24"/>
        </w:rPr>
        <w:t>L’ensemble des augmentations (O/ETAM et CADRES) prendra effet au 1</w:t>
      </w:r>
      <w:r>
        <w:rPr>
          <w:sz w:val="24"/>
          <w:szCs w:val="24"/>
          <w:vertAlign w:val="superscript"/>
        </w:rPr>
        <w:t>er</w:t>
      </w:r>
      <w:r>
        <w:rPr>
          <w:sz w:val="24"/>
          <w:szCs w:val="24"/>
        </w:rPr>
        <w:t xml:space="preserve"> janvier 2022.</w:t>
      </w:r>
    </w:p>
    <w:p>
      <w:pPr>
        <w:pStyle w:val="Normal"/>
        <w:spacing w:lineRule="exact" w:line="320"/>
        <w:ind w:left="709" w:hanging="0"/>
        <w:jc w:val="both"/>
        <w:rPr>
          <w:sz w:val="24"/>
          <w:szCs w:val="24"/>
        </w:rPr>
      </w:pPr>
      <w:r>
        <w:rPr>
          <w:sz w:val="24"/>
          <w:szCs w:val="24"/>
        </w:rPr>
      </w:r>
    </w:p>
    <w:p>
      <w:pPr>
        <w:pStyle w:val="Normal"/>
        <w:spacing w:lineRule="exact" w:line="320"/>
        <w:ind w:left="709" w:hanging="0"/>
        <w:jc w:val="both"/>
        <w:rPr>
          <w:sz w:val="24"/>
          <w:szCs w:val="24"/>
        </w:rPr>
      </w:pPr>
      <w:r>
        <w:rPr>
          <w:sz w:val="24"/>
          <w:szCs w:val="24"/>
        </w:rPr>
        <w:t xml:space="preserve">La hiérarchie informe préalablement les salariés des augmentations qui leurs seront ou ne leurs seront pas appliquées. </w:t>
      </w:r>
    </w:p>
    <w:p>
      <w:pPr>
        <w:pStyle w:val="Normal"/>
        <w:spacing w:lineRule="exact" w:line="320"/>
        <w:ind w:left="709" w:hanging="0"/>
        <w:jc w:val="both"/>
        <w:rPr>
          <w:sz w:val="24"/>
          <w:szCs w:val="24"/>
        </w:rPr>
      </w:pPr>
      <w:r>
        <w:rPr>
          <w:sz w:val="24"/>
          <w:szCs w:val="24"/>
        </w:rPr>
      </w:r>
    </w:p>
    <w:p>
      <w:pPr>
        <w:pStyle w:val="Normal"/>
        <w:spacing w:lineRule="exact" w:line="320"/>
        <w:ind w:left="709" w:hanging="0"/>
        <w:jc w:val="both"/>
        <w:rPr>
          <w:sz w:val="24"/>
          <w:szCs w:val="24"/>
        </w:rPr>
      </w:pPr>
      <w:r>
        <w:rPr>
          <w:sz w:val="24"/>
          <w:szCs w:val="24"/>
        </w:rPr>
        <w:t>Une attention particulière sera portée sur les salariés non augmentés sur les trois dernières années.</w:t>
      </w:r>
    </w:p>
    <w:p>
      <w:pPr>
        <w:pStyle w:val="Normal"/>
        <w:spacing w:lineRule="exact" w:line="320"/>
        <w:rPr>
          <w:sz w:val="24"/>
          <w:szCs w:val="24"/>
        </w:rPr>
      </w:pPr>
      <w:r>
        <w:rPr>
          <w:sz w:val="24"/>
          <w:szCs w:val="24"/>
        </w:rPr>
      </w:r>
    </w:p>
    <w:p>
      <w:pPr>
        <w:pStyle w:val="Normal"/>
        <w:numPr>
          <w:ilvl w:val="0"/>
          <w:numId w:val="6"/>
        </w:numPr>
        <w:spacing w:lineRule="exact" w:line="320"/>
        <w:rPr/>
      </w:pPr>
      <w:r>
        <w:rPr>
          <w:b/>
          <w:sz w:val="24"/>
          <w:szCs w:val="24"/>
          <w:u w:val="single"/>
        </w:rPr>
        <w:t>Égalité professionnelle Femme/Homme</w:t>
      </w:r>
    </w:p>
    <w:p>
      <w:pPr>
        <w:pStyle w:val="Normal"/>
        <w:spacing w:lineRule="exact" w:line="320"/>
        <w:jc w:val="center"/>
        <w:rPr>
          <w:b/>
          <w:b/>
          <w:sz w:val="24"/>
          <w:szCs w:val="24"/>
          <w:u w:val="single"/>
        </w:rPr>
      </w:pPr>
      <w:r>
        <w:rPr>
          <w:b/>
          <w:sz w:val="24"/>
          <w:szCs w:val="24"/>
          <w:u w:val="single"/>
        </w:rPr>
      </w:r>
    </w:p>
    <w:p>
      <w:pPr>
        <w:pStyle w:val="Normal"/>
        <w:tabs>
          <w:tab w:val="left" w:pos="709" w:leader="none"/>
        </w:tabs>
        <w:spacing w:lineRule="exact" w:line="320"/>
        <w:ind w:left="709" w:hanging="0"/>
        <w:jc w:val="both"/>
        <w:rPr/>
      </w:pPr>
      <w:r>
        <w:rPr>
          <w:color w:val="000000"/>
          <w:sz w:val="24"/>
          <w:szCs w:val="24"/>
        </w:rPr>
        <w:t>La Direction rappelle que la société IDEX Services a obtenu la note globale de 82/100 sur l’index de l’égalité professionnelle pour l’année 2020.</w:t>
      </w:r>
    </w:p>
    <w:p>
      <w:pPr>
        <w:pStyle w:val="Normal"/>
        <w:tabs>
          <w:tab w:val="left" w:pos="709" w:leader="none"/>
        </w:tabs>
        <w:spacing w:lineRule="exact" w:line="320"/>
        <w:ind w:left="709" w:hanging="0"/>
        <w:jc w:val="both"/>
        <w:rPr>
          <w:color w:val="000000"/>
          <w:sz w:val="24"/>
          <w:szCs w:val="24"/>
        </w:rPr>
      </w:pPr>
      <w:r>
        <w:rPr>
          <w:color w:val="000000"/>
          <w:sz w:val="24"/>
          <w:szCs w:val="24"/>
        </w:rPr>
      </w:r>
    </w:p>
    <w:p>
      <w:pPr>
        <w:pStyle w:val="Normal"/>
        <w:tabs>
          <w:tab w:val="left" w:pos="709" w:leader="none"/>
        </w:tabs>
        <w:ind w:left="709" w:hanging="0"/>
        <w:jc w:val="both"/>
        <w:rPr>
          <w:color w:val="000000"/>
          <w:sz w:val="24"/>
          <w:szCs w:val="24"/>
        </w:rPr>
      </w:pPr>
      <w:r>
        <w:rPr>
          <w:color w:val="000000"/>
          <w:sz w:val="24"/>
          <w:szCs w:val="24"/>
        </w:rPr>
        <w:t xml:space="preserve">Dans le cadre de la situation en matière d’égalité professionnelle entre les hommes et les femmes, une analyse a été réalisée sur les rémunérations effectives. </w:t>
      </w:r>
    </w:p>
    <w:p>
      <w:pPr>
        <w:pStyle w:val="Normal"/>
        <w:tabs>
          <w:tab w:val="left" w:pos="709" w:leader="none"/>
        </w:tabs>
        <w:ind w:left="709" w:hanging="0"/>
        <w:jc w:val="both"/>
        <w:rPr>
          <w:color w:val="000000"/>
          <w:sz w:val="24"/>
          <w:szCs w:val="24"/>
        </w:rPr>
      </w:pPr>
      <w:r>
        <w:rPr>
          <w:color w:val="000000"/>
          <w:sz w:val="24"/>
          <w:szCs w:val="24"/>
        </w:rPr>
      </w:r>
    </w:p>
    <w:p>
      <w:pPr>
        <w:pStyle w:val="Normal"/>
        <w:tabs>
          <w:tab w:val="left" w:pos="709" w:leader="none"/>
        </w:tabs>
        <w:ind w:left="709" w:hanging="0"/>
        <w:jc w:val="both"/>
        <w:rPr>
          <w:color w:val="000000"/>
          <w:sz w:val="24"/>
          <w:szCs w:val="24"/>
        </w:rPr>
      </w:pPr>
      <w:r>
        <w:rPr>
          <w:color w:val="000000"/>
          <w:sz w:val="24"/>
          <w:szCs w:val="24"/>
        </w:rPr>
        <w:t>Ainsi, un comparatif des salaires moyen hommes / femmes par niveau a été réalisé.</w:t>
      </w:r>
    </w:p>
    <w:p>
      <w:pPr>
        <w:pStyle w:val="Normal"/>
        <w:tabs>
          <w:tab w:val="left" w:pos="709" w:leader="none"/>
        </w:tabs>
        <w:ind w:left="709" w:hanging="0"/>
        <w:jc w:val="both"/>
        <w:rPr>
          <w:color w:val="000000"/>
          <w:sz w:val="24"/>
          <w:szCs w:val="24"/>
        </w:rPr>
      </w:pPr>
      <w:r>
        <w:rPr>
          <w:color w:val="000000"/>
          <w:sz w:val="24"/>
          <w:szCs w:val="24"/>
        </w:rPr>
      </w:r>
    </w:p>
    <w:p>
      <w:pPr>
        <w:pStyle w:val="Normal"/>
        <w:tabs>
          <w:tab w:val="left" w:pos="709" w:leader="none"/>
        </w:tabs>
        <w:ind w:left="709" w:hanging="0"/>
        <w:jc w:val="both"/>
        <w:rPr>
          <w:color w:val="000000"/>
          <w:sz w:val="24"/>
          <w:szCs w:val="24"/>
        </w:rPr>
      </w:pPr>
      <w:r>
        <w:rPr>
          <w:color w:val="000000"/>
          <w:sz w:val="24"/>
          <w:szCs w:val="24"/>
        </w:rPr>
        <w:t>Il a été constaté un écart entre la rémunération des femmes et des hommes de 10.39% en faveur des hommes au sein de la position II.</w:t>
      </w:r>
    </w:p>
    <w:p>
      <w:pPr>
        <w:pStyle w:val="Normal"/>
        <w:tabs>
          <w:tab w:val="left" w:pos="709" w:leader="none"/>
        </w:tabs>
        <w:ind w:left="709" w:hanging="0"/>
        <w:jc w:val="both"/>
        <w:rPr>
          <w:color w:val="000000"/>
          <w:sz w:val="24"/>
          <w:szCs w:val="24"/>
        </w:rPr>
      </w:pPr>
      <w:r>
        <w:rPr>
          <w:color w:val="000000"/>
          <w:sz w:val="24"/>
          <w:szCs w:val="24"/>
        </w:rPr>
      </w:r>
    </w:p>
    <w:p>
      <w:pPr>
        <w:pStyle w:val="Normal"/>
        <w:tabs>
          <w:tab w:val="left" w:pos="709" w:leader="none"/>
        </w:tabs>
        <w:ind w:left="709" w:hanging="0"/>
        <w:jc w:val="both"/>
        <w:rPr>
          <w:color w:val="000000"/>
          <w:sz w:val="24"/>
          <w:szCs w:val="24"/>
        </w:rPr>
      </w:pPr>
      <w:r>
        <w:rPr>
          <w:color w:val="000000"/>
          <w:sz w:val="24"/>
          <w:szCs w:val="24"/>
        </w:rPr>
        <w:t xml:space="preserve">Pour faire suite à la demande de la CFTC, une analyse approfondie sera réalisée et des actions correctives seront mises place. </w:t>
      </w:r>
    </w:p>
    <w:p>
      <w:pPr>
        <w:pStyle w:val="Normal"/>
        <w:tabs>
          <w:tab w:val="left" w:pos="709" w:leader="none"/>
        </w:tabs>
        <w:ind w:left="709" w:hanging="0"/>
        <w:jc w:val="both"/>
        <w:rPr>
          <w:color w:val="000000"/>
          <w:sz w:val="24"/>
          <w:szCs w:val="24"/>
        </w:rPr>
      </w:pPr>
      <w:r>
        <w:rPr>
          <w:color w:val="000000"/>
          <w:sz w:val="24"/>
          <w:szCs w:val="24"/>
        </w:rPr>
      </w:r>
    </w:p>
    <w:p>
      <w:pPr>
        <w:pStyle w:val="Normal"/>
        <w:tabs>
          <w:tab w:val="left" w:pos="709" w:leader="none"/>
        </w:tabs>
        <w:ind w:left="709" w:hanging="0"/>
        <w:jc w:val="both"/>
        <w:rPr/>
      </w:pPr>
      <w:r>
        <w:rPr>
          <w:color w:val="000000"/>
          <w:sz w:val="24"/>
          <w:szCs w:val="24"/>
        </w:rPr>
        <w:t>La Direction s’engage à continuer à apporter une attention particulière sur ce sujet.</w:t>
      </w:r>
    </w:p>
    <w:p>
      <w:pPr>
        <w:pStyle w:val="Normal"/>
        <w:tabs>
          <w:tab w:val="left" w:pos="709" w:leader="none"/>
        </w:tabs>
        <w:ind w:left="709" w:hanging="0"/>
        <w:jc w:val="both"/>
        <w:rPr>
          <w:color w:val="000000"/>
          <w:sz w:val="24"/>
          <w:szCs w:val="24"/>
        </w:rPr>
      </w:pPr>
      <w:r>
        <w:rPr>
          <w:color w:val="000000"/>
          <w:sz w:val="24"/>
          <w:szCs w:val="24"/>
        </w:rPr>
      </w:r>
    </w:p>
    <w:p>
      <w:pPr>
        <w:pStyle w:val="Normal"/>
        <w:tabs>
          <w:tab w:val="left" w:pos="709" w:leader="none"/>
        </w:tabs>
        <w:ind w:left="709" w:hanging="0"/>
        <w:jc w:val="both"/>
        <w:rPr>
          <w:color w:val="000000"/>
          <w:sz w:val="24"/>
          <w:szCs w:val="24"/>
        </w:rPr>
      </w:pPr>
      <w:r>
        <w:rPr>
          <w:color w:val="000000"/>
          <w:sz w:val="24"/>
          <w:szCs w:val="24"/>
        </w:rPr>
        <w:t xml:space="preserve">Chaque année, lors des NAO cette analyse sera actualisée et si des écarts venaient à apparaître des actions correctives seront mises en place. </w:t>
      </w:r>
    </w:p>
    <w:p>
      <w:pPr>
        <w:pStyle w:val="Normal"/>
        <w:spacing w:lineRule="exact" w:line="320"/>
        <w:rPr>
          <w:color w:val="000000"/>
          <w:sz w:val="24"/>
          <w:szCs w:val="24"/>
        </w:rPr>
      </w:pPr>
      <w:r>
        <w:rPr>
          <w:color w:val="000000"/>
          <w:sz w:val="24"/>
          <w:szCs w:val="24"/>
        </w:rPr>
      </w:r>
    </w:p>
    <w:p>
      <w:pPr>
        <w:pStyle w:val="Normal"/>
        <w:numPr>
          <w:ilvl w:val="0"/>
          <w:numId w:val="6"/>
        </w:numPr>
        <w:spacing w:lineRule="exact" w:line="320"/>
        <w:rPr>
          <w:b/>
          <w:b/>
          <w:sz w:val="24"/>
          <w:szCs w:val="24"/>
          <w:u w:val="single"/>
        </w:rPr>
      </w:pPr>
      <w:r>
        <w:rPr>
          <w:b/>
          <w:sz w:val="24"/>
          <w:szCs w:val="24"/>
          <w:u w:val="single"/>
        </w:rPr>
        <w:t>Journée de solidarité 2022</w:t>
      </w:r>
    </w:p>
    <w:p>
      <w:pPr>
        <w:pStyle w:val="Normal"/>
        <w:spacing w:lineRule="exact" w:line="320"/>
        <w:jc w:val="both"/>
        <w:rPr>
          <w:b/>
          <w:b/>
          <w:sz w:val="24"/>
          <w:szCs w:val="24"/>
          <w:u w:val="single"/>
        </w:rPr>
      </w:pPr>
      <w:r>
        <w:rPr>
          <w:b/>
          <w:sz w:val="24"/>
          <w:szCs w:val="24"/>
          <w:u w:val="single"/>
        </w:rPr>
      </w:r>
    </w:p>
    <w:p>
      <w:pPr>
        <w:pStyle w:val="Normal"/>
        <w:spacing w:lineRule="exact" w:line="320"/>
        <w:ind w:left="709" w:hanging="0"/>
        <w:jc w:val="both"/>
        <w:rPr/>
      </w:pPr>
      <w:r>
        <w:rPr>
          <w:sz w:val="24"/>
          <w:szCs w:val="24"/>
        </w:rPr>
        <w:t>La journée de solidarité est fixée au lundi 6 juin 2022. Elle sera prise en charge par l’employeur.</w:t>
      </w:r>
    </w:p>
    <w:p>
      <w:pPr>
        <w:pStyle w:val="Normal"/>
        <w:spacing w:lineRule="exact" w:line="320"/>
        <w:rPr>
          <w:sz w:val="24"/>
          <w:szCs w:val="24"/>
        </w:rPr>
      </w:pPr>
      <w:r>
        <w:rPr>
          <w:sz w:val="24"/>
          <w:szCs w:val="24"/>
        </w:rPr>
      </w:r>
    </w:p>
    <w:p>
      <w:pPr>
        <w:pStyle w:val="Normal"/>
        <w:numPr>
          <w:ilvl w:val="0"/>
          <w:numId w:val="6"/>
        </w:numPr>
        <w:spacing w:lineRule="exact" w:line="320"/>
        <w:rPr>
          <w:b/>
          <w:b/>
          <w:sz w:val="24"/>
          <w:szCs w:val="24"/>
          <w:u w:val="single"/>
        </w:rPr>
      </w:pPr>
      <w:r>
        <w:rPr>
          <w:b/>
          <w:sz w:val="24"/>
          <w:szCs w:val="24"/>
          <w:u w:val="single"/>
        </w:rPr>
        <w:t>Pont offert par l’entreprise</w:t>
      </w:r>
    </w:p>
    <w:p>
      <w:pPr>
        <w:pStyle w:val="Normal"/>
        <w:spacing w:lineRule="exact" w:line="320"/>
        <w:jc w:val="both"/>
        <w:rPr>
          <w:b/>
          <w:b/>
          <w:sz w:val="24"/>
          <w:szCs w:val="24"/>
          <w:u w:val="single"/>
        </w:rPr>
      </w:pPr>
      <w:r>
        <w:rPr>
          <w:b/>
          <w:sz w:val="24"/>
          <w:szCs w:val="24"/>
          <w:u w:val="single"/>
        </w:rPr>
      </w:r>
    </w:p>
    <w:p>
      <w:pPr>
        <w:pStyle w:val="Normal"/>
        <w:spacing w:lineRule="exact" w:line="320"/>
        <w:ind w:left="709" w:hanging="0"/>
        <w:jc w:val="both"/>
        <w:rPr/>
      </w:pPr>
      <w:r>
        <w:rPr>
          <w:sz w:val="24"/>
          <w:szCs w:val="24"/>
        </w:rPr>
        <w:t xml:space="preserve">L’entreprise offre aux salariés, sans restriction d’ancienneté, une journée de congé supplémentaire à prendre obligatoirement, parmi les trois ponts possibles sur l’année 2022 (vendredi 27 mai 2022, vendredi 15 juillet 2022 ou lundi 31 octobre 2022). La validation de ces dates appartiendra aux responsables hiérarchiques, dans le souci d’une organisation efficace du travail au sein de chaque service. </w:t>
      </w:r>
    </w:p>
    <w:p>
      <w:pPr>
        <w:pStyle w:val="Normal"/>
        <w:spacing w:lineRule="exact" w:line="320"/>
        <w:rPr>
          <w:sz w:val="24"/>
          <w:szCs w:val="24"/>
        </w:rPr>
      </w:pPr>
      <w:r>
        <w:rPr>
          <w:sz w:val="24"/>
          <w:szCs w:val="24"/>
        </w:rPr>
      </w:r>
    </w:p>
    <w:p>
      <w:pPr>
        <w:pStyle w:val="Normal"/>
        <w:numPr>
          <w:ilvl w:val="0"/>
          <w:numId w:val="6"/>
        </w:numPr>
        <w:spacing w:lineRule="exact" w:line="320"/>
        <w:rPr>
          <w:b/>
          <w:b/>
          <w:sz w:val="24"/>
          <w:szCs w:val="24"/>
          <w:u w:val="single"/>
        </w:rPr>
      </w:pPr>
      <w:r>
        <w:rPr>
          <w:b/>
          <w:sz w:val="24"/>
          <w:szCs w:val="24"/>
          <w:u w:val="single"/>
        </w:rPr>
        <w:t>Budget des œuvres sociales et culturelles du CSE</w:t>
      </w:r>
    </w:p>
    <w:p>
      <w:pPr>
        <w:pStyle w:val="Normal"/>
        <w:spacing w:lineRule="exact" w:line="320"/>
        <w:jc w:val="both"/>
        <w:rPr>
          <w:b/>
          <w:b/>
          <w:sz w:val="24"/>
          <w:szCs w:val="24"/>
          <w:u w:val="single"/>
        </w:rPr>
      </w:pPr>
      <w:r>
        <w:rPr>
          <w:b/>
          <w:sz w:val="24"/>
          <w:szCs w:val="24"/>
          <w:u w:val="single"/>
        </w:rPr>
      </w:r>
    </w:p>
    <w:p>
      <w:pPr>
        <w:pStyle w:val="Normal"/>
        <w:spacing w:lineRule="exact" w:line="320"/>
        <w:ind w:left="709" w:hanging="0"/>
        <w:jc w:val="both"/>
        <w:rPr>
          <w:sz w:val="24"/>
          <w:szCs w:val="24"/>
        </w:rPr>
      </w:pPr>
      <w:r>
        <w:rPr>
          <w:sz w:val="24"/>
          <w:szCs w:val="24"/>
        </w:rPr>
        <w:t>A compter du 1</w:t>
      </w:r>
      <w:r>
        <w:rPr>
          <w:sz w:val="24"/>
          <w:szCs w:val="24"/>
          <w:vertAlign w:val="superscript"/>
        </w:rPr>
        <w:t>er</w:t>
      </w:r>
      <w:r>
        <w:rPr>
          <w:sz w:val="24"/>
          <w:szCs w:val="24"/>
        </w:rPr>
        <w:t xml:space="preserve"> janvier 2022, la contribution versée au Comité Économique et Sociale passera de 0,40 % à 0,45 % de la masse salariale brute de l’entreprise pour financer ses activités sociales et culturelles.</w:t>
      </w:r>
    </w:p>
    <w:p>
      <w:pPr>
        <w:pStyle w:val="Normal"/>
        <w:spacing w:lineRule="exact" w:line="320"/>
        <w:ind w:left="709" w:hanging="0"/>
        <w:jc w:val="both"/>
        <w:rPr>
          <w:sz w:val="24"/>
          <w:szCs w:val="24"/>
        </w:rPr>
      </w:pPr>
      <w:r>
        <w:rPr>
          <w:sz w:val="24"/>
          <w:szCs w:val="24"/>
        </w:rPr>
      </w:r>
    </w:p>
    <w:p>
      <w:pPr>
        <w:pStyle w:val="Normal"/>
        <w:numPr>
          <w:ilvl w:val="0"/>
          <w:numId w:val="6"/>
        </w:numPr>
        <w:spacing w:lineRule="exact" w:line="320"/>
        <w:rPr>
          <w:b/>
          <w:b/>
          <w:sz w:val="24"/>
          <w:szCs w:val="24"/>
          <w:u w:val="single"/>
        </w:rPr>
      </w:pPr>
      <w:r>
        <w:rPr>
          <w:b/>
          <w:sz w:val="24"/>
          <w:szCs w:val="24"/>
          <w:u w:val="single"/>
        </w:rPr>
        <w:t>Remboursement des titres de transport</w:t>
      </w:r>
    </w:p>
    <w:p>
      <w:pPr>
        <w:pStyle w:val="Normal"/>
        <w:spacing w:lineRule="exact" w:line="320"/>
        <w:ind w:left="709" w:hanging="0"/>
        <w:jc w:val="both"/>
        <w:rPr>
          <w:b/>
          <w:b/>
          <w:sz w:val="24"/>
          <w:szCs w:val="24"/>
          <w:u w:val="single"/>
        </w:rPr>
      </w:pPr>
      <w:r>
        <w:rPr>
          <w:b/>
          <w:sz w:val="24"/>
          <w:szCs w:val="24"/>
          <w:u w:val="single"/>
        </w:rPr>
      </w:r>
    </w:p>
    <w:p>
      <w:pPr>
        <w:pStyle w:val="Normal"/>
        <w:spacing w:lineRule="exact" w:line="320"/>
        <w:ind w:left="709" w:hanging="0"/>
        <w:jc w:val="both"/>
        <w:rPr/>
      </w:pPr>
      <w:r>
        <w:rPr>
          <w:sz w:val="24"/>
          <w:szCs w:val="24"/>
        </w:rPr>
        <w:t>A compter du 1</w:t>
      </w:r>
      <w:r>
        <w:rPr>
          <w:sz w:val="24"/>
          <w:szCs w:val="24"/>
          <w:vertAlign w:val="superscript"/>
        </w:rPr>
        <w:t>er</w:t>
      </w:r>
      <w:r>
        <w:rPr>
          <w:sz w:val="24"/>
          <w:szCs w:val="24"/>
        </w:rPr>
        <w:t xml:space="preserve"> janvier 2022, les titres d’abonnement souscrits par les salariés pour le trajet domicile-lieu de travail est pris en charge à hauteur de 65%.</w:t>
      </w:r>
    </w:p>
    <w:p>
      <w:pPr>
        <w:pStyle w:val="Normal"/>
        <w:spacing w:lineRule="exact" w:line="320"/>
        <w:ind w:left="709" w:hanging="0"/>
        <w:jc w:val="both"/>
        <w:rPr>
          <w:sz w:val="24"/>
          <w:szCs w:val="24"/>
        </w:rPr>
      </w:pPr>
      <w:r>
        <w:rPr>
          <w:sz w:val="24"/>
          <w:szCs w:val="24"/>
        </w:rPr>
      </w:r>
    </w:p>
    <w:p>
      <w:pPr>
        <w:pStyle w:val="Normal"/>
        <w:spacing w:lineRule="exact" w:line="320"/>
        <w:ind w:left="709" w:hanging="0"/>
        <w:jc w:val="both"/>
        <w:rPr>
          <w:sz w:val="24"/>
          <w:szCs w:val="24"/>
        </w:rPr>
      </w:pPr>
      <w:r>
        <w:rPr>
          <w:sz w:val="24"/>
          <w:szCs w:val="24"/>
        </w:rPr>
      </w:r>
    </w:p>
    <w:p>
      <w:pPr>
        <w:pStyle w:val="Normal"/>
        <w:spacing w:lineRule="exact" w:line="320"/>
        <w:ind w:left="709" w:hanging="0"/>
        <w:jc w:val="both"/>
        <w:rPr>
          <w:sz w:val="24"/>
          <w:szCs w:val="24"/>
        </w:rPr>
      </w:pPr>
      <w:r>
        <w:rPr>
          <w:sz w:val="24"/>
          <w:szCs w:val="24"/>
        </w:rPr>
      </w:r>
    </w:p>
    <w:p>
      <w:pPr>
        <w:pStyle w:val="TextBodyIndent"/>
        <w:numPr>
          <w:ilvl w:val="0"/>
          <w:numId w:val="0"/>
        </w:numPr>
        <w:tabs>
          <w:tab w:val="left" w:pos="709" w:leader="none"/>
          <w:tab w:val="left" w:pos="993" w:leader="none"/>
        </w:tabs>
        <w:ind w:left="709" w:firstLine="1"/>
        <w:rPr/>
      </w:pPr>
      <w:r>
        <w:rPr>
          <w:rFonts w:cs="Times New Roman" w:ascii="Times New Roman" w:hAnsi="Times New Roman"/>
          <w:bCs/>
          <w:color w:val="000000"/>
          <w:sz w:val="24"/>
          <w:szCs w:val="24"/>
        </w:rPr>
        <w:t>Les autres revendications syndicales ne sont pas retenues au titre des négociations annuelles 2022.</w:t>
      </w:r>
    </w:p>
    <w:p>
      <w:pPr>
        <w:pStyle w:val="Normal"/>
        <w:spacing w:lineRule="exact" w:line="320"/>
        <w:ind w:left="709" w:hanging="0"/>
        <w:rPr>
          <w:rFonts w:ascii="Times New Roman" w:hAnsi="Times New Roman" w:cs="Times New Roman"/>
          <w:bCs/>
          <w:color w:val="000000"/>
          <w:sz w:val="24"/>
          <w:szCs w:val="24"/>
        </w:rPr>
      </w:pPr>
      <w:r>
        <w:rPr>
          <w:rFonts w:cs="Times New Roman"/>
          <w:bCs/>
          <w:color w:val="000000"/>
          <w:sz w:val="24"/>
          <w:szCs w:val="24"/>
        </w:rPr>
      </w:r>
    </w:p>
    <w:p>
      <w:pPr>
        <w:pStyle w:val="TextBodyIndent"/>
        <w:numPr>
          <w:ilvl w:val="0"/>
          <w:numId w:val="0"/>
        </w:numPr>
        <w:tabs>
          <w:tab w:val="left" w:pos="709" w:leader="none"/>
          <w:tab w:val="left" w:pos="993" w:leader="none"/>
        </w:tabs>
        <w:ind w:left="709" w:firstLine="1"/>
        <w:rPr/>
      </w:pPr>
      <w:r>
        <w:rPr>
          <w:rFonts w:cs="Times New Roman" w:ascii="Times New Roman" w:hAnsi="Times New Roman"/>
          <w:bCs/>
          <w:color w:val="000000"/>
          <w:sz w:val="24"/>
          <w:szCs w:val="24"/>
        </w:rPr>
        <w:t>Le syndicat signataire donne son accord sur les dernières propositions de l’employeur.</w:t>
      </w:r>
    </w:p>
    <w:p>
      <w:pPr>
        <w:pStyle w:val="Normal"/>
        <w:spacing w:lineRule="exact" w:line="320"/>
        <w:rPr>
          <w:rFonts w:ascii="Times New Roman" w:hAnsi="Times New Roman" w:cs="Times New Roman"/>
          <w:bCs/>
          <w:color w:val="000000"/>
          <w:sz w:val="24"/>
          <w:szCs w:val="24"/>
        </w:rPr>
      </w:pPr>
      <w:r>
        <w:rPr>
          <w:rFonts w:cs="Times New Roman"/>
          <w:bCs/>
          <w:color w:val="000000"/>
          <w:sz w:val="24"/>
          <w:szCs w:val="24"/>
        </w:rPr>
      </w:r>
    </w:p>
    <w:p>
      <w:pPr>
        <w:pStyle w:val="Normal"/>
        <w:spacing w:lineRule="exact" w:line="320"/>
        <w:rPr>
          <w:sz w:val="24"/>
          <w:szCs w:val="24"/>
        </w:rPr>
      </w:pPr>
      <w:r>
        <w:rPr>
          <w:sz w:val="24"/>
          <w:szCs w:val="24"/>
        </w:rPr>
      </w:r>
    </w:p>
    <w:p>
      <w:pPr>
        <w:pStyle w:val="Normal"/>
        <w:spacing w:lineRule="exact" w:line="320"/>
        <w:rPr>
          <w:sz w:val="24"/>
          <w:szCs w:val="24"/>
        </w:rPr>
      </w:pPr>
      <w:r>
        <w:rPr>
          <w:sz w:val="24"/>
          <w:szCs w:val="24"/>
        </w:rPr>
      </w:r>
    </w:p>
    <w:p>
      <w:pPr>
        <w:pStyle w:val="Normal"/>
        <w:spacing w:lineRule="exact" w:line="320"/>
        <w:rPr>
          <w:sz w:val="24"/>
          <w:szCs w:val="24"/>
        </w:rPr>
      </w:pPr>
      <w:r>
        <w:rPr>
          <w:sz w:val="24"/>
          <w:szCs w:val="24"/>
        </w:rPr>
      </w:r>
    </w:p>
    <w:p>
      <w:pPr>
        <w:pStyle w:val="Normal"/>
        <w:spacing w:lineRule="exact" w:line="320"/>
        <w:rPr>
          <w:sz w:val="24"/>
          <w:szCs w:val="24"/>
        </w:rPr>
      </w:pPr>
      <w:r>
        <w:rPr>
          <w:sz w:val="24"/>
          <w:szCs w:val="24"/>
        </w:rPr>
      </w:r>
    </w:p>
    <w:p>
      <w:pPr>
        <w:pStyle w:val="Normal"/>
        <w:spacing w:lineRule="exact" w:line="320"/>
        <w:rPr>
          <w:sz w:val="24"/>
          <w:szCs w:val="24"/>
        </w:rPr>
      </w:pPr>
      <w:r>
        <w:rPr>
          <w:sz w:val="24"/>
          <w:szCs w:val="24"/>
        </w:rPr>
      </w:r>
    </w:p>
    <w:p>
      <w:pPr>
        <w:pStyle w:val="Normal"/>
        <w:spacing w:lineRule="exact" w:line="320"/>
        <w:jc w:val="both"/>
        <w:rPr>
          <w:b/>
          <w:b/>
          <w:sz w:val="24"/>
          <w:szCs w:val="24"/>
          <w:u w:val="single"/>
        </w:rPr>
      </w:pPr>
      <w:r>
        <w:rPr>
          <w:b/>
          <w:sz w:val="24"/>
          <w:szCs w:val="24"/>
        </w:rPr>
        <w:t>Dépôt et publicité :</w:t>
      </w:r>
    </w:p>
    <w:p>
      <w:pPr>
        <w:pStyle w:val="Normal"/>
        <w:spacing w:lineRule="exact" w:line="320"/>
        <w:jc w:val="both"/>
        <w:rPr>
          <w:b/>
          <w:b/>
          <w:bCs/>
          <w:sz w:val="24"/>
          <w:szCs w:val="24"/>
          <w:u w:val="single"/>
        </w:rPr>
      </w:pPr>
      <w:r>
        <w:rPr>
          <w:b/>
          <w:bCs/>
          <w:sz w:val="24"/>
          <w:szCs w:val="24"/>
          <w:u w:val="single"/>
        </w:rPr>
      </w:r>
    </w:p>
    <w:p>
      <w:pPr>
        <w:pStyle w:val="Normal"/>
        <w:spacing w:lineRule="exact" w:line="320"/>
        <w:jc w:val="both"/>
        <w:rPr/>
      </w:pPr>
      <w:r>
        <w:rPr>
          <w:bCs/>
          <w:sz w:val="24"/>
          <w:szCs w:val="24"/>
        </w:rPr>
        <w:t>Le présent accord fera l’objet des publicités suivantes à la diligence de la Direction :</w:t>
      </w:r>
    </w:p>
    <w:p>
      <w:pPr>
        <w:pStyle w:val="Normal"/>
        <w:spacing w:lineRule="exact" w:line="320"/>
        <w:jc w:val="both"/>
        <w:rPr>
          <w:bCs/>
          <w:sz w:val="24"/>
          <w:szCs w:val="24"/>
        </w:rPr>
      </w:pPr>
      <w:r>
        <w:rPr>
          <w:bCs/>
          <w:sz w:val="24"/>
          <w:szCs w:val="24"/>
        </w:rPr>
      </w:r>
    </w:p>
    <w:p>
      <w:pPr>
        <w:pStyle w:val="Normal"/>
        <w:numPr>
          <w:ilvl w:val="0"/>
          <w:numId w:val="10"/>
        </w:numPr>
        <w:spacing w:lineRule="exact" w:line="320"/>
        <w:jc w:val="both"/>
        <w:rPr>
          <w:bCs/>
          <w:sz w:val="24"/>
          <w:szCs w:val="24"/>
        </w:rPr>
      </w:pPr>
      <w:r>
        <w:rPr>
          <w:bCs/>
          <w:sz w:val="24"/>
          <w:szCs w:val="24"/>
        </w:rPr>
        <w:t>un exemplaire sera déposé au Greffe du Conseil de Prud’hommes de Boulogne-Billancourt.</w:t>
      </w:r>
    </w:p>
    <w:p>
      <w:pPr>
        <w:pStyle w:val="Normal"/>
        <w:spacing w:lineRule="exact" w:line="320"/>
        <w:ind w:left="705" w:hanging="0"/>
        <w:jc w:val="both"/>
        <w:rPr>
          <w:bCs/>
          <w:sz w:val="24"/>
          <w:szCs w:val="24"/>
        </w:rPr>
      </w:pPr>
      <w:r>
        <w:rPr>
          <w:bCs/>
          <w:sz w:val="24"/>
          <w:szCs w:val="24"/>
        </w:rPr>
      </w:r>
    </w:p>
    <w:p>
      <w:pPr>
        <w:pStyle w:val="Normal"/>
        <w:numPr>
          <w:ilvl w:val="0"/>
          <w:numId w:val="10"/>
        </w:numPr>
        <w:spacing w:lineRule="exact" w:line="320"/>
        <w:jc w:val="both"/>
        <w:rPr/>
      </w:pPr>
      <w:r>
        <w:rPr>
          <w:bCs/>
          <w:sz w:val="24"/>
          <w:szCs w:val="24"/>
        </w:rPr>
        <w:t>deux exemplaires, dont une version sur support électronique signée des parties et une version sur support électronique anonymisée seront déposés de façon dématérialisée à partir de la plateforme de téléprocédure dédiée de la DIRECCTE.</w:t>
      </w:r>
    </w:p>
    <w:p>
      <w:pPr>
        <w:pStyle w:val="Normal"/>
        <w:spacing w:lineRule="exact" w:line="320"/>
        <w:rPr>
          <w:bCs/>
          <w:sz w:val="24"/>
          <w:szCs w:val="24"/>
        </w:rPr>
      </w:pPr>
      <w:r>
        <w:rPr>
          <w:bCs/>
          <w:sz w:val="24"/>
          <w:szCs w:val="24"/>
        </w:rPr>
      </w:r>
    </w:p>
    <w:p>
      <w:pPr>
        <w:pStyle w:val="Normal"/>
        <w:spacing w:lineRule="exact" w:line="320"/>
        <w:rPr>
          <w:sz w:val="24"/>
          <w:szCs w:val="24"/>
        </w:rPr>
      </w:pPr>
      <w:r>
        <w:rPr>
          <w:sz w:val="24"/>
          <w:szCs w:val="24"/>
        </w:rPr>
      </w:r>
    </w:p>
    <w:p>
      <w:pPr>
        <w:pStyle w:val="Normal"/>
        <w:spacing w:lineRule="exact" w:line="320"/>
        <w:rPr>
          <w:sz w:val="24"/>
          <w:szCs w:val="24"/>
        </w:rPr>
      </w:pPr>
      <w:r>
        <w:rPr>
          <w:sz w:val="24"/>
          <w:szCs w:val="24"/>
        </w:rPr>
        <w:t>A Boulogne Billancourt, le 06 janvier 2022</w:t>
      </w:r>
    </w:p>
    <w:p>
      <w:pPr>
        <w:pStyle w:val="Normal"/>
        <w:spacing w:lineRule="exact" w:line="320"/>
        <w:rPr>
          <w:sz w:val="24"/>
          <w:szCs w:val="24"/>
        </w:rPr>
      </w:pPr>
      <w:r>
        <w:rPr>
          <w:sz w:val="24"/>
          <w:szCs w:val="24"/>
        </w:rPr>
      </w:r>
    </w:p>
    <w:p>
      <w:pPr>
        <w:pStyle w:val="Normal"/>
        <w:spacing w:lineRule="exact" w:line="320"/>
        <w:rPr>
          <w:sz w:val="24"/>
          <w:szCs w:val="24"/>
        </w:rPr>
      </w:pPr>
      <w:r>
        <w:rPr>
          <w:sz w:val="24"/>
          <w:szCs w:val="24"/>
        </w:rPr>
      </w:r>
    </w:p>
    <w:p>
      <w:pPr>
        <w:pStyle w:val="Heading1"/>
        <w:keepNext w:val="false"/>
        <w:numPr>
          <w:ilvl w:val="0"/>
          <w:numId w:val="1"/>
        </w:numPr>
        <w:tabs>
          <w:tab w:val="left" w:pos="5670" w:leader="none"/>
        </w:tabs>
        <w:spacing w:lineRule="exact" w:line="320" w:before="0" w:after="0"/>
        <w:rPr>
          <w:rFonts w:ascii="Times New Roman" w:hAnsi="Times New Roman" w:cs="Times New Roman"/>
          <w:sz w:val="24"/>
          <w:szCs w:val="24"/>
        </w:rPr>
      </w:pPr>
      <w:r>
        <w:rPr>
          <w:rFonts w:cs="Times New Roman" w:ascii="Times New Roman" w:hAnsi="Times New Roman"/>
          <w:sz w:val="24"/>
          <w:szCs w:val="24"/>
        </w:rPr>
        <w:t>Pour IDEX Services</w:t>
        <w:tab/>
        <w:t>Pour la C.F.T.C</w:t>
      </w:r>
    </w:p>
    <w:p>
      <w:pPr>
        <w:pStyle w:val="Heading1"/>
        <w:keepNext w:val="false"/>
        <w:numPr>
          <w:ilvl w:val="0"/>
          <w:numId w:val="1"/>
        </w:numPr>
        <w:tabs>
          <w:tab w:val="left" w:pos="4111" w:leader="none"/>
          <w:tab w:val="left" w:pos="4678" w:leader="none"/>
          <w:tab w:val="left" w:pos="5670" w:leader="none"/>
        </w:tabs>
        <w:spacing w:lineRule="exact" w:line="320" w:before="0" w:after="0"/>
        <w:rPr/>
      </w:pPr>
      <w:r>
        <w:rPr>
          <w:rFonts w:cs="Times New Roman" w:ascii="Times New Roman" w:hAnsi="Times New Roman"/>
          <w:sz w:val="24"/>
          <w:szCs w:val="24"/>
        </w:rPr>
        <w:t>Odile BONHOMME</w:t>
        <w:tab/>
        <w:tab/>
        <w:tab/>
        <w:t>Azdine</w:t>
      </w:r>
      <w:r>
        <w:rPr>
          <w:rFonts w:cs="Times New Roman" w:ascii="Times New Roman" w:hAnsi="Times New Roman"/>
          <w:sz w:val="22"/>
          <w:szCs w:val="22"/>
        </w:rPr>
        <w:t xml:space="preserve"> </w:t>
      </w:r>
      <w:r>
        <w:rPr>
          <w:rFonts w:cs="Times New Roman" w:ascii="Times New Roman" w:hAnsi="Times New Roman"/>
          <w:sz w:val="24"/>
          <w:szCs w:val="24"/>
        </w:rPr>
        <w:t xml:space="preserve">FERGUENE </w:t>
      </w:r>
    </w:p>
    <w:p>
      <w:pPr>
        <w:pStyle w:val="Heading1"/>
        <w:keepNext w:val="false"/>
        <w:numPr>
          <w:ilvl w:val="0"/>
          <w:numId w:val="1"/>
        </w:numPr>
        <w:tabs>
          <w:tab w:val="left" w:pos="5670" w:leader="none"/>
        </w:tabs>
        <w:spacing w:lineRule="exact" w:line="320" w:before="0" w:after="0"/>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sz w:val="24"/>
          <w:szCs w:val="24"/>
        </w:rPr>
      </w:r>
    </w:p>
    <w:p>
      <w:pPr>
        <w:pStyle w:val="Heading1"/>
        <w:keepNext w:val="false"/>
        <w:numPr>
          <w:ilvl w:val="0"/>
          <w:numId w:val="1"/>
        </w:numPr>
        <w:tabs>
          <w:tab w:val="left" w:pos="4253" w:leader="none"/>
          <w:tab w:val="left" w:pos="5670" w:leader="none"/>
          <w:tab w:val="left" w:pos="7371" w:leader="none"/>
        </w:tabs>
        <w:spacing w:lineRule="exact" w:line="320" w:before="0" w:after="0"/>
        <w:rPr>
          <w:rFonts w:ascii="Times New Roman" w:hAnsi="Times New Roman" w:cs="Times New Roman"/>
          <w:sz w:val="24"/>
          <w:szCs w:val="24"/>
        </w:rPr>
      </w:pPr>
      <w:r>
        <w:rPr>
          <w:rFonts w:cs="Times New Roman" w:ascii="Times New Roman" w:hAnsi="Times New Roman"/>
          <w:sz w:val="24"/>
          <w:szCs w:val="24"/>
        </w:rPr>
        <w:tab/>
        <w:tab/>
      </w:r>
    </w:p>
    <w:p>
      <w:pPr>
        <w:pStyle w:val="TextBody"/>
        <w:tabs>
          <w:tab w:val="left" w:pos="4253" w:leader="none"/>
          <w:tab w:val="left" w:pos="5670" w:leader="none"/>
          <w:tab w:val="left" w:pos="7371" w:leader="none"/>
        </w:tabs>
        <w:spacing w:lineRule="exact" w:line="320"/>
        <w:rPr>
          <w:szCs w:val="24"/>
        </w:rPr>
      </w:pPr>
      <w:r>
        <w:rPr>
          <w:b/>
          <w:bCs/>
          <w:szCs w:val="24"/>
        </w:rPr>
        <w:tab/>
        <w:tab/>
      </w:r>
    </w:p>
    <w:p>
      <w:pPr>
        <w:pStyle w:val="TextBody"/>
        <w:tabs>
          <w:tab w:val="left" w:pos="4253" w:leader="none"/>
          <w:tab w:val="left" w:pos="5245" w:leader="none"/>
          <w:tab w:val="left" w:pos="5670" w:leader="none"/>
          <w:tab w:val="left" w:pos="7371" w:leader="none"/>
        </w:tabs>
        <w:spacing w:lineRule="exact" w:line="320"/>
        <w:rPr>
          <w:szCs w:val="24"/>
        </w:rPr>
      </w:pPr>
      <w:r>
        <w:rPr>
          <w:szCs w:val="24"/>
        </w:rPr>
      </w:r>
    </w:p>
    <w:p>
      <w:pPr>
        <w:pStyle w:val="TextBody"/>
        <w:tabs>
          <w:tab w:val="left" w:pos="4253" w:leader="none"/>
          <w:tab w:val="left" w:pos="5245" w:leader="none"/>
          <w:tab w:val="left" w:pos="5670" w:leader="none"/>
          <w:tab w:val="left" w:pos="7371" w:leader="none"/>
        </w:tabs>
        <w:spacing w:lineRule="exact" w:line="320"/>
        <w:rPr>
          <w:szCs w:val="24"/>
        </w:rPr>
      </w:pPr>
      <w:r>
        <w:rPr>
          <w:szCs w:val="24"/>
        </w:rPr>
      </w:r>
    </w:p>
    <w:p>
      <w:pPr>
        <w:pStyle w:val="TextBody"/>
        <w:tabs>
          <w:tab w:val="left" w:pos="4253" w:leader="none"/>
          <w:tab w:val="left" w:pos="5670" w:leader="none"/>
          <w:tab w:val="left" w:pos="7371" w:leader="none"/>
        </w:tabs>
        <w:spacing w:lineRule="exact" w:line="320"/>
        <w:rPr>
          <w:b/>
          <w:b/>
          <w:bCs/>
          <w:szCs w:val="24"/>
        </w:rPr>
      </w:pPr>
      <w:r>
        <w:rPr>
          <w:b/>
          <w:bCs/>
          <w:szCs w:val="24"/>
        </w:rPr>
        <w:tab/>
        <w:tab/>
      </w:r>
    </w:p>
    <w:sectPr>
      <w:headerReference w:type="default" r:id="rId3"/>
      <w:footerReference w:type="default" r:id="rId4"/>
      <w:type w:val="nextPage"/>
      <w:pgSz w:w="11906" w:h="16838"/>
      <w:pgMar w:left="1134" w:right="1134" w:header="726" w:top="1121" w:footer="346"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wiss">
    <w:altName w:val="Times New Roman"/>
    <w:charset w:val="00"/>
    <w:family w:val="swiss"/>
    <w:pitch w:val="variable"/>
  </w:font>
  <w:font w:name="Courier New">
    <w:charset w:val="00"/>
    <w:family w:val="modern"/>
    <w:pitch w:val="default"/>
  </w:font>
  <w:font w:name="Wingdings">
    <w:charset w:val="02"/>
    <w:family w:val="auto"/>
    <w:pitch w:val="variable"/>
  </w:font>
  <w:font w:name="Noto Sans Symbols">
    <w:altName w:val="Times New Roman"/>
    <w:charset w:val="00"/>
    <w:family w:val="auto"/>
    <w:pitch w:val="default"/>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26" w:hanging="0"/>
      <w:rPr>
        <w:rFonts w:ascii="Swiss;Times New Roman" w:hAnsi="Swiss;Times New Roman" w:cs="Swiss;Times New Roman"/>
        <w:i/>
        <w:i/>
        <w:sz w:val="16"/>
        <w:lang w:val="en-GB"/>
      </w:rPr>
    </w:pPr>
    <w:r>
      <w:rPr>
        <w:rFonts w:cs="Swiss;Times New Roman" w:ascii="Swiss;Times New Roman" w:hAnsi="Swiss;Times New Roman"/>
        <w:i/>
        <w:sz w:val="16"/>
        <w:lang w:val="en-GB"/>
      </w:rPr>
      <w:t xml:space="preserve">OB/JD – </w:t>
    </w:r>
    <w:r>
      <w:rPr>
        <w:rFonts w:cs="Swiss;Times New Roman" w:ascii="Swiss;Times New Roman" w:hAnsi="Swiss;Times New Roman"/>
        <w:i/>
        <w:sz w:val="16"/>
        <w:lang w:val="fr-FR"/>
      </w:rPr>
      <w:t>Négociation</w:t>
    </w:r>
    <w:r>
      <w:rPr>
        <w:rFonts w:cs="Swiss;Times New Roman" w:ascii="Swiss;Times New Roman" w:hAnsi="Swiss;Times New Roman"/>
        <w:i/>
        <w:sz w:val="16"/>
        <w:lang w:val="en-GB"/>
      </w:rPr>
      <w:t xml:space="preserve"> 2022</w:t>
      <w:tab/>
    </w:r>
    <w:r>
      <w:rPr>
        <w:rFonts w:cs="Swiss;Times New Roman" w:ascii="Swiss;Times New Roman" w:hAnsi="Swiss;Times New Roman"/>
        <w:i/>
        <w:sz w:val="16"/>
        <w:lang w:val="en-GB"/>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abstractNum>
  <w:abstractNum w:abstractNumId="3">
    <w:lvl w:ilvl="0">
      <w:start w:val="1"/>
      <w:numFmt w:val="upperLetter"/>
      <w:lvlText w:val="%1."/>
      <w:lvlJc w:val="left"/>
      <w:pPr>
        <w:tabs>
          <w:tab w:val="num" w:pos="283"/>
        </w:tabs>
        <w:ind w:left="283" w:hanging="283"/>
      </w:pPr>
      <w:rPr>
        <w:b/>
        <w:szCs w:val="22"/>
      </w:rPr>
    </w:lvl>
  </w:abstractNum>
  <w:abstractNum w:abstractNumId="4">
    <w:lvl w:ilvl="0">
      <w:start w:val="1"/>
      <w:numFmt w:val="lowerLetter"/>
      <w:lvlText w:val="%1)"/>
      <w:lvlJc w:val="left"/>
      <w:pPr>
        <w:ind w:left="1429" w:hanging="360"/>
      </w:pPr>
      <w:rPr/>
    </w:lvl>
  </w:abstractNum>
  <w:abstractNum w:abstractNumId="5">
    <w:lvl w:ilvl="0">
      <w:start w:val="1"/>
      <w:numFmt w:val="bullet"/>
      <w:lvlText w:val=""/>
      <w:lvlJc w:val="left"/>
      <w:pPr>
        <w:ind w:left="1429" w:hanging="360"/>
      </w:pPr>
      <w:rPr>
        <w:rFonts w:ascii="Symbol" w:hAnsi="Symbol" w:cs="Symbol" w:hint="default"/>
        <w:sz w:val="24"/>
        <w:szCs w:val="24"/>
        <w:rFonts w:cs="Symbol"/>
      </w:rPr>
    </w:lvl>
  </w:abstractNum>
  <w:abstractNum w:abstractNumId="6">
    <w:lvl w:ilvl="0">
      <w:start w:val="1"/>
      <w:numFmt w:val="decimal"/>
      <w:lvlText w:val="%1."/>
      <w:lvlJc w:val="left"/>
      <w:pPr>
        <w:ind w:left="721" w:hanging="360"/>
      </w:pPr>
      <w:rPr>
        <w:sz w:val="24"/>
        <w:b/>
        <w:szCs w:val="24"/>
      </w:rPr>
    </w:lvl>
  </w:abstractNum>
  <w:abstractNum w:abstractNumId="7">
    <w:lvl w:ilvl="0">
      <w:start w:val="1"/>
      <w:numFmt w:val="decimal"/>
      <w:lvlText w:val="%1."/>
      <w:lvlJc w:val="left"/>
      <w:pPr>
        <w:ind w:left="720" w:hanging="360"/>
      </w:pPr>
      <w:rPr>
        <w:sz w:val="24"/>
        <w:szCs w:val="24"/>
      </w:rPr>
    </w:lvl>
  </w:abstractNum>
  <w:abstractNum w:abstractNumId="8">
    <w:lvl w:ilvl="0">
      <w:start w:val="6"/>
      <w:numFmt w:val="bullet"/>
      <w:lvlText w:val="-"/>
      <w:lvlJc w:val="left"/>
      <w:pPr>
        <w:tabs>
          <w:tab w:val="num" w:pos="829"/>
        </w:tabs>
        <w:ind w:left="829" w:hanging="360"/>
      </w:pPr>
      <w:rPr>
        <w:rFonts w:ascii="Times New Roman" w:hAnsi="Times New Roman" w:cs="Times New Roman" w:hint="default"/>
        <w:rFonts w:cs="Times New Roman"/>
      </w:rPr>
    </w:lvl>
  </w:abstractNum>
  <w:abstractNum w:abstractNumId="9">
    <w:lvl w:ilvl="0">
      <w:start w:val="1"/>
      <w:numFmt w:val="bullet"/>
      <w:lvlText w:val=""/>
      <w:lvlJc w:val="left"/>
      <w:pPr>
        <w:ind w:left="1429" w:hanging="360"/>
      </w:pPr>
      <w:rPr>
        <w:rFonts w:ascii="Symbol" w:hAnsi="Symbol" w:cs="Symbol" w:hint="default"/>
        <w:sz w:val="24"/>
        <w:szCs w:val="24"/>
        <w:rFonts w:cs="Symbol"/>
      </w:rPr>
    </w:lvl>
  </w:abstractNum>
  <w:abstractNum w:abstractNumId="10">
    <w:lvl w:ilvl="0">
      <w:numFmt w:val="bullet"/>
      <w:lvlText w:val="-"/>
      <w:lvlJc w:val="left"/>
      <w:pPr>
        <w:tabs>
          <w:tab w:val="num" w:pos="1065"/>
        </w:tabs>
        <w:ind w:left="1065" w:hanging="360"/>
      </w:pPr>
      <w:rPr>
        <w:rFonts w:ascii="Arial" w:hAnsi="Arial" w:cs="Arial" w:hint="default"/>
        <w:sz w:val="24"/>
        <w:szCs w:val="24"/>
        <w:rFonts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2"/>
      <w:szCs w:val="20"/>
      <w:lang w:val="fr-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sz w:val="28"/>
    </w:rPr>
  </w:style>
  <w:style w:type="paragraph" w:styleId="Heading2">
    <w:name w:val="Heading 2"/>
    <w:basedOn w:val="Normal"/>
    <w:next w:val="Normal"/>
    <w:qFormat/>
    <w:pPr>
      <w:keepNext w:val="true"/>
      <w:numPr>
        <w:ilvl w:val="1"/>
        <w:numId w:val="1"/>
      </w:numPr>
      <w:outlineLvl w:val="1"/>
    </w:pPr>
    <w:rPr>
      <w:b/>
      <w:bCs/>
      <w:sz w:val="24"/>
      <w:szCs w:val="24"/>
      <w:lang w:val="fr-FR"/>
    </w:rPr>
  </w:style>
  <w:style w:type="paragraph" w:styleId="Heading3">
    <w:name w:val="Heading 3"/>
    <w:basedOn w:val="Normal"/>
    <w:next w:val="Normal"/>
    <w:qFormat/>
    <w:pPr>
      <w:keepNext w:val="true"/>
      <w:numPr>
        <w:ilvl w:val="2"/>
        <w:numId w:val="1"/>
      </w:numPr>
      <w:ind w:left="283" w:hanging="283"/>
      <w:jc w:val="both"/>
      <w:outlineLvl w:val="2"/>
    </w:pPr>
    <w:rPr>
      <w:rFonts w:ascii="Swiss;Times New Roman" w:hAnsi="Swiss;Times New Roman" w:cs="Swiss;Times New Roman"/>
      <w:b/>
      <w:bCs/>
    </w:rPr>
  </w:style>
  <w:style w:type="paragraph" w:styleId="Heading4">
    <w:name w:val="Heading 4"/>
    <w:basedOn w:val="Normal"/>
    <w:next w:val="Normal"/>
    <w:qFormat/>
    <w:pPr>
      <w:keepNext w:val="true"/>
      <w:numPr>
        <w:ilvl w:val="3"/>
        <w:numId w:val="1"/>
      </w:numPr>
      <w:ind w:left="1276" w:hanging="0"/>
      <w:jc w:val="both"/>
      <w:outlineLvl w:val="3"/>
    </w:pPr>
    <w:rPr>
      <w:b/>
      <w:bCs/>
      <w:i/>
      <w:iCs/>
    </w:rPr>
  </w:style>
  <w:style w:type="paragraph" w:styleId="Heading5">
    <w:name w:val="Heading 5"/>
    <w:basedOn w:val="Normal"/>
    <w:next w:val="Normal"/>
    <w:qFormat/>
    <w:pPr>
      <w:keepNext w:val="true"/>
      <w:numPr>
        <w:ilvl w:val="4"/>
        <w:numId w:val="1"/>
      </w:numPr>
      <w:ind w:left="1134" w:hanging="0"/>
      <w:jc w:val="both"/>
      <w:outlineLvl w:val="4"/>
    </w:pPr>
    <w:rPr>
      <w:b/>
      <w:bCs/>
      <w:i/>
      <w:iC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b w:val="false"/>
      <w:sz w:val="22"/>
      <w:szCs w:val="22"/>
    </w:rPr>
  </w:style>
  <w:style w:type="character" w:styleId="WW8Num5z1">
    <w:name w:val="WW8Num5z1"/>
    <w:qFormat/>
    <w:rPr>
      <w:rFonts w:ascii="Wingdings" w:hAnsi="Wingdings" w:cs="Wingdings"/>
      <w:sz w:val="22"/>
      <w:szCs w:val="22"/>
    </w:rPr>
  </w:style>
  <w:style w:type="character" w:styleId="WW8Num5z2">
    <w:name w:val="WW8Num5z2"/>
    <w:qFormat/>
    <w:rPr>
      <w:rFonts w:ascii="Noto Sans Symbols;Times New Roman" w:hAnsi="Noto Sans Symbols;Times New Roman" w:cs="Noto Sans Symbols;Times New Roman"/>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Arial" w:hAnsi="Arial" w:eastAsia="Times New Roman" w:cs="Arial"/>
      <w:sz w:val="24"/>
      <w:szCs w:val="24"/>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b/>
      <w:szCs w:val="22"/>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Calibri" w:hAnsi="Calibri"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Arial Black" w:cs="Times New Roman"/>
      <w:b w:val="false"/>
      <w:sz w:val="24"/>
      <w:szCs w:val="24"/>
    </w:rPr>
  </w:style>
  <w:style w:type="character" w:styleId="WW8Num15z1">
    <w:name w:val="WW8Num15z1"/>
    <w:qFormat/>
    <w:rPr>
      <w:sz w:val="22"/>
      <w:szCs w:val="22"/>
    </w:rPr>
  </w:style>
  <w:style w:type="character" w:styleId="WW8Num15z2">
    <w:name w:val="WW8Num15z2"/>
    <w:qFormat/>
    <w:rPr>
      <w:rFonts w:ascii="Noto Sans Symbols;Times New Roman" w:hAnsi="Noto Sans Symbols;Times New Roman" w:eastAsia="Noto Sans Symbols;Times New Roman" w:cs="Noto Sans Symbols;Times New Roman"/>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8z4">
    <w:name w:val="WW8Num18z4"/>
    <w:qFormat/>
    <w:rPr>
      <w:rFonts w:ascii="Courier New" w:hAnsi="Courier New" w:cs="Courier New"/>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Calibri" w:hAnsi="Calibri" w:eastAsia="Calibri" w:cs="Calibri"/>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b w:val="false"/>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Calibri" w:hAnsi="Calibri" w:eastAsia="Calibri" w:cs="Calibri"/>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sz w:val="24"/>
      <w:szCs w:val="24"/>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cs="Times New Roman"/>
    </w:rPr>
  </w:style>
  <w:style w:type="character" w:styleId="WW8Num27z0">
    <w:name w:val="WW8Num27z0"/>
    <w:qFormat/>
    <w:rPr>
      <w:rFonts w:ascii="Calibri" w:hAnsi="Calibri" w:eastAsia="SimSun;宋体" w:cs="Mangal"/>
      <w:sz w:val="20"/>
      <w:szCs w:val="20"/>
    </w:rPr>
  </w:style>
  <w:style w:type="character" w:styleId="WW8Num27z1">
    <w:name w:val="WW8Num27z1"/>
    <w:qFormat/>
    <w:rPr>
      <w:rFonts w:ascii="Noto Sans Symbols;Times New Roman" w:hAnsi="Noto Sans Symbols;Times New Roman" w:eastAsia="Noto Sans Symbols;Times New Roman" w:cs="Noto Sans Symbols;Times New Roman"/>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b/>
      <w:sz w:val="24"/>
      <w:szCs w:val="24"/>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z w:val="24"/>
      <w:szCs w:val="24"/>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Tahoma" w:hAnsi="Tahoma" w:eastAsia="Times New Roman" w:cs="Tahoma"/>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Calibri" w:hAnsi="Calibri" w:eastAsia="SimSun;宋体" w:cs="Manga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Calibri" w:hAnsi="Calibri" w:eastAsia="SimSun;宋体" w:cs="Manga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sz w:val="24"/>
      <w:szCs w:val="24"/>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InternetLink">
    <w:name w:val="Internet Link"/>
    <w:rPr>
      <w:b/>
      <w:bCs/>
      <w:strike w:val="false"/>
      <w:dstrike w:val="false"/>
      <w:color w:val="0257B2"/>
      <w:u w:val="none"/>
    </w:rPr>
  </w:style>
  <w:style w:type="character" w:styleId="Emphasis">
    <w:name w:val="Emphasis"/>
    <w:qFormat/>
    <w:rPr>
      <w:i/>
      <w:iCs/>
    </w:rPr>
  </w:style>
  <w:style w:type="character" w:styleId="PieddepageCar">
    <w:name w:val="Pied de page Car"/>
    <w:qFormat/>
    <w:rPr>
      <w:sz w:val="22"/>
      <w:lang w:val="fr-CA"/>
    </w:rPr>
  </w:style>
  <w:style w:type="character" w:styleId="RetraitcorpsdetexteCar">
    <w:name w:val="Retrait corps de texte Car"/>
    <w:qFormat/>
    <w:rPr>
      <w:rFonts w:ascii="Swiss;Times New Roman" w:hAnsi="Swiss;Times New Roman" w:cs="Swiss;Times New Roman"/>
      <w:sz w:val="22"/>
      <w:lang w:val="fr-CA"/>
    </w:rPr>
  </w:style>
  <w:style w:type="character" w:styleId="Titre3Car">
    <w:name w:val="Titre 3 Car"/>
    <w:qFormat/>
    <w:rPr>
      <w:rFonts w:ascii="Swiss;Times New Roman" w:hAnsi="Swiss;Times New Roman" w:cs="Swiss;Times New Roman"/>
      <w:b/>
      <w:bCs/>
      <w:sz w:val="22"/>
      <w:lang w:val="fr-CA"/>
    </w:rPr>
  </w:style>
  <w:style w:type="character" w:styleId="ListecouleurAccent1Car">
    <w:name w:val="Liste couleur - Accent 1 Car"/>
    <w:qFormat/>
    <w:rPr>
      <w:sz w:val="22"/>
      <w:lang w:val="fr-C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360"/>
      <w:jc w:val="both"/>
    </w:pPr>
    <w:rPr>
      <w:sz w:val="24"/>
      <w:lang w:val="fr-F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Footer">
    <w:name w:val="Footer"/>
    <w:basedOn w:val="Normal"/>
    <w:pPr/>
    <w:rPr/>
  </w:style>
  <w:style w:type="paragraph" w:styleId="TextBodyIndent">
    <w:name w:val="Body Text Indent"/>
    <w:basedOn w:val="Normal"/>
    <w:pPr>
      <w:ind w:firstLine="1"/>
      <w:jc w:val="both"/>
    </w:pPr>
    <w:rPr>
      <w:rFonts w:ascii="Swiss;Times New Roman" w:hAnsi="Swiss;Times New Roman" w:cs="Swiss;Times New Roman"/>
    </w:rPr>
  </w:style>
  <w:style w:type="paragraph" w:styleId="Retraitcorpsdetexte2">
    <w:name w:val="Retrait corps de texte 2"/>
    <w:basedOn w:val="Normal"/>
    <w:qFormat/>
    <w:pPr>
      <w:ind w:left="6237" w:hanging="0"/>
      <w:jc w:val="both"/>
    </w:pPr>
    <w:rPr/>
  </w:style>
  <w:style w:type="paragraph" w:styleId="Retraitcorpsdetexte3">
    <w:name w:val="Retrait corps de texte 3"/>
    <w:basedOn w:val="Normal"/>
    <w:qFormat/>
    <w:pPr>
      <w:ind w:left="284" w:hanging="0"/>
      <w:jc w:val="both"/>
    </w:pPr>
    <w:rPr/>
  </w:style>
  <w:style w:type="paragraph" w:styleId="Textedebulles">
    <w:name w:val="Texte de bulles"/>
    <w:basedOn w:val="Normal"/>
    <w:qFormat/>
    <w:pPr/>
    <w:rPr>
      <w:rFonts w:ascii="Tahoma" w:hAnsi="Tahoma" w:cs="Tahoma"/>
      <w:sz w:val="16"/>
      <w:szCs w:val="16"/>
    </w:rPr>
  </w:style>
  <w:style w:type="paragraph" w:styleId="Msolistparagraph">
    <w:name w:val="msolistparagraph"/>
    <w:basedOn w:val="Normal"/>
    <w:qFormat/>
    <w:pPr>
      <w:spacing w:before="280" w:after="280"/>
    </w:pPr>
    <w:rPr>
      <w:sz w:val="24"/>
      <w:szCs w:val="24"/>
      <w:lang w:val="fr-FR"/>
    </w:rPr>
  </w:style>
  <w:style w:type="paragraph" w:styleId="Msolistparagraphcxspmiddle">
    <w:name w:val="msolistparagraphcxspmiddle"/>
    <w:basedOn w:val="Normal"/>
    <w:qFormat/>
    <w:pPr>
      <w:spacing w:before="280" w:after="280"/>
    </w:pPr>
    <w:rPr>
      <w:sz w:val="24"/>
      <w:szCs w:val="24"/>
      <w:lang w:val="fr-FR"/>
    </w:rPr>
  </w:style>
  <w:style w:type="paragraph" w:styleId="NormalWeb">
    <w:name w:val="Normal (Web)"/>
    <w:basedOn w:val="Normal"/>
    <w:qFormat/>
    <w:pPr>
      <w:spacing w:before="280" w:after="280"/>
    </w:pPr>
    <w:rPr>
      <w:sz w:val="24"/>
      <w:szCs w:val="24"/>
      <w:lang w:val="fr-FR"/>
    </w:rPr>
  </w:style>
  <w:style w:type="paragraph" w:styleId="ListecouleurAccent1">
    <w:name w:val="Liste couleur - Accent 1"/>
    <w:basedOn w:val="Normal"/>
    <w:qFormat/>
    <w:pPr>
      <w:ind w:left="708" w:hanging="0"/>
    </w:pPr>
    <w:rPr/>
  </w:style>
  <w:style w:type="paragraph" w:styleId="Standard">
    <w:name w:val="Standard"/>
    <w:qFormat/>
    <w:pPr>
      <w:widowControl w:val="false"/>
      <w:suppressAutoHyphens w:val="true"/>
      <w:textAlignment w:val="baseline"/>
    </w:pPr>
    <w:rPr>
      <w:rFonts w:ascii="Times New Roman" w:hAnsi="Times New Roman" w:eastAsia="SimSun;宋体" w:cs="Mangal"/>
      <w:color w:val="auto"/>
      <w:sz w:val="24"/>
      <w:szCs w:val="24"/>
      <w:lang w:val="fr-FR" w:eastAsia="zh-CN" w:bidi="hi-IN"/>
    </w:rPr>
  </w:style>
  <w:style w:type="paragraph" w:styleId="Textbody1">
    <w:name w:val="Text body"/>
    <w:basedOn w:val="Standard"/>
    <w:qFormat/>
    <w:pPr>
      <w:spacing w:before="0" w:after="120"/>
    </w:pPr>
    <w:rPr/>
  </w:style>
  <w:style w:type="paragraph" w:styleId="Normal1">
    <w:name w:val="LO-normal"/>
    <w:qFormat/>
    <w:pPr>
      <w:widowControl/>
    </w:pPr>
    <w:rPr>
      <w:rFonts w:ascii="Arial" w:hAnsi="Arial" w:eastAsia="Arial" w:cs="Arial"/>
      <w:color w:val="auto"/>
      <w:sz w:val="22"/>
      <w:szCs w:val="22"/>
      <w:lang w:val="fr-FR"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2022-01-20T09:52:00Z</dcterms:created>
  <dc:creator/>
  <dc:description/>
  <dc:language>en-GB</dc:language>
  <cp:lastModifiedBy/>
  <cp:lastPrinted>2022-01-06T14:22:00Z</cp:lastPrinted>
  <dcterms:modified xsi:type="dcterms:W3CDTF">2022-01-20T09:52:00Z</dcterms:modified>
  <cp:revision>2</cp:revision>
  <dc:subject/>
  <dc:title>PROCES VERBAL DE DESACCORD</dc:title>
</cp:coreProperties>
</file>