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30" w:type="dxa"/>
        <w:jc w:val="left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420"/>
        <w:gridCol w:w="10"/>
      </w:tblGrid>
      <w:tr>
        <w:trPr/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2E74B5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Style w:val="Letif"/>
                <w:rFonts w:ascii="Vinci Sans" w:hAnsi="Vinci Sans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Style w:val="Letif"/>
                <w:rFonts w:cs="Arial" w:ascii="Vinci Sans" w:hAnsi="Vinci Sans"/>
                <w:b/>
                <w:color w:val="FFFFFF"/>
                <w:sz w:val="28"/>
                <w:szCs w:val="28"/>
              </w:rPr>
              <w:t xml:space="preserve">PROTOCOLE D’ACCORD SUR LA NEGOCIATION ANNUELLE OBLIGATOIRE PORTANT SUR LES SALAIRES, LA DUREE DU TRAVAIL, LE TEMPS DE TRAVAIL, L’EGALITE PROFESSIONNELLE et LE PARTAGE DE LA VALEUR AJOUTEE </w:t>
            </w:r>
          </w:p>
          <w:p>
            <w:pPr>
              <w:pStyle w:val="Normal"/>
              <w:jc w:val="center"/>
              <w:rPr>
                <w:rStyle w:val="Letif"/>
                <w:rFonts w:ascii="Vinci Sans" w:hAnsi="Vinci Sans" w:cs="Arial"/>
                <w:b/>
                <w:b/>
                <w:color w:val="FFFFFF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jc w:val="center"/>
              <w:rPr>
                <w:rFonts w:ascii="Vinci Sans" w:hAnsi="Vinci Sans" w:eastAsia="Arial Unicode MS" w:cs="Arial"/>
                <w:b/>
                <w:b/>
                <w:color w:val="FFFFFF"/>
                <w:sz w:val="28"/>
                <w:szCs w:val="28"/>
              </w:rPr>
            </w:pPr>
            <w:r>
              <w:rPr>
                <w:rStyle w:val="Letif"/>
                <w:rFonts w:cs="Arial" w:ascii="Vinci Sans" w:hAnsi="Vinci Sans"/>
                <w:b/>
                <w:color w:val="FFFFFF"/>
                <w:sz w:val="28"/>
                <w:szCs w:val="28"/>
              </w:rPr>
              <w:t>Société OPTEOR IMMOTIC -</w:t>
            </w:r>
          </w:p>
        </w:tc>
      </w:tr>
      <w:tr>
        <w:trPr/>
        <w:tc>
          <w:tcPr>
            <w:tcW w:w="9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Style w:val="Letif"/>
                <w:rFonts w:ascii="Vinci Sans" w:hAnsi="Vinci Sans" w:cs="Arial"/>
                <w:b/>
                <w:b/>
                <w:sz w:val="28"/>
                <w:szCs w:val="28"/>
              </w:rPr>
            </w:pPr>
            <w:r>
              <w:rPr>
                <w:rFonts w:eastAsia="Arial Unicode MS" w:cs="Vinci Sans" w:ascii="Vinci Sans" w:hAnsi="Vinci Sans"/>
                <w:b/>
                <w:color w:val="FFFFFF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Style w:val="Tiartf"/>
          <w:rFonts w:ascii="Vinci Sans" w:hAnsi="Vinci Sans" w:cs="Arial"/>
          <w:b/>
          <w:b/>
          <w:bCs/>
          <w:u w:val="single"/>
        </w:rPr>
      </w:pPr>
      <w:r>
        <w:rPr>
          <w:rStyle w:val="Tiartf"/>
          <w:rFonts w:cs="Arial" w:ascii="Vinci Sans" w:hAnsi="Vinci Sans"/>
          <w:b/>
          <w:bCs/>
          <w:sz w:val="28"/>
          <w:szCs w:val="28"/>
          <w:u w:val="single"/>
        </w:rPr>
        <w:t>Entre les soussignés,</w:t>
      </w:r>
    </w:p>
    <w:p>
      <w:pPr>
        <w:pStyle w:val="Normal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>La société OPTEOR Immotic dont le siège social est situé 41 rue des Peupliers - 92737 Nanterre Cedex, SAS au capital de 316 800 €, immatriculée au RCS de Nanterre sous le n°552 008 914, représentée par M. XXXXXXXXXX en sa qualité de Président, d'une part ;</w:t>
      </w:r>
    </w:p>
    <w:p>
      <w:pPr>
        <w:pStyle w:val="Normal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"/>
        <w:jc w:val="both"/>
        <w:rPr>
          <w:rFonts w:ascii="Vinci Sans" w:hAnsi="Vinci Sans" w:cs="Arial"/>
          <w:b/>
          <w:b/>
          <w:bCs/>
          <w:u w:val="single"/>
        </w:rPr>
      </w:pPr>
      <w:r>
        <w:rPr>
          <w:rFonts w:cs="Arial" w:ascii="Vinci Sans" w:hAnsi="Vinci Sans"/>
          <w:b/>
          <w:bCs/>
          <w:u w:val="single"/>
        </w:rPr>
        <w:t>Et :</w:t>
      </w:r>
    </w:p>
    <w:p>
      <w:pPr>
        <w:pStyle w:val="Normal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>L’organisation syndicale CFTC représentée par MXXXXXXXX, délégué syndical désigné par l’organisation syndicale C.F.T.C d'autre part,</w:t>
      </w:r>
    </w:p>
    <w:p>
      <w:pPr>
        <w:pStyle w:val="Normal"/>
        <w:jc w:val="both"/>
        <w:rPr>
          <w:rFonts w:ascii="Vinci Sans" w:hAnsi="Vinci Sans" w:cs="Arial"/>
        </w:rPr>
      </w:pPr>
      <w:r>
        <w:rPr>
          <w:rFonts w:cs="Vinci Sans" w:ascii="Vinci Sans" w:hAnsi="Vinci Sans"/>
          <w:sz w:val="22"/>
          <w:szCs w:val="22"/>
        </w:rPr>
        <w:br/>
      </w:r>
      <w:r>
        <w:rPr>
          <w:rStyle w:val="Tiartf"/>
          <w:rFonts w:cs="Arial" w:ascii="Vinci Sans" w:hAnsi="Vinci Sans"/>
          <w:b/>
          <w:bCs/>
          <w:u w:val="single"/>
        </w:rPr>
        <w:t>Préambule :</w:t>
      </w:r>
    </w:p>
    <w:p>
      <w:pPr>
        <w:pStyle w:val="Normal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 xml:space="preserve">Le présent accord collectif est conclu en application des articles L. 2232-11 et suivants du Code du travail relatif à la négociation annuelle obligatoire sur la rémunération, le temps de travail, l’égalité professionnelle et le partage de la valeur ajoutée. </w:t>
      </w:r>
    </w:p>
    <w:p>
      <w:pPr>
        <w:pStyle w:val="Normal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Il est précisé qu’un accord relatif à l’égalité professionnelle a été signé le 06 décembre 2019.</w:t>
      </w:r>
    </w:p>
    <w:p>
      <w:pPr>
        <w:pStyle w:val="Normal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</w:r>
    </w:p>
    <w:p>
      <w:pPr>
        <w:pStyle w:val="Normal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Il est également rappelé que la durée du travail est d’ores et déjà encadrée par un accord d’entreprise et ses avenants.</w:t>
      </w:r>
    </w:p>
    <w:p>
      <w:pPr>
        <w:pStyle w:val="NormalWeb"/>
        <w:spacing w:before="0" w:after="0"/>
        <w:jc w:val="both"/>
        <w:rPr>
          <w:rFonts w:ascii="Vinci Sans" w:hAnsi="Vinci Sans" w:cs="Arial"/>
          <w:b/>
          <w:b/>
          <w:color w:val="000000"/>
          <w:sz w:val="22"/>
          <w:szCs w:val="22"/>
        </w:rPr>
      </w:pPr>
      <w:r>
        <w:rPr>
          <w:rFonts w:cs="Arial" w:ascii="Vinci Sans" w:hAnsi="Vinci Sans"/>
          <w:b/>
          <w:color w:val="000000"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bCs/>
          <w:color w:val="000000"/>
          <w:sz w:val="22"/>
          <w:szCs w:val="22"/>
        </w:rPr>
      </w:pPr>
      <w:r>
        <w:rPr>
          <w:rFonts w:cs="Arial" w:ascii="Vinci Sans" w:hAnsi="Vinci Sans"/>
          <w:bCs/>
          <w:color w:val="000000"/>
          <w:sz w:val="22"/>
          <w:szCs w:val="22"/>
        </w:rPr>
        <w:t>Dans le cadre des Négociations Annuelles Obligatoires, la Direction et la Délégation Syndicale CFTC se sont réunies à l’occasion de 3 réunions y étant exclusivement dédiées les 17 novembre 2021 – 3 décembre 2021 et 08 décembre 2021.</w:t>
      </w:r>
    </w:p>
    <w:p>
      <w:pPr>
        <w:pStyle w:val="NormalWeb"/>
        <w:spacing w:before="0" w:after="0"/>
        <w:jc w:val="both"/>
        <w:rPr>
          <w:rFonts w:ascii="Vinci Sans" w:hAnsi="Vinci Sans" w:cs="Arial"/>
          <w:bCs/>
          <w:color w:val="000000"/>
          <w:sz w:val="22"/>
          <w:szCs w:val="22"/>
        </w:rPr>
      </w:pPr>
      <w:r>
        <w:rPr>
          <w:rFonts w:cs="Arial" w:ascii="Vinci Sans" w:hAnsi="Vinci Sans"/>
          <w:bCs/>
          <w:color w:val="000000"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bCs/>
          <w:color w:val="000000"/>
          <w:sz w:val="22"/>
          <w:szCs w:val="22"/>
        </w:rPr>
      </w:pPr>
      <w:r>
        <w:rPr>
          <w:rFonts w:cs="Arial" w:ascii="Vinci Sans" w:hAnsi="Vinci Sans"/>
          <w:bCs/>
          <w:color w:val="000000"/>
          <w:sz w:val="22"/>
          <w:szCs w:val="22"/>
        </w:rPr>
        <w:t>Au terme de ces réunions, sur la base de l’ensemble des données communiquées par la Direction et étudiées par l’organisation syndicale, les parties sont parvenues à trouver un accord sur les points suivants :</w:t>
      </w:r>
    </w:p>
    <w:p>
      <w:pPr>
        <w:pStyle w:val="NormalWeb"/>
        <w:spacing w:before="0" w:after="0"/>
        <w:jc w:val="both"/>
        <w:rPr>
          <w:rFonts w:ascii="Vinci Sans" w:hAnsi="Vinci Sans" w:cs="Arial"/>
          <w:bCs/>
          <w:color w:val="000000"/>
          <w:sz w:val="22"/>
          <w:szCs w:val="22"/>
        </w:rPr>
      </w:pPr>
      <w:r>
        <w:rPr>
          <w:rFonts w:cs="Arial" w:ascii="Vinci Sans" w:hAnsi="Vinci Sans"/>
          <w:bCs/>
          <w:color w:val="000000"/>
          <w:sz w:val="22"/>
          <w:szCs w:val="22"/>
        </w:rPr>
      </w:r>
    </w:p>
    <w:p>
      <w:pPr>
        <w:pStyle w:val="NormalWeb"/>
        <w:numPr>
          <w:ilvl w:val="0"/>
          <w:numId w:val="2"/>
        </w:numPr>
        <w:tabs>
          <w:tab w:val="left" w:pos="709" w:leader="none"/>
        </w:tabs>
        <w:spacing w:before="0" w:after="0"/>
        <w:ind w:left="720" w:hanging="720"/>
        <w:jc w:val="both"/>
        <w:rPr>
          <w:rStyle w:val="Tiartf"/>
          <w:rFonts w:ascii="Vinci Sans" w:hAnsi="Vinci Sans" w:cs="Arial"/>
          <w:u w:val="single"/>
        </w:rPr>
      </w:pPr>
      <w:r>
        <w:rPr>
          <w:rStyle w:val="Tiartf"/>
          <w:rFonts w:cs="Arial" w:ascii="Vinci Sans" w:hAnsi="Vinci Sans"/>
          <w:b/>
          <w:bCs/>
          <w:u w:val="single"/>
        </w:rPr>
        <w:t>Champs d’application :</w:t>
      </w:r>
    </w:p>
    <w:p>
      <w:pPr>
        <w:pStyle w:val="NormalWeb"/>
        <w:tabs>
          <w:tab w:val="left" w:pos="709" w:leader="none"/>
        </w:tabs>
        <w:spacing w:before="0" w:after="0"/>
        <w:ind w:left="720" w:hanging="11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Le présent accord s’applique à l’ensemble des salariés de la société OPTEOR IMMOTIC sous réserve des dispositions pour lesquelles un champ d’application plus restreint sera précisé.</w:t>
      </w:r>
    </w:p>
    <w:p>
      <w:pPr>
        <w:pStyle w:val="NormalWeb"/>
        <w:tabs>
          <w:tab w:val="left" w:pos="709" w:leader="none"/>
        </w:tabs>
        <w:spacing w:before="0" w:after="0"/>
        <w:ind w:left="720" w:hanging="11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/>
      </w:r>
    </w:p>
    <w:p>
      <w:pPr>
        <w:pStyle w:val="NormalWeb"/>
        <w:numPr>
          <w:ilvl w:val="0"/>
          <w:numId w:val="2"/>
        </w:numPr>
        <w:spacing w:before="0" w:after="0"/>
        <w:ind w:left="720" w:hanging="720"/>
        <w:jc w:val="both"/>
        <w:rPr>
          <w:rStyle w:val="Tiartf"/>
          <w:rFonts w:ascii="Vinci Sans" w:hAnsi="Vinci Sans" w:cs="Arial"/>
          <w:b/>
          <w:b/>
          <w:bCs/>
          <w:u w:val="single"/>
        </w:rPr>
      </w:pPr>
      <w:r>
        <w:rPr>
          <w:rStyle w:val="Tiartf"/>
          <w:rFonts w:cs="Arial" w:ascii="Vinci Sans" w:hAnsi="Vinci Sans"/>
          <w:b/>
          <w:bCs/>
          <w:u w:val="single"/>
        </w:rPr>
        <w:t>Objet :</w:t>
      </w:r>
    </w:p>
    <w:p>
      <w:pPr>
        <w:pStyle w:val="NormalWeb"/>
        <w:spacing w:before="0" w:after="0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2-1 : la rémunération</w:t>
      </w:r>
    </w:p>
    <w:p>
      <w:pPr>
        <w:pStyle w:val="NormalWeb"/>
        <w:spacing w:before="0" w:after="0"/>
        <w:ind w:left="567" w:hanging="0"/>
        <w:jc w:val="both"/>
        <w:rPr>
          <w:rStyle w:val="Tiartf"/>
          <w:rFonts w:ascii="Vinci Sans" w:hAnsi="Vinci Sans" w:cs="Arial"/>
          <w:i/>
          <w:i/>
          <w:iCs/>
          <w:sz w:val="22"/>
          <w:szCs w:val="22"/>
        </w:rPr>
      </w:pPr>
      <w:r>
        <w:rPr>
          <w:rStyle w:val="Tiartf"/>
          <w:rFonts w:cs="Arial" w:ascii="Vinci Sans" w:hAnsi="Vinci Sans"/>
          <w:i/>
          <w:iCs/>
          <w:sz w:val="22"/>
          <w:szCs w:val="22"/>
        </w:rPr>
        <w:tab/>
        <w:t xml:space="preserve">a/ </w:t>
      </w:r>
      <w:r>
        <w:rPr>
          <w:rStyle w:val="Tiartf"/>
          <w:rFonts w:cs="Arial" w:ascii="Vinci Sans" w:hAnsi="Vinci Sans"/>
          <w:i/>
          <w:iCs/>
          <w:sz w:val="22"/>
          <w:szCs w:val="22"/>
          <w:u w:val="single"/>
        </w:rPr>
        <w:t>l’augmentation salariale</w:t>
      </w:r>
      <w:r>
        <w:rPr>
          <w:rStyle w:val="Tiartf"/>
          <w:rFonts w:cs="Arial" w:ascii="Vinci Sans" w:hAnsi="Vinci Sans"/>
          <w:i/>
          <w:iCs/>
          <w:sz w:val="22"/>
          <w:szCs w:val="22"/>
        </w:rPr>
        <w:t> :</w:t>
      </w:r>
    </w:p>
    <w:p>
      <w:pPr>
        <w:pStyle w:val="NormalWeb"/>
        <w:spacing w:before="0" w:after="0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Il est convenu de privilégier une politique salariale qui repose sur l’individualisation des augmentations, sans minimum (obligation de la hiérarchie d’expliquer les raisons à chaque collaborateur concerné).</w:t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Elle sera déterminée au regard de l’enveloppe qui y sera dédiée.</w:t>
      </w:r>
    </w:p>
    <w:p>
      <w:pPr>
        <w:pStyle w:val="Normal"/>
        <w:ind w:left="993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 xml:space="preserve">Les parties se sont accordées à consacrer une unique enveloppe représentant 2% de la masse salariale de la société qui aura vocation à revaloriser les rémunérations des salariés de l’entreprise (revalorisation individuelle et non collective). </w:t>
      </w:r>
    </w:p>
    <w:p>
      <w:pPr>
        <w:pStyle w:val="Normal"/>
        <w:ind w:left="993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</w:r>
    </w:p>
    <w:p>
      <w:pPr>
        <w:pStyle w:val="Normal"/>
        <w:ind w:left="993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 xml:space="preserve">Cette enveloppe s’entend « hors promotions » ; étant entendu que pour ces dernières une enveloppe complémentaire sera attribuée. </w:t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tabs>
          <w:tab w:val="left" w:pos="993" w:leader="none"/>
        </w:tabs>
        <w:spacing w:before="0" w:after="0"/>
        <w:ind w:left="993" w:hanging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>L’augmentation des salaires bruts sera appliquée sur la rémunération du mois de janvier 2022 pour les ETAM et en mars 2022 (avec effet rétroactif janvier 2022) pour les cadres.</w:t>
      </w:r>
      <w:r>
        <w:br w:type="page"/>
      </w:r>
    </w:p>
    <w:p>
      <w:pPr>
        <w:pStyle w:val="NormalWeb"/>
        <w:tabs>
          <w:tab w:val="left" w:pos="993" w:leader="none"/>
        </w:tabs>
        <w:spacing w:before="0" w:after="0"/>
        <w:ind w:left="993" w:hanging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spacing w:before="0" w:after="0"/>
        <w:ind w:left="567" w:hanging="0"/>
        <w:jc w:val="both"/>
        <w:rPr>
          <w:rStyle w:val="Tiartf"/>
          <w:rFonts w:ascii="Vinci Sans" w:hAnsi="Vinci Sans" w:cs="Arial"/>
          <w:i/>
          <w:i/>
          <w:iCs/>
          <w:sz w:val="22"/>
          <w:szCs w:val="22"/>
        </w:rPr>
      </w:pPr>
      <w:r>
        <w:rPr>
          <w:rStyle w:val="Tiartf"/>
          <w:rFonts w:cs="Arial" w:ascii="Vinci Sans" w:hAnsi="Vinci Sans"/>
          <w:i/>
          <w:iCs/>
          <w:sz w:val="22"/>
          <w:szCs w:val="22"/>
        </w:rPr>
        <w:tab/>
        <w:t>b/ Astreintes :</w:t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Les parties conviennent que la prime d’astreinte hebdomadaire d’une valeur actuelle de 190 € passe à 195 € à partir du 01/01/2022.</w:t>
      </w:r>
    </w:p>
    <w:p>
      <w:pPr>
        <w:pStyle w:val="NormalWeb"/>
        <w:spacing w:before="0" w:after="0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2-2 : Apprentissage</w:t>
      </w:r>
    </w:p>
    <w:p>
      <w:pPr>
        <w:pStyle w:val="NormalWeb"/>
        <w:spacing w:before="0" w:after="0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/>
      </w:r>
    </w:p>
    <w:p>
      <w:pPr>
        <w:pStyle w:val="NormalWeb"/>
        <w:spacing w:before="0" w:after="0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Il est convenu entre les parties :</w:t>
      </w:r>
    </w:p>
    <w:p>
      <w:pPr>
        <w:pStyle w:val="NormalWeb"/>
        <w:numPr>
          <w:ilvl w:val="0"/>
          <w:numId w:val="3"/>
        </w:numPr>
        <w:spacing w:before="0" w:after="0"/>
        <w:ind w:left="1276" w:hanging="284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De l’établissement d’une charte expliquant les rôles du tuteur en termes de management, cette charte sera mise en place fin 1</w:t>
      </w:r>
      <w:r>
        <w:rPr>
          <w:rStyle w:val="Tiartf"/>
          <w:rFonts w:cs="Arial" w:ascii="Vinci Sans" w:hAnsi="Vinci Sans"/>
          <w:sz w:val="22"/>
          <w:szCs w:val="22"/>
          <w:vertAlign w:val="superscript"/>
        </w:rPr>
        <w:t>er</w:t>
      </w:r>
      <w:r>
        <w:rPr>
          <w:rStyle w:val="Tiartf"/>
          <w:rFonts w:cs="Arial" w:ascii="Vinci Sans" w:hAnsi="Vinci Sans"/>
          <w:sz w:val="22"/>
          <w:szCs w:val="22"/>
        </w:rPr>
        <w:t xml:space="preserve"> trimestre 2022 ;</w:t>
      </w:r>
    </w:p>
    <w:p>
      <w:pPr>
        <w:pStyle w:val="NormalWeb"/>
        <w:numPr>
          <w:ilvl w:val="0"/>
          <w:numId w:val="3"/>
        </w:numPr>
        <w:spacing w:before="0" w:after="280"/>
        <w:ind w:left="1276" w:hanging="283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D’intégrer les apprentis aux « people review » ;</w:t>
      </w:r>
    </w:p>
    <w:p>
      <w:pPr>
        <w:pStyle w:val="NormalWeb"/>
        <w:numPr>
          <w:ilvl w:val="0"/>
          <w:numId w:val="3"/>
        </w:numPr>
        <w:spacing w:before="0" w:after="280"/>
        <w:ind w:left="1276" w:hanging="283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Mise en place d’une prime pour le tuteur se décomposant ainsi, cette prime sera rétroactive sur 2021 :</w:t>
      </w:r>
    </w:p>
    <w:p>
      <w:pPr>
        <w:pStyle w:val="NormalWeb"/>
        <w:numPr>
          <w:ilvl w:val="1"/>
          <w:numId w:val="3"/>
        </w:numPr>
        <w:spacing w:before="0" w:after="280"/>
        <w:ind w:left="1701" w:hanging="360"/>
        <w:jc w:val="both"/>
        <w:rPr/>
      </w:pPr>
      <w:r>
        <w:rPr>
          <w:rStyle w:val="Tiartf"/>
          <w:rFonts w:cs="Arial" w:ascii="Vinci Sans" w:hAnsi="Vinci Sans"/>
          <w:sz w:val="22"/>
          <w:szCs w:val="22"/>
        </w:rPr>
        <w:t>500 € à l’obtention d’un diplôme de l’apprenti ou 250 € si l’apprenti n’a pas son diplôme mais que le tuteur a satisfait à la charte</w:t>
      </w:r>
    </w:p>
    <w:p>
      <w:pPr>
        <w:pStyle w:val="NormalWeb"/>
        <w:numPr>
          <w:ilvl w:val="1"/>
          <w:numId w:val="3"/>
        </w:numPr>
        <w:spacing w:before="0" w:after="280"/>
        <w:ind w:left="1701" w:hanging="36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500 € un an après l’embauche de l’apprenti en CDI.</w:t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2-3 : la durée et le temps de travail</w:t>
      </w:r>
    </w:p>
    <w:p>
      <w:pPr>
        <w:pStyle w:val="Normal"/>
        <w:ind w:left="993" w:hanging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>L’accord relatif à l’aménagement et à la réduction du temps de travail, signé le 29/06/2001 continu à produire ses effets.</w:t>
      </w:r>
    </w:p>
    <w:p>
      <w:pPr>
        <w:pStyle w:val="Normal"/>
        <w:ind w:left="993" w:hanging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"/>
        <w:ind w:left="993" w:hanging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>Le temps de travail est annualisé, entraine le bénéfice de jours d’ARTT, et fait l’objet d’une modulation ; En outre, et compte tenu de la nature du métier d’OPTEOR Immotic, le personnel de maintenance est amené à assurer des périodes d’astreinte.</w:t>
      </w:r>
    </w:p>
    <w:p>
      <w:pPr>
        <w:pStyle w:val="Normal"/>
        <w:ind w:left="993" w:hanging="0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2-4 : l’Egalité Hommes / Femmes &amp; équilibre vie professionnelle / vie personnelle</w:t>
      </w:r>
    </w:p>
    <w:p>
      <w:pPr>
        <w:pStyle w:val="Normal"/>
        <w:ind w:left="993" w:hanging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 xml:space="preserve">Il est précisé en préambule qu’un accord relatif à l’égalité professionnelle et à la qualité de vie au travail a été signé le 06 décembre 2019 sur ces thèmes.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2-5 : La formation</w:t>
      </w:r>
    </w:p>
    <w:p>
      <w:pPr>
        <w:pStyle w:val="Paragraphedeliste"/>
        <w:ind w:left="1134" w:hanging="0"/>
        <w:rPr>
          <w:rFonts w:ascii="Vinci Sans" w:hAnsi="Vinci Sans" w:cs="Calibri"/>
          <w:bCs/>
        </w:rPr>
      </w:pPr>
      <w:r>
        <w:rPr>
          <w:rFonts w:cs="Calibri" w:ascii="Vinci Sans" w:hAnsi="Vinci Sans"/>
          <w:bCs/>
        </w:rPr>
        <w:t>Les chefs d’entreprise s’engagent à suivre avec rigueur les actions de formations des collaborateurs, afin de satisfaire, notamment, aux obligations de la loi du 5/8/201 « </w:t>
      </w:r>
      <w:r>
        <w:rPr>
          <w:rFonts w:cs="Calibri" w:ascii="Vinci Sans" w:hAnsi="Vinci Sans"/>
          <w:bCs/>
          <w:i/>
          <w:iCs/>
        </w:rPr>
        <w:t>pour la liberté de choisir son avenir professionnel </w:t>
      </w:r>
      <w:r>
        <w:rPr>
          <w:rFonts w:cs="Calibri" w:ascii="Vinci Sans" w:hAnsi="Vinci Sans"/>
          <w:bCs/>
        </w:rPr>
        <w:t>», soit, entre autre de favoriser l’adaptation des collaborateurs à leur poste de travail, à l’évolution des emplois, ainsi qu’à leur maintien dans l’emploi, et de participer au développement de leurs compétences.</w:t>
      </w:r>
    </w:p>
    <w:p>
      <w:pPr>
        <w:pStyle w:val="Paragraphedeliste"/>
        <w:rPr>
          <w:rFonts w:ascii="Vinci Sans" w:hAnsi="Vinci Sans" w:cs="Calibri"/>
          <w:bCs/>
        </w:rPr>
      </w:pPr>
      <w:r>
        <w:rPr>
          <w:rFonts w:cs="Calibri" w:ascii="Vinci Sans" w:hAnsi="Vinci Sans"/>
          <w:bCs/>
        </w:rPr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 xml:space="preserve">2-6 : Le partage de la valeur ajoutée </w:t>
      </w:r>
    </w:p>
    <w:p>
      <w:pPr>
        <w:pStyle w:val="NormalWeb"/>
        <w:spacing w:before="0" w:after="0"/>
        <w:ind w:left="993" w:hanging="0"/>
        <w:jc w:val="both"/>
        <w:rPr>
          <w:rFonts w:ascii="Vinci Sans" w:hAnsi="Vinci Sans" w:cs="Vinci Sans"/>
          <w:sz w:val="22"/>
          <w:szCs w:val="22"/>
        </w:rPr>
      </w:pPr>
      <w:r>
        <w:rPr>
          <w:rFonts w:cs="Vinci Sans" w:ascii="Vinci Sans" w:hAnsi="Vinci Sans"/>
          <w:sz w:val="22"/>
          <w:szCs w:val="22"/>
        </w:rPr>
        <w:t>Un accord d’intéressement a été signé le 11 juin 2021 concernant les années 2022 à 2024.</w:t>
      </w:r>
    </w:p>
    <w:p>
      <w:pPr>
        <w:pStyle w:val="NormalWeb"/>
        <w:spacing w:before="0" w:after="0"/>
        <w:ind w:left="993" w:hanging="0"/>
        <w:jc w:val="both"/>
        <w:rPr>
          <w:rFonts w:ascii="Vinci Sans" w:hAnsi="Vinci Sans" w:cs="Vinci Sans"/>
          <w:sz w:val="22"/>
          <w:szCs w:val="22"/>
        </w:rPr>
      </w:pPr>
      <w:r>
        <w:rPr>
          <w:rFonts w:cs="Vinci Sans" w:ascii="Vinci Sans" w:hAnsi="Vinci Sans"/>
          <w:sz w:val="22"/>
          <w:szCs w:val="22"/>
        </w:rPr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2-7 : Heures de délégation CSSCT :</w:t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Les parties sont attachées au maintien d’un dialogue social actif et de qualité. Elles sont donc convenues, en modification de l’accord « commission santé sécurité &amp; conditions de travail » signé le 21/2/2019, de fixer le contingent mensuel des heures de délégation à 4 h à partir de 2022.</w:t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/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/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2-8 : Œuvres sociales :</w:t>
      </w:r>
    </w:p>
    <w:p>
      <w:pPr>
        <w:pStyle w:val="NormalWeb"/>
        <w:tabs>
          <w:tab w:val="left" w:pos="993" w:leader="none"/>
        </w:tabs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Les parties sont convenues de passer la participation employeur aux œuvres sociales de 0.5% à 0.6% de la masse salariale à partir de 2022.</w:t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2-9 : Congé paternité :</w:t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L’entreprise s’engage à informer la CPAM des dates de congés paternités posées et validées par le responsable hiérarchique, dès le début de leur prise.</w:t>
      </w:r>
    </w:p>
    <w:p>
      <w:pPr>
        <w:pStyle w:val="NormalWeb"/>
        <w:ind w:left="708" w:hanging="0"/>
        <w:jc w:val="both"/>
        <w:rPr>
          <w:rStyle w:val="Tiartf"/>
          <w:rFonts w:ascii="Vinci Sans" w:hAnsi="Vinci Sans" w:cs="Arial"/>
          <w:b/>
          <w:b/>
          <w:bCs/>
          <w:sz w:val="22"/>
          <w:szCs w:val="22"/>
        </w:rPr>
      </w:pPr>
      <w:r>
        <w:rPr>
          <w:rStyle w:val="Tiartf"/>
          <w:rFonts w:cs="Arial" w:ascii="Vinci Sans" w:hAnsi="Vinci Sans"/>
          <w:b/>
          <w:bCs/>
          <w:sz w:val="22"/>
          <w:szCs w:val="22"/>
        </w:rPr>
        <w:t>2-10 : Déplacements :</w:t>
      </w:r>
    </w:p>
    <w:p>
      <w:pPr>
        <w:pStyle w:val="NormalWeb"/>
        <w:ind w:left="993" w:hanging="0"/>
        <w:jc w:val="both"/>
        <w:rPr/>
      </w:pPr>
      <w:r>
        <w:rPr>
          <w:rStyle w:val="Tiartf"/>
          <w:rFonts w:cs="Arial" w:ascii="Vinci Sans" w:hAnsi="Vinci Sans"/>
          <w:sz w:val="22"/>
          <w:szCs w:val="22"/>
        </w:rPr>
        <w:t>Les parties ont convenues d’étudier ce point plus tard dans l’année en même temps qu’une réflexion globale sur la mobilité et une réduction du bilan carbone de l’entreprise.</w:t>
      </w:r>
    </w:p>
    <w:p>
      <w:pPr>
        <w:pStyle w:val="NormalWeb"/>
        <w:ind w:left="993" w:hanging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A partir du 01/01/2022, les parties conviennent de la mise en place d’indemnité pour les déplacements professionnels hors IDF des ETAM :</w:t>
      </w:r>
    </w:p>
    <w:p>
      <w:pPr>
        <w:pStyle w:val="NormalWeb"/>
        <w:numPr>
          <w:ilvl w:val="1"/>
          <w:numId w:val="3"/>
        </w:numPr>
        <w:spacing w:before="280" w:after="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75€ pour le déplacement A/R s’il est réalisé en dehors du temps de travail et de trajets habituels,</w:t>
      </w:r>
    </w:p>
    <w:p>
      <w:pPr>
        <w:pStyle w:val="NormalWeb"/>
        <w:numPr>
          <w:ilvl w:val="1"/>
          <w:numId w:val="3"/>
        </w:numPr>
        <w:spacing w:before="0" w:after="280"/>
        <w:jc w:val="both"/>
        <w:rPr>
          <w:rStyle w:val="Tiartf"/>
          <w:rFonts w:ascii="Vinci Sans" w:hAnsi="Vinci Sans" w:cs="Arial"/>
          <w:sz w:val="22"/>
          <w:szCs w:val="22"/>
        </w:rPr>
      </w:pPr>
      <w:r>
        <w:rPr>
          <w:rStyle w:val="Tiartf"/>
          <w:rFonts w:cs="Arial" w:ascii="Vinci Sans" w:hAnsi="Vinci Sans"/>
          <w:sz w:val="22"/>
          <w:szCs w:val="22"/>
        </w:rPr>
        <w:t>50€/nuit et remboursement en frais réels (hôtel+petit déjeuner+repas du soir)</w:t>
      </w:r>
    </w:p>
    <w:p>
      <w:pPr>
        <w:pStyle w:val="NormalWeb"/>
        <w:spacing w:before="0" w:after="0"/>
        <w:ind w:left="993" w:hanging="0"/>
        <w:jc w:val="both"/>
        <w:rPr>
          <w:rStyle w:val="Tiartf"/>
          <w:rFonts w:ascii="Vinci Sans" w:hAnsi="Vinci Sans" w:cs="Vinci Sans"/>
          <w:sz w:val="22"/>
          <w:szCs w:val="22"/>
        </w:rPr>
      </w:pPr>
      <w:r>
        <w:rPr/>
      </w:r>
    </w:p>
    <w:p>
      <w:pPr>
        <w:pStyle w:val="NormalWeb"/>
        <w:spacing w:before="0" w:after="0"/>
        <w:ind w:left="993" w:hanging="0"/>
        <w:jc w:val="both"/>
        <w:rPr>
          <w:rFonts w:ascii="Vinci Sans" w:hAnsi="Vinci Sans" w:cs="Vinci Sans"/>
          <w:sz w:val="22"/>
          <w:szCs w:val="22"/>
        </w:rPr>
      </w:pPr>
      <w:r>
        <w:rPr>
          <w:rFonts w:cs="Vinci Sans" w:ascii="Vinci Sans" w:hAnsi="Vinci Sans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="280" w:after="280"/>
        <w:ind w:left="720" w:hanging="720"/>
        <w:jc w:val="both"/>
        <w:rPr>
          <w:rStyle w:val="Tiartf"/>
          <w:rFonts w:ascii="Vinci Sans" w:hAnsi="Vinci Sans" w:cs="Arial"/>
          <w:b/>
          <w:b/>
          <w:bCs/>
          <w:u w:val="single"/>
        </w:rPr>
      </w:pPr>
      <w:r>
        <w:rPr>
          <w:rStyle w:val="Tiartf"/>
          <w:rFonts w:cs="Arial" w:ascii="Vinci Sans" w:hAnsi="Vinci Sans"/>
          <w:b/>
          <w:bCs/>
          <w:u w:val="single"/>
        </w:rPr>
        <w:t>Durée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Le présent accord est conclu pour une durée déterminée de douze mois, correspondant à l'exercice social de l’entreprise, à savoir pour la période du 1er janvier au 31 décembre 2022.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À cette dernière date, il prendra fin automatiquement, sans se transformer en accord à durée indéterminée, en raison de l'obligation de négocier un nouvel accord et du rattachement des avantages ci-après aux objectifs économiques de la période pendant laquelle il produira effet.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 xml:space="preserve">Seules les mesures pour lesquelles il a été précisé le caractère pérenne ou indéterminé dans le présent accord continueront de produire leurs effets au-delà du 31 décembre 2022. </w:t>
      </w:r>
    </w:p>
    <w:p>
      <w:pPr>
        <w:pStyle w:val="Normal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ascii="Calibri" w:hAnsi="Calibri"/>
          <w:color w:val="FF0000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="280" w:after="280"/>
        <w:ind w:left="720" w:hanging="720"/>
        <w:jc w:val="both"/>
        <w:rPr>
          <w:rStyle w:val="Tiartf"/>
          <w:rFonts w:ascii="Vinci Sans" w:hAnsi="Vinci Sans" w:cs="Arial"/>
          <w:b/>
          <w:b/>
          <w:bCs/>
          <w:u w:val="single"/>
        </w:rPr>
      </w:pPr>
      <w:r>
        <w:rPr>
          <w:rStyle w:val="Tiartf"/>
          <w:rFonts w:cs="Arial" w:ascii="Vinci Sans" w:hAnsi="Vinci Sans"/>
          <w:b/>
          <w:bCs/>
          <w:u w:val="single"/>
        </w:rPr>
        <w:t>Modification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Les modifications du présent accord sont effectuées par accord collectif.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L'avenant modifiant l'accord fera l'objet d'un dépôt à la Direction régionale des Entreprises, de la Concurrence, de la Consommation, du Travail et de l’Emploi (DIRECCTE).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Le présent accord ayant été conclu en application des dispositions de droit commun, toute modification de ces dispositions ultérieures à la signature du présent accord se substituera de plein droit à celles du présent accord, devenues non conformes.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Web"/>
        <w:numPr>
          <w:ilvl w:val="0"/>
          <w:numId w:val="2"/>
        </w:numPr>
        <w:spacing w:before="280" w:after="280"/>
        <w:ind w:left="720" w:hanging="720"/>
        <w:jc w:val="both"/>
        <w:rPr>
          <w:rStyle w:val="Tiartf"/>
          <w:rFonts w:ascii="Vinci Sans" w:hAnsi="Vinci Sans" w:cs="Arial"/>
          <w:b/>
          <w:b/>
          <w:bCs/>
          <w:u w:val="single"/>
        </w:rPr>
      </w:pPr>
      <w:r>
        <w:rPr>
          <w:rStyle w:val="Tiartf"/>
          <w:rFonts w:cs="Arial" w:ascii="Vinci Sans" w:hAnsi="Vinci Sans"/>
          <w:b/>
          <w:bCs/>
          <w:u w:val="single"/>
        </w:rPr>
        <w:t>Dépôt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>L’Entreprise notifiera le texte du présent accord à l’organisation représentative à l'issue de la procédure de signature, puis le déposera à la DIRECCTE compétente sur la plateforme Télé Accords et au secrétariat du greffe du conseil de Prud'hommes compétent en un exemplaire.</w:t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</w:r>
    </w:p>
    <w:p>
      <w:pPr>
        <w:pStyle w:val="Normal"/>
        <w:ind w:left="709" w:hanging="0"/>
        <w:jc w:val="both"/>
        <w:rPr>
          <w:rFonts w:ascii="Vinci Sans" w:hAnsi="Vinci Sans" w:cs="Calibri"/>
          <w:sz w:val="22"/>
          <w:szCs w:val="22"/>
        </w:rPr>
      </w:pPr>
      <w:r>
        <w:rPr>
          <w:rFonts w:cs="Calibri" w:ascii="Vinci Sans" w:hAnsi="Vinci Sans"/>
          <w:sz w:val="22"/>
          <w:szCs w:val="22"/>
        </w:rPr>
        <w:t xml:space="preserve">Les salariés seront informés par mail et voie d’affichage. </w:t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  <w:t>Fait à Nanterre, le 11/01/2022</w:t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sz w:val="22"/>
          <w:szCs w:val="22"/>
        </w:rPr>
      </w:r>
    </w:p>
    <w:p>
      <w:pPr>
        <w:pStyle w:val="Textecontrat"/>
        <w:spacing w:before="0" w:after="0"/>
        <w:ind w:left="0" w:right="-426" w:hanging="0"/>
        <w:jc w:val="left"/>
        <w:rPr>
          <w:rFonts w:ascii="Vinci Sans" w:hAnsi="Vinci Sans" w:cs="Arial"/>
          <w:b/>
          <w:b/>
          <w:bCs/>
          <w:sz w:val="22"/>
          <w:szCs w:val="22"/>
        </w:rPr>
      </w:pPr>
      <w:r>
        <w:rPr>
          <w:rFonts w:cs="Arial" w:ascii="Vinci Sans" w:hAnsi="Vinci Sans"/>
          <w:b/>
          <w:bCs/>
          <w:sz w:val="22"/>
          <w:szCs w:val="22"/>
          <w:u w:val="single"/>
        </w:rPr>
        <w:t>Pour l’entreprise</w:t>
      </w:r>
      <w:r>
        <w:rPr>
          <w:rFonts w:cs="Arial" w:ascii="Vinci Sans" w:hAnsi="Vinci Sans"/>
          <w:b/>
          <w:bCs/>
          <w:sz w:val="22"/>
          <w:szCs w:val="22"/>
        </w:rPr>
        <w:t> : xxxxxxxx en sa qualité de Président</w:t>
      </w:r>
    </w:p>
    <w:p>
      <w:pPr>
        <w:pStyle w:val="Textecontrat"/>
        <w:spacing w:before="0" w:after="0"/>
        <w:ind w:left="0" w:right="-426" w:hanging="0"/>
        <w:jc w:val="left"/>
        <w:rPr>
          <w:rFonts w:ascii="Vinci Sans" w:hAnsi="Vinci Sans" w:cs="Arial"/>
          <w:b/>
          <w:b/>
          <w:bCs/>
          <w:sz w:val="22"/>
          <w:szCs w:val="22"/>
        </w:rPr>
      </w:pPr>
      <w:r>
        <w:rPr>
          <w:rFonts w:cs="Arial" w:ascii="Vinci Sans" w:hAnsi="Vinci Sans"/>
          <w:b/>
          <w:bCs/>
          <w:sz w:val="22"/>
          <w:szCs w:val="22"/>
        </w:rPr>
      </w:r>
    </w:p>
    <w:p>
      <w:pPr>
        <w:pStyle w:val="Textecontrat"/>
        <w:spacing w:before="0" w:after="0"/>
        <w:ind w:left="0" w:right="227" w:hanging="0"/>
        <w:jc w:val="left"/>
        <w:rPr>
          <w:rFonts w:ascii="Vinci Sans" w:hAnsi="Vinci Sans" w:cs="Arial"/>
          <w:b/>
          <w:b/>
          <w:bCs/>
          <w:sz w:val="22"/>
          <w:szCs w:val="22"/>
        </w:rPr>
      </w:pPr>
      <w:r>
        <w:rPr>
          <w:rFonts w:cs="Arial" w:ascii="Vinci Sans" w:hAnsi="Vinci Sans"/>
          <w:b/>
          <w:bCs/>
          <w:sz w:val="22"/>
          <w:szCs w:val="22"/>
        </w:rPr>
      </w:r>
    </w:p>
    <w:p>
      <w:pPr>
        <w:pStyle w:val="NormalWeb"/>
        <w:spacing w:before="0" w:after="0"/>
        <w:jc w:val="both"/>
        <w:rPr>
          <w:rFonts w:ascii="Vinci Sans" w:hAnsi="Vinci Sans" w:cs="Arial"/>
          <w:sz w:val="22"/>
          <w:szCs w:val="22"/>
        </w:rPr>
      </w:pPr>
      <w:r>
        <w:rPr>
          <w:rFonts w:cs="Arial" w:ascii="Vinci Sans" w:hAnsi="Vinci Sans"/>
          <w:b/>
          <w:bCs/>
          <w:sz w:val="22"/>
          <w:szCs w:val="22"/>
          <w:u w:val="single"/>
        </w:rPr>
        <w:t>Pour la C.F.T.C.</w:t>
      </w:r>
      <w:r>
        <w:rPr>
          <w:rFonts w:cs="Arial" w:ascii="Vinci Sans" w:hAnsi="Vinci Sans"/>
          <w:b/>
          <w:bCs/>
          <w:sz w:val="22"/>
          <w:szCs w:val="22"/>
        </w:rPr>
        <w:t> : xxxxxx – en sa qualité de Délégué Syndical</w:t>
      </w:r>
      <w:r>
        <w:rPr>
          <w:rFonts w:cs="Arial" w:ascii="Verdana" w:hAnsi="Verdana"/>
          <w:sz w:val="17"/>
          <w:szCs w:val="17"/>
          <w:lang w:eastAsia="ar-SA"/>
        </w:rPr>
        <w:tab/>
      </w:r>
    </w:p>
    <w:sectPr>
      <w:type w:val="nextPage"/>
      <w:pgSz w:w="11906" w:h="16838"/>
      <w:pgMar w:left="1417" w:right="1274" w:header="0" w:top="567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inci Sans">
    <w:charset w:val="00"/>
    <w:family w:val="modern"/>
    <w:pitch w:val="variable"/>
  </w:font>
  <w:font w:name="Liberation Sans">
    <w:altName w:val="Arial"/>
    <w:charset w:val="01"/>
    <w:family w:val="swiss"/>
    <w:pitch w:val="variable"/>
  </w:font>
  <w:font w:name="Arial Unicode MS"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Lucida Sans Unicode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708"/>
        </w:tabs>
        <w:ind w:left="720" w:hanging="360"/>
      </w:pPr>
      <w:rPr>
        <w:u w:val="none"/>
        <w:b/>
        <w:rFonts w:cs="Vinci Sans"/>
      </w:rPr>
    </w:lvl>
  </w:abstractNum>
  <w:abstractNum w:abstractNumId="3">
    <w:lvl w:ilvl="0">
      <w:start w:val="6"/>
      <w:numFmt w:val="bullet"/>
      <w:lvlText w:val="-"/>
      <w:lvlJc w:val="left"/>
      <w:pPr>
        <w:ind w:left="720" w:hanging="360"/>
      </w:pPr>
      <w:rPr>
        <w:rFonts w:ascii="Vinci Sans" w:hAnsi="Vinci Sans" w:cs="Vinci San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0" w:after="240"/>
      <w:outlineLvl w:val="0"/>
    </w:pPr>
    <w:rPr>
      <w:rFonts w:ascii="Arial" w:hAnsi="Arial" w:cs="Arial"/>
      <w:b/>
      <w:bCs/>
      <w:sz w:val="17"/>
      <w:szCs w:val="17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cs="Vinci Sans"/>
      <w:b/>
      <w:u w:val="non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Arial" w:hAnsi="Arial" w:eastAsia="Arial Unicode MS" w:cs="Aria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Arial" w:hAnsi="Arial" w:eastAsia="Arial Unicode MS" w:cs="Aria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Vinci Sans" w:hAnsi="Vinci Sans" w:eastAsia="Times New Roman" w:cs="Arial"/>
    </w:rPr>
  </w:style>
  <w:style w:type="character" w:styleId="WW8Num10z1">
    <w:name w:val="WW8Num10z1"/>
    <w:qFormat/>
    <w:rPr>
      <w:rFonts w:ascii="Courier New" w:hAnsi="Courier New" w:cs="Courier New"/>
      <w:sz w:val="22"/>
      <w:szCs w:val="22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Arial" w:hAnsi="Arial" w:eastAsia="Arial Unicode MS" w:cs="Aria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InternetLink">
    <w:name w:val="Internet Link"/>
    <w:rPr>
      <w:rFonts w:ascii="Arial" w:hAnsi="Arial" w:cs="Arial"/>
      <w:b w:val="false"/>
      <w:bCs w:val="false"/>
      <w:color w:val="000000"/>
      <w:sz w:val="17"/>
      <w:szCs w:val="17"/>
      <w:u w:val="single"/>
    </w:rPr>
  </w:style>
  <w:style w:type="character" w:styleId="Letif">
    <w:name w:val="letif"/>
    <w:basedOn w:val="Policepardfaut"/>
    <w:qFormat/>
    <w:rPr/>
  </w:style>
  <w:style w:type="character" w:styleId="Tiartf">
    <w:name w:val="tiartf"/>
    <w:basedOn w:val="Policepardfaut"/>
    <w:qFormat/>
    <w:rPr/>
  </w:style>
  <w:style w:type="character" w:styleId="Cmt2">
    <w:name w:val="cmt2"/>
    <w:basedOn w:val="Policepardfaut"/>
    <w:qFormat/>
    <w:rPr/>
  </w:style>
  <w:style w:type="character" w:styleId="Ticmt">
    <w:name w:val="ticmt"/>
    <w:basedOn w:val="Policepardfaut"/>
    <w:qFormat/>
    <w:rPr/>
  </w:style>
  <w:style w:type="character" w:styleId="Tiartf2">
    <w:name w:val="tiartf2"/>
    <w:basedOn w:val="Policepardfaut"/>
    <w:qFormat/>
    <w:rPr/>
  </w:style>
  <w:style w:type="character" w:styleId="Rouge">
    <w:name w:val="rouge"/>
    <w:basedOn w:val="Policepardfaut"/>
    <w:qFormat/>
    <w:rPr/>
  </w:style>
  <w:style w:type="character" w:styleId="Tivar">
    <w:name w:val="tivar"/>
    <w:basedOn w:val="Policepardfaut"/>
    <w:qFormat/>
    <w:rPr/>
  </w:style>
  <w:style w:type="character" w:styleId="Cmt1">
    <w:name w:val="cmt1"/>
    <w:basedOn w:val="Policepardfaut"/>
    <w:qFormat/>
    <w:rPr/>
  </w:style>
  <w:style w:type="character" w:styleId="CorpsdetexteCar">
    <w:name w:val="Corps de texte Car"/>
    <w:qFormat/>
    <w:rPr>
      <w:sz w:val="26"/>
      <w:szCs w:val="24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basedOn w:val="Policepardfaut"/>
    <w:qFormat/>
    <w:rPr/>
  </w:style>
  <w:style w:type="character" w:styleId="ObjetducommentaireCar">
    <w:name w:val="Objet du commentaire Car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overflowPunct w:val="false"/>
      <w:autoSpaceDE w:val="false"/>
      <w:jc w:val="both"/>
    </w:pPr>
    <w:rPr>
      <w:sz w:val="26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  <w:color w:val="000000"/>
    </w:rPr>
  </w:style>
  <w:style w:type="paragraph" w:styleId="Var1">
    <w:name w:val="var1"/>
    <w:basedOn w:val="Normal"/>
    <w:qFormat/>
    <w:pPr>
      <w:spacing w:before="280" w:after="280"/>
    </w:pPr>
    <w:rPr>
      <w:rFonts w:ascii="Arial Unicode MS" w:hAnsi="Arial Unicode MS" w:eastAsia="Arial Unicode MS" w:cs="Arial Unicode MS"/>
      <w:color w:val="000000"/>
    </w:rPr>
  </w:style>
  <w:style w:type="paragraph" w:styleId="Expdt">
    <w:name w:val="expdt"/>
    <w:basedOn w:val="Normal"/>
    <w:qFormat/>
    <w:pPr>
      <w:spacing w:before="280" w:after="280"/>
    </w:pPr>
    <w:rPr>
      <w:rFonts w:ascii="Arial Unicode MS" w:hAnsi="Arial Unicode MS" w:eastAsia="Arial Unicode MS" w:cs="Arial Unicode MS"/>
      <w:color w:val="000000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spacing w:before="0" w:after="0"/>
      <w:ind w:left="720" w:hanging="0"/>
      <w:contextualSpacing/>
      <w:jc w:val="both"/>
    </w:pPr>
    <w:rPr>
      <w:rFonts w:ascii="Calibri" w:hAnsi="Calibri" w:eastAsia="Calibri" w:cs="Calibri"/>
      <w:sz w:val="22"/>
      <w:szCs w:val="22"/>
    </w:rPr>
  </w:style>
  <w:style w:type="paragraph" w:styleId="Textecontrat">
    <w:name w:val="Texte contrat"/>
    <w:basedOn w:val="Normal"/>
    <w:qFormat/>
    <w:pPr>
      <w:spacing w:before="20" w:after="40"/>
      <w:ind w:left="510" w:right="227" w:hanging="0"/>
      <w:jc w:val="both"/>
    </w:pPr>
    <w:rPr>
      <w:rFonts w:ascii="Lucida Sans Unicode" w:hAnsi="Lucida Sans Unicode" w:cs="Lucida Sans Unicode"/>
      <w:sz w:val="20"/>
      <w:szCs w:val="20"/>
    </w:rPr>
  </w:style>
  <w:style w:type="paragraph" w:styleId="Commentaire">
    <w:name w:val="Commentaire"/>
    <w:basedOn w:val="Normal"/>
    <w:qFormat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2022-01-25T08:49:00Z</dcterms:created>
  <dc:creator/>
  <dc:description/>
  <dc:language>en-GB</dc:language>
  <cp:lastModifiedBy/>
  <cp:lastPrinted>2017-12-14T10:13:00Z</cp:lastPrinted>
  <dcterms:modified xsi:type="dcterms:W3CDTF">2022-01-25T09:00:00Z</dcterms:modified>
  <cp:revision>3</cp:revision>
  <dc:subject/>
  <dc:title>Schéma d'accord annuel sur les salaires et la durée du travail</dc:title>
</cp:coreProperties>
</file>