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06261E0" w14:textId="77777777" w:rsidP="00C90708" w:rsidR="00C90708" w:rsidRDefault="00B52152" w:rsidRPr="00E2675B">
      <w:pPr>
        <w:pStyle w:val="texte"/>
        <w:jc w:val="center"/>
        <w:rPr>
          <w:rFonts w:ascii="Tahoma" w:cs="Tahoma" w:hAnsi="Tahoma"/>
          <w:b/>
          <w:sz w:val="20"/>
        </w:rPr>
      </w:pPr>
      <w:r w:rsidRPr="00E2675B">
        <w:rPr>
          <w:rFonts w:ascii="Tahoma" w:cs="Tahoma" w:hAnsi="Tahoma"/>
          <w:b/>
          <w:sz w:val="20"/>
        </w:rPr>
        <w:t>ACCORD RELATIF AUX THEMES</w:t>
      </w:r>
    </w:p>
    <w:p w14:paraId="6951A30B" w14:textId="77777777" w:rsidP="00C90708" w:rsidR="00C90708" w:rsidRDefault="00B52152" w:rsidRPr="00E2675B">
      <w:pPr>
        <w:pStyle w:val="texte"/>
        <w:jc w:val="center"/>
        <w:rPr>
          <w:rFonts w:ascii="Tahoma" w:cs="Tahoma" w:hAnsi="Tahoma"/>
          <w:b/>
          <w:sz w:val="20"/>
        </w:rPr>
      </w:pPr>
      <w:r w:rsidRPr="00E2675B">
        <w:rPr>
          <w:rFonts w:ascii="Tahoma" w:cs="Tahoma" w:hAnsi="Tahoma"/>
          <w:b/>
          <w:sz w:val="20"/>
        </w:rPr>
        <w:t>DE LA NEGOCIATION ANNUELLE OBLIGATOIRE</w:t>
      </w:r>
    </w:p>
    <w:p w14:paraId="32EC1ACB" w14:textId="77777777" w:rsidP="00C90708" w:rsidR="00D46F85" w:rsidRDefault="00E636CC">
      <w:pPr>
        <w:pStyle w:val="texte"/>
        <w:jc w:val="center"/>
        <w:rPr>
          <w:rFonts w:ascii="Tahoma" w:cs="Tahoma" w:hAnsi="Tahoma"/>
          <w:b/>
          <w:sz w:val="20"/>
        </w:rPr>
      </w:pPr>
      <w:r w:rsidRPr="00E2675B">
        <w:rPr>
          <w:rFonts w:ascii="Tahoma" w:cs="Tahoma" w:hAnsi="Tahoma"/>
          <w:b/>
          <w:sz w:val="20"/>
        </w:rPr>
        <w:t>POUR L’EXERCICE 20</w:t>
      </w:r>
      <w:r w:rsidR="004E00C9" w:rsidRPr="00E2675B">
        <w:rPr>
          <w:rFonts w:ascii="Tahoma" w:cs="Tahoma" w:hAnsi="Tahoma"/>
          <w:b/>
          <w:sz w:val="20"/>
        </w:rPr>
        <w:t>2</w:t>
      </w:r>
      <w:r w:rsidR="004B271E" w:rsidRPr="00E2675B">
        <w:rPr>
          <w:rFonts w:ascii="Tahoma" w:cs="Tahoma" w:hAnsi="Tahoma"/>
          <w:b/>
          <w:sz w:val="20"/>
        </w:rPr>
        <w:t>2</w:t>
      </w:r>
      <w:r w:rsidR="00D46F85">
        <w:rPr>
          <w:rFonts w:ascii="Tahoma" w:cs="Tahoma" w:hAnsi="Tahoma"/>
          <w:b/>
          <w:sz w:val="20"/>
        </w:rPr>
        <w:t xml:space="preserve"> </w:t>
      </w:r>
    </w:p>
    <w:p w14:paraId="7BE8C093" w14:textId="28893612" w:rsidP="00C90708" w:rsidR="00A83E3A" w:rsidRDefault="00D46F85" w:rsidRPr="00E2675B">
      <w:pPr>
        <w:pStyle w:val="texte"/>
        <w:jc w:val="center"/>
        <w:rPr>
          <w:rFonts w:ascii="Tahoma" w:cs="Tahoma" w:hAnsi="Tahoma"/>
          <w:b/>
          <w:sz w:val="20"/>
        </w:rPr>
      </w:pPr>
      <w:r>
        <w:rPr>
          <w:rFonts w:ascii="Tahoma" w:cs="Tahoma" w:hAnsi="Tahoma"/>
          <w:b/>
          <w:sz w:val="20"/>
        </w:rPr>
        <w:t>SUITE A MISE EN APPLICATION DE LA CLAUSE DE REVOYURE</w:t>
      </w:r>
    </w:p>
    <w:p w14:paraId="2B30B09A" w14:textId="77777777" w:rsidP="00A83E3A" w:rsidR="00A83E3A" w:rsidRDefault="00A83E3A" w:rsidRPr="00E2675B">
      <w:pPr>
        <w:pStyle w:val="texte"/>
        <w:rPr>
          <w:rFonts w:ascii="Tahoma" w:cs="Tahoma" w:hAnsi="Tahoma"/>
          <w:sz w:val="20"/>
        </w:rPr>
      </w:pPr>
    </w:p>
    <w:p w14:paraId="05F3DEB0" w14:textId="77777777" w:rsidP="00A83E3A" w:rsidR="00F349FA" w:rsidRDefault="00F349FA" w:rsidRPr="00E2675B">
      <w:pPr>
        <w:pStyle w:val="texte"/>
        <w:rPr>
          <w:rFonts w:ascii="Tahoma" w:cs="Tahoma" w:hAnsi="Tahoma"/>
          <w:sz w:val="20"/>
        </w:rPr>
      </w:pPr>
    </w:p>
    <w:p w14:paraId="77B2B823" w14:textId="77777777" w:rsidP="00A83E3A" w:rsidR="001E3A5E" w:rsidRDefault="001E3A5E" w:rsidRPr="00E2675B">
      <w:pPr>
        <w:pStyle w:val="texte"/>
        <w:rPr>
          <w:rFonts w:ascii="Tahoma" w:cs="Tahoma" w:hAnsi="Tahoma"/>
          <w:sz w:val="20"/>
        </w:rPr>
      </w:pPr>
    </w:p>
    <w:p w14:paraId="1E4F0B61" w14:textId="77777777" w:rsidP="00A83E3A" w:rsidR="00F349FA" w:rsidRDefault="00F349FA" w:rsidRPr="00E2675B">
      <w:pPr>
        <w:pStyle w:val="texte"/>
        <w:rPr>
          <w:rFonts w:ascii="Tahoma" w:cs="Tahoma" w:hAnsi="Tahoma"/>
          <w:sz w:val="20"/>
        </w:rPr>
      </w:pPr>
    </w:p>
    <w:p w14:paraId="59745B08" w14:textId="77777777" w:rsidP="00A83E3A" w:rsidR="00A83E3A" w:rsidRDefault="00A83E3A" w:rsidRPr="00E2675B">
      <w:pPr>
        <w:pStyle w:val="texte"/>
        <w:rPr>
          <w:rFonts w:ascii="Tahoma" w:cs="Tahoma" w:hAnsi="Tahoma"/>
          <w:sz w:val="20"/>
        </w:rPr>
      </w:pPr>
      <w:r w:rsidRPr="00E2675B">
        <w:rPr>
          <w:rFonts w:ascii="Tahoma" w:cs="Tahoma" w:hAnsi="Tahoma"/>
          <w:b/>
          <w:bCs/>
          <w:sz w:val="20"/>
        </w:rPr>
        <w:t>Entre</w:t>
      </w:r>
      <w:r w:rsidRPr="00E2675B">
        <w:rPr>
          <w:rFonts w:ascii="Tahoma" w:cs="Tahoma" w:hAnsi="Tahoma"/>
          <w:sz w:val="20"/>
        </w:rPr>
        <w:t xml:space="preserve"> :</w:t>
      </w:r>
    </w:p>
    <w:p w14:paraId="5FD53718" w14:textId="0E2FA314" w:rsidP="0056630C" w:rsidR="00A83E3A" w:rsidRDefault="002B0DDB" w:rsidRPr="00E2675B">
      <w:pPr>
        <w:pStyle w:val="texte"/>
        <w:spacing w:before="120"/>
        <w:rPr>
          <w:rFonts w:ascii="Tahoma" w:cs="Tahoma" w:hAnsi="Tahoma"/>
          <w:sz w:val="20"/>
        </w:rPr>
      </w:pPr>
      <w:r w:rsidRPr="00E2675B">
        <w:rPr>
          <w:rFonts w:ascii="Tahoma" w:cs="Tahoma" w:hAnsi="Tahoma"/>
          <w:sz w:val="20"/>
        </w:rPr>
        <w:t xml:space="preserve">La société INEO, S.A., société tête de l’UES ENGIE Ineo, au capital de 106 637 716,80 EUROS, immatriculée au RCS de Nanterre sous le numéro B 552 108 797, dont le siège social est situé </w:t>
      </w:r>
      <w:r w:rsidR="002A6524" w:rsidRPr="00E2675B">
        <w:rPr>
          <w:rFonts w:ascii="Tahoma" w:cs="Tahoma" w:hAnsi="Tahoma"/>
          <w:sz w:val="20"/>
        </w:rPr>
        <w:t>Faubourg de l’Arche, 1, place Samuel de Champlain – 92930 Paris La Défense</w:t>
      </w:r>
      <w:r w:rsidRPr="00E2675B">
        <w:rPr>
          <w:rFonts w:ascii="Tahoma" w:cs="Tahoma" w:hAnsi="Tahoma"/>
          <w:sz w:val="20"/>
        </w:rPr>
        <w:t>, représentée par Directeur des Ressources Humaines, dûment habilité aux fins des présentes par l’ensemble des mandataires sociaux des sociétés composant l’UES</w:t>
      </w:r>
      <w:r w:rsidR="002A6524" w:rsidRPr="00E2675B">
        <w:rPr>
          <w:rFonts w:ascii="Tahoma" w:cs="Tahoma" w:hAnsi="Tahoma"/>
          <w:sz w:val="20"/>
        </w:rPr>
        <w:t xml:space="preserve"> ENGIE Ineo</w:t>
      </w:r>
      <w:r w:rsidR="003A3E6D" w:rsidRPr="00E2675B">
        <w:rPr>
          <w:rFonts w:ascii="Tahoma" w:cs="Tahoma" w:hAnsi="Tahoma"/>
          <w:sz w:val="20"/>
        </w:rPr>
        <w:t>,</w:t>
      </w:r>
    </w:p>
    <w:p w14:paraId="11AF70DC" w14:textId="77777777" w:rsidP="00A83E3A" w:rsidR="00A83E3A" w:rsidRDefault="00A83E3A" w:rsidRPr="00E2675B">
      <w:pPr>
        <w:pStyle w:val="texte"/>
        <w:rPr>
          <w:rFonts w:ascii="Tahoma" w:cs="Tahoma" w:hAnsi="Tahoma"/>
          <w:sz w:val="20"/>
        </w:rPr>
      </w:pPr>
    </w:p>
    <w:p w14:paraId="128952EF" w14:textId="77777777" w:rsidP="00A83E3A" w:rsidR="00A83E3A" w:rsidRDefault="00A83E3A" w:rsidRPr="00E2675B">
      <w:pPr>
        <w:pStyle w:val="texte"/>
        <w:jc w:val="right"/>
        <w:rPr>
          <w:rFonts w:ascii="Tahoma" w:cs="Tahoma" w:hAnsi="Tahoma"/>
          <w:b/>
          <w:bCs/>
          <w:sz w:val="20"/>
        </w:rPr>
      </w:pPr>
      <w:r w:rsidRPr="00E2675B">
        <w:rPr>
          <w:rFonts w:ascii="Tahoma" w:cs="Tahoma" w:hAnsi="Tahoma"/>
          <w:b/>
          <w:bCs/>
          <w:sz w:val="20"/>
        </w:rPr>
        <w:t>D'une part</w:t>
      </w:r>
    </w:p>
    <w:p w14:paraId="393F5857" w14:textId="77777777" w:rsidP="00A83E3A" w:rsidR="00A83E3A" w:rsidRDefault="00A83E3A" w:rsidRPr="00E2675B">
      <w:pPr>
        <w:pStyle w:val="texte"/>
        <w:rPr>
          <w:rFonts w:ascii="Tahoma" w:cs="Tahoma" w:hAnsi="Tahoma"/>
          <w:sz w:val="20"/>
        </w:rPr>
      </w:pPr>
    </w:p>
    <w:p w14:paraId="4E2CE050" w14:textId="77777777" w:rsidP="00A83E3A" w:rsidR="001E3A5E" w:rsidRDefault="001E3A5E" w:rsidRPr="00E2675B">
      <w:pPr>
        <w:pStyle w:val="texte"/>
        <w:rPr>
          <w:rFonts w:ascii="Tahoma" w:cs="Tahoma" w:hAnsi="Tahoma"/>
          <w:sz w:val="20"/>
        </w:rPr>
      </w:pPr>
    </w:p>
    <w:p w14:paraId="2AA64DAE" w14:textId="77777777" w:rsidP="00A83E3A" w:rsidR="00A83E3A" w:rsidRDefault="00A83E3A" w:rsidRPr="00E2675B">
      <w:pPr>
        <w:pStyle w:val="texte"/>
        <w:rPr>
          <w:rFonts w:ascii="Tahoma" w:cs="Tahoma" w:hAnsi="Tahoma"/>
          <w:sz w:val="20"/>
        </w:rPr>
      </w:pPr>
      <w:r w:rsidRPr="00E2675B">
        <w:rPr>
          <w:rFonts w:ascii="Tahoma" w:cs="Tahoma" w:hAnsi="Tahoma"/>
          <w:b/>
          <w:bCs/>
          <w:sz w:val="20"/>
        </w:rPr>
        <w:t>Et</w:t>
      </w:r>
    </w:p>
    <w:p w14:paraId="48FEE646" w14:textId="548FF701" w:rsidP="002B0DDB" w:rsidR="002B0DDB" w:rsidRDefault="002B0DDB" w:rsidRPr="00E2675B">
      <w:pPr>
        <w:pStyle w:val="texte"/>
        <w:spacing w:before="120"/>
        <w:rPr>
          <w:rFonts w:ascii="Tahoma" w:cs="Tahoma" w:hAnsi="Tahoma"/>
          <w:sz w:val="20"/>
        </w:rPr>
      </w:pPr>
      <w:r w:rsidRPr="00E2675B">
        <w:rPr>
          <w:rFonts w:ascii="Tahoma" w:cs="Tahoma" w:hAnsi="Tahoma"/>
          <w:sz w:val="20"/>
        </w:rPr>
        <w:t xml:space="preserve">L'organisation syndicale C.F.D.T., représentée par ses délégués syndicaux centraux </w:t>
      </w:r>
    </w:p>
    <w:p w14:paraId="07AE120A" w14:textId="3203B8CE" w:rsidP="00917C2B" w:rsidR="00917C2B" w:rsidRDefault="002B0DDB">
      <w:pPr>
        <w:pStyle w:val="texte"/>
        <w:spacing w:before="120"/>
        <w:rPr>
          <w:rFonts w:ascii="Tahoma" w:cs="Tahoma" w:hAnsi="Tahoma"/>
          <w:sz w:val="20"/>
        </w:rPr>
      </w:pPr>
      <w:r w:rsidRPr="00E2675B">
        <w:rPr>
          <w:rFonts w:ascii="Tahoma" w:cs="Tahoma" w:hAnsi="Tahoma"/>
          <w:sz w:val="20"/>
        </w:rPr>
        <w:t xml:space="preserve">L'organisation syndicale C.F.E.-C.G.C., représentée par ses délégués syndicaux centraux </w:t>
      </w:r>
    </w:p>
    <w:p w14:paraId="6C157CD2" w14:textId="53D58FB3" w:rsidP="00917C2B" w:rsidR="00917C2B" w:rsidRDefault="00917C2B" w:rsidRPr="00E2675B">
      <w:pPr>
        <w:pStyle w:val="texte"/>
        <w:spacing w:before="120"/>
        <w:rPr>
          <w:rFonts w:ascii="Tahoma" w:cs="Tahoma" w:hAnsi="Tahoma"/>
          <w:sz w:val="20"/>
        </w:rPr>
      </w:pPr>
      <w:r w:rsidRPr="00E2675B">
        <w:rPr>
          <w:rFonts w:ascii="Tahoma" w:cs="Tahoma" w:hAnsi="Tahoma"/>
          <w:sz w:val="20"/>
        </w:rPr>
        <w:t xml:space="preserve">L'organisation syndicale C.F.T.C., représentée par ses délégués syndicaux centraux </w:t>
      </w:r>
    </w:p>
    <w:p w14:paraId="297DD277" w14:textId="42F6B033" w:rsidP="002B0DDB" w:rsidR="002B0DDB" w:rsidRDefault="002B0DDB" w:rsidRPr="00E2675B">
      <w:pPr>
        <w:pStyle w:val="texte"/>
        <w:spacing w:before="120"/>
        <w:rPr>
          <w:rFonts w:ascii="Tahoma" w:cs="Tahoma" w:hAnsi="Tahoma"/>
          <w:sz w:val="20"/>
        </w:rPr>
      </w:pPr>
      <w:r w:rsidRPr="00E2675B">
        <w:rPr>
          <w:rFonts w:ascii="Tahoma" w:cs="Tahoma" w:hAnsi="Tahoma"/>
          <w:sz w:val="20"/>
        </w:rPr>
        <w:t xml:space="preserve">L'organisation syndicale C.G.T., représentée par ses délégués syndicaux centraux </w:t>
      </w:r>
    </w:p>
    <w:p w14:paraId="5AFFE06B" w14:textId="77777777" w:rsidP="00A83E3A" w:rsidR="00A83E3A" w:rsidRDefault="00A83E3A" w:rsidRPr="00E2675B">
      <w:pPr>
        <w:pStyle w:val="texte"/>
        <w:rPr>
          <w:rFonts w:ascii="Tahoma" w:cs="Tahoma" w:hAnsi="Tahoma"/>
          <w:sz w:val="20"/>
        </w:rPr>
      </w:pPr>
    </w:p>
    <w:p w14:paraId="255143C3" w14:textId="77777777" w:rsidP="00A83E3A" w:rsidR="00A83E3A" w:rsidRDefault="00A83E3A" w:rsidRPr="00E2675B">
      <w:pPr>
        <w:pStyle w:val="texte"/>
        <w:jc w:val="right"/>
        <w:rPr>
          <w:rFonts w:ascii="Tahoma" w:cs="Tahoma" w:hAnsi="Tahoma"/>
          <w:b/>
          <w:bCs/>
          <w:sz w:val="20"/>
        </w:rPr>
      </w:pPr>
      <w:r w:rsidRPr="00E2675B">
        <w:rPr>
          <w:rFonts w:ascii="Tahoma" w:cs="Tahoma" w:hAnsi="Tahoma"/>
          <w:b/>
          <w:bCs/>
          <w:sz w:val="20"/>
        </w:rPr>
        <w:t>D'autre part</w:t>
      </w:r>
    </w:p>
    <w:p w14:paraId="39A14FFB" w14:textId="77777777" w:rsidP="0056630C" w:rsidR="00A83E3A" w:rsidRDefault="00A83E3A" w:rsidRPr="00E2675B">
      <w:pPr>
        <w:pStyle w:val="texte"/>
        <w:spacing w:before="120"/>
        <w:rPr>
          <w:rFonts w:ascii="Tahoma" w:cs="Tahoma" w:hAnsi="Tahoma"/>
          <w:sz w:val="20"/>
        </w:rPr>
      </w:pPr>
      <w:r w:rsidRPr="00E2675B">
        <w:rPr>
          <w:rFonts w:ascii="Tahoma" w:cs="Tahoma" w:hAnsi="Tahoma"/>
          <w:sz w:val="20"/>
        </w:rPr>
        <w:t>Il</w:t>
      </w:r>
      <w:r w:rsidR="002F7000" w:rsidRPr="00E2675B">
        <w:rPr>
          <w:rFonts w:ascii="Tahoma" w:cs="Tahoma" w:hAnsi="Tahoma"/>
          <w:sz w:val="20"/>
        </w:rPr>
        <w:t xml:space="preserve"> a été conclu le présent accord.</w:t>
      </w:r>
    </w:p>
    <w:p w14:paraId="7C86163D" w14:textId="77777777" w:rsidP="00A83E3A" w:rsidR="00A83E3A" w:rsidRDefault="00A83E3A" w:rsidRPr="00E2675B">
      <w:pPr>
        <w:pStyle w:val="texte"/>
        <w:rPr>
          <w:rFonts w:ascii="Tahoma" w:cs="Tahoma" w:hAnsi="Tahoma"/>
          <w:sz w:val="20"/>
        </w:rPr>
      </w:pPr>
    </w:p>
    <w:p w14:paraId="3F101BFE" w14:textId="77777777" w:rsidP="00A83E3A" w:rsidR="00CE5658" w:rsidRDefault="00CE5658" w:rsidRPr="00E2675B">
      <w:pPr>
        <w:pStyle w:val="texte"/>
        <w:rPr>
          <w:rFonts w:ascii="Tahoma" w:cs="Tahoma" w:hAnsi="Tahoma"/>
          <w:sz w:val="20"/>
        </w:rPr>
      </w:pPr>
    </w:p>
    <w:p w14:paraId="680EC699" w14:textId="77777777" w:rsidP="0056630C" w:rsidR="00CE5658" w:rsidRDefault="00CE5658" w:rsidRPr="00E2675B">
      <w:pPr>
        <w:spacing w:before="120"/>
        <w:rPr>
          <w:rFonts w:ascii="Tahoma" w:cs="Tahoma" w:hAnsi="Tahoma"/>
          <w:b/>
          <w:sz w:val="20"/>
          <w:szCs w:val="20"/>
        </w:rPr>
      </w:pPr>
      <w:r w:rsidRPr="00E2675B">
        <w:rPr>
          <w:rFonts w:ascii="Tahoma" w:cs="Tahoma" w:hAnsi="Tahoma"/>
          <w:b/>
          <w:sz w:val="20"/>
          <w:szCs w:val="20"/>
        </w:rPr>
        <w:t>PREAMBULE</w:t>
      </w:r>
    </w:p>
    <w:p w14:paraId="19E5C7EE" w14:textId="7E6493A6" w:rsidP="002B0DDB" w:rsidR="002B0DDB" w:rsidRDefault="00CE5658" w:rsidRPr="00E2675B">
      <w:pPr>
        <w:pStyle w:val="texte"/>
        <w:spacing w:before="120"/>
        <w:rPr>
          <w:rFonts w:ascii="Tahoma" w:cs="Tahoma" w:hAnsi="Tahoma"/>
          <w:sz w:val="20"/>
        </w:rPr>
      </w:pPr>
      <w:r w:rsidRPr="00E2675B">
        <w:rPr>
          <w:rFonts w:ascii="Tahoma" w:cs="Tahoma" w:hAnsi="Tahoma"/>
          <w:sz w:val="20"/>
        </w:rPr>
        <w:t xml:space="preserve">Conformément </w:t>
      </w:r>
      <w:r w:rsidR="002B0DDB" w:rsidRPr="00E2675B">
        <w:rPr>
          <w:rFonts w:ascii="Tahoma" w:cs="Tahoma" w:hAnsi="Tahoma"/>
          <w:sz w:val="20"/>
        </w:rPr>
        <w:t>aux articles L. 2242-1 à L.</w:t>
      </w:r>
      <w:r w:rsidR="00412821" w:rsidRPr="00E2675B">
        <w:rPr>
          <w:rFonts w:ascii="Tahoma" w:cs="Tahoma" w:hAnsi="Tahoma"/>
          <w:sz w:val="20"/>
        </w:rPr>
        <w:t xml:space="preserve"> </w:t>
      </w:r>
      <w:r w:rsidR="002B0DDB" w:rsidRPr="00E2675B">
        <w:rPr>
          <w:rFonts w:ascii="Tahoma" w:cs="Tahoma" w:hAnsi="Tahoma"/>
          <w:sz w:val="20"/>
        </w:rPr>
        <w:t>2242-14 du Code du travail</w:t>
      </w:r>
      <w:r w:rsidRPr="00E2675B">
        <w:rPr>
          <w:rFonts w:ascii="Tahoma" w:cs="Tahoma" w:hAnsi="Tahoma"/>
          <w:sz w:val="20"/>
        </w:rPr>
        <w:t xml:space="preserve">, la Direction et les Organisations Syndicales formées en délégation </w:t>
      </w:r>
      <w:r w:rsidR="004C61F2" w:rsidRPr="00E2675B">
        <w:rPr>
          <w:rFonts w:ascii="Tahoma" w:cs="Tahoma" w:hAnsi="Tahoma"/>
          <w:sz w:val="20"/>
        </w:rPr>
        <w:t xml:space="preserve">se sont réunies </w:t>
      </w:r>
      <w:r w:rsidR="002B0DDB" w:rsidRPr="00E2675B">
        <w:rPr>
          <w:rFonts w:ascii="Tahoma" w:cs="Tahoma" w:hAnsi="Tahoma"/>
          <w:sz w:val="20"/>
        </w:rPr>
        <w:t xml:space="preserve">successivement les </w:t>
      </w:r>
      <w:r w:rsidR="00FC4C3D" w:rsidRPr="00E2675B">
        <w:rPr>
          <w:rFonts w:ascii="Tahoma" w:cs="Tahoma" w:hAnsi="Tahoma"/>
          <w:sz w:val="20"/>
        </w:rPr>
        <w:t>7</w:t>
      </w:r>
      <w:r w:rsidR="002B0DDB" w:rsidRPr="00E2675B">
        <w:rPr>
          <w:rFonts w:ascii="Tahoma" w:cs="Tahoma" w:hAnsi="Tahoma"/>
          <w:sz w:val="20"/>
        </w:rPr>
        <w:t xml:space="preserve"> septembre, </w:t>
      </w:r>
      <w:r w:rsidR="00FC4C3D" w:rsidRPr="00E2675B">
        <w:rPr>
          <w:rFonts w:ascii="Tahoma" w:cs="Tahoma" w:hAnsi="Tahoma"/>
          <w:sz w:val="20"/>
        </w:rPr>
        <w:t>7</w:t>
      </w:r>
      <w:r w:rsidR="002B0DDB" w:rsidRPr="00E2675B">
        <w:rPr>
          <w:rFonts w:ascii="Tahoma" w:cs="Tahoma" w:hAnsi="Tahoma"/>
          <w:sz w:val="20"/>
        </w:rPr>
        <w:t xml:space="preserve"> octobre </w:t>
      </w:r>
      <w:r w:rsidR="002A6CA1" w:rsidRPr="00E2675B">
        <w:rPr>
          <w:rFonts w:ascii="Tahoma" w:cs="Tahoma" w:hAnsi="Tahoma"/>
          <w:sz w:val="20"/>
        </w:rPr>
        <w:t>et</w:t>
      </w:r>
      <w:r w:rsidR="000D0360" w:rsidRPr="00E2675B">
        <w:rPr>
          <w:rFonts w:ascii="Tahoma" w:cs="Tahoma" w:hAnsi="Tahoma"/>
          <w:sz w:val="20"/>
        </w:rPr>
        <w:t xml:space="preserve"> 3</w:t>
      </w:r>
      <w:r w:rsidR="005C1CE8" w:rsidRPr="00E2675B">
        <w:rPr>
          <w:rFonts w:ascii="Tahoma" w:cs="Tahoma" w:hAnsi="Tahoma"/>
          <w:sz w:val="20"/>
        </w:rPr>
        <w:t xml:space="preserve"> novembre</w:t>
      </w:r>
      <w:r w:rsidR="005E42FE" w:rsidRPr="00E2675B">
        <w:rPr>
          <w:rFonts w:ascii="Tahoma" w:cs="Tahoma" w:hAnsi="Tahoma"/>
          <w:sz w:val="20"/>
        </w:rPr>
        <w:t xml:space="preserve"> 202</w:t>
      </w:r>
      <w:r w:rsidR="000D0360" w:rsidRPr="00E2675B">
        <w:rPr>
          <w:rFonts w:ascii="Tahoma" w:cs="Tahoma" w:hAnsi="Tahoma"/>
          <w:sz w:val="20"/>
        </w:rPr>
        <w:t>1</w:t>
      </w:r>
      <w:r w:rsidR="002B0DDB" w:rsidRPr="00E2675B">
        <w:rPr>
          <w:rFonts w:ascii="Tahoma" w:cs="Tahoma" w:hAnsi="Tahoma"/>
          <w:sz w:val="20"/>
        </w:rPr>
        <w:t>.</w:t>
      </w:r>
    </w:p>
    <w:p w14:paraId="1F33C1F7" w14:textId="77777777" w:rsidP="00C5743A" w:rsidR="00C5743A" w:rsidRDefault="00C5743A" w:rsidRPr="00E2675B">
      <w:pPr>
        <w:pStyle w:val="texte"/>
        <w:spacing w:before="120"/>
        <w:rPr>
          <w:rFonts w:ascii="Tahoma" w:cs="Tahoma" w:hAnsi="Tahoma"/>
          <w:sz w:val="20"/>
        </w:rPr>
      </w:pPr>
      <w:r w:rsidRPr="00E2675B">
        <w:rPr>
          <w:rFonts w:ascii="Tahoma" w:cs="Tahoma" w:hAnsi="Tahoma"/>
          <w:sz w:val="20"/>
        </w:rPr>
        <w:t>Lors de la première réunion, la Direction a remis aux Organisations syndicales et commenté, conformément principes arrêtés chaque année, les informations suivantes portant sur les effectifs, l’organisation du travail et la rémunération :</w:t>
      </w:r>
    </w:p>
    <w:p w14:paraId="1FA4E5AB" w14:textId="77777777" w:rsidP="00C5743A" w:rsidR="00C5743A" w:rsidRDefault="00C5743A" w:rsidRPr="00E2675B">
      <w:pPr>
        <w:pStyle w:val="texte"/>
        <w:spacing w:before="120"/>
        <w:rPr>
          <w:rFonts w:ascii="Tahoma" w:cs="Tahoma" w:hAnsi="Tahoma"/>
          <w:sz w:val="20"/>
          <w:u w:val="single"/>
        </w:rPr>
      </w:pPr>
      <w:r w:rsidRPr="00E2675B">
        <w:rPr>
          <w:rFonts w:ascii="Tahoma" w:cs="Tahoma" w:hAnsi="Tahoma"/>
          <w:sz w:val="20"/>
          <w:u w:val="single"/>
        </w:rPr>
        <w:t>Volet 1 – Conditions générales d’emploi</w:t>
      </w:r>
    </w:p>
    <w:p w14:paraId="140B88CC" w14:textId="77777777" w:rsidP="00CE19E7" w:rsidR="00C5743A" w:rsidRDefault="00C5743A" w:rsidRPr="00E2675B">
      <w:pPr>
        <w:pStyle w:val="texte"/>
        <w:numPr>
          <w:ilvl w:val="0"/>
          <w:numId w:val="4"/>
        </w:numPr>
        <w:spacing w:before="120"/>
        <w:rPr>
          <w:rFonts w:ascii="Tahoma" w:cs="Tahoma" w:hAnsi="Tahoma"/>
          <w:sz w:val="20"/>
        </w:rPr>
      </w:pPr>
      <w:r w:rsidRPr="00E2675B">
        <w:rPr>
          <w:rFonts w:ascii="Tahoma" w:cs="Tahoma" w:hAnsi="Tahoma"/>
          <w:sz w:val="20"/>
        </w:rPr>
        <w:t>Effectif total moyen sur la période considérée hors intérimaires et stagiaires</w:t>
      </w:r>
    </w:p>
    <w:p w14:paraId="198BAC04" w14:textId="77777777" w:rsidP="00CE19E7" w:rsidR="00C5743A" w:rsidRDefault="00C5743A" w:rsidRPr="00E2675B">
      <w:pPr>
        <w:pStyle w:val="texte"/>
        <w:numPr>
          <w:ilvl w:val="0"/>
          <w:numId w:val="4"/>
        </w:numPr>
        <w:spacing w:before="120"/>
        <w:rPr>
          <w:rFonts w:ascii="Tahoma" w:cs="Tahoma" w:hAnsi="Tahoma"/>
          <w:sz w:val="20"/>
        </w:rPr>
      </w:pPr>
      <w:r w:rsidRPr="00E2675B">
        <w:rPr>
          <w:rFonts w:ascii="Tahoma" w:cs="Tahoma" w:hAnsi="Tahoma"/>
          <w:sz w:val="20"/>
        </w:rPr>
        <w:t>Répartition des effectifs par CSP / Contrat / Sexe</w:t>
      </w:r>
    </w:p>
    <w:p w14:paraId="1E52C7E2" w14:textId="43555575" w:rsidP="00CE19E7" w:rsidR="00C5743A" w:rsidRDefault="00C5743A" w:rsidRPr="00E2675B">
      <w:pPr>
        <w:pStyle w:val="texte"/>
        <w:numPr>
          <w:ilvl w:val="0"/>
          <w:numId w:val="4"/>
        </w:numPr>
        <w:spacing w:before="120"/>
        <w:rPr>
          <w:rFonts w:ascii="Tahoma" w:cs="Tahoma" w:hAnsi="Tahoma"/>
          <w:sz w:val="20"/>
        </w:rPr>
      </w:pPr>
      <w:r w:rsidRPr="00E2675B">
        <w:rPr>
          <w:rFonts w:ascii="Tahoma" w:cs="Tahoma" w:hAnsi="Tahoma"/>
          <w:sz w:val="20"/>
        </w:rPr>
        <w:t>Répartition des effectifs p</w:t>
      </w:r>
      <w:r w:rsidR="00910F28" w:rsidRPr="00E2675B">
        <w:rPr>
          <w:rFonts w:ascii="Tahoma" w:cs="Tahoma" w:hAnsi="Tahoma"/>
          <w:sz w:val="20"/>
        </w:rPr>
        <w:t>ar tranche d’âge à fin Août 20</w:t>
      </w:r>
      <w:r w:rsidR="00B665DB" w:rsidRPr="00E2675B">
        <w:rPr>
          <w:rFonts w:ascii="Tahoma" w:cs="Tahoma" w:hAnsi="Tahoma"/>
          <w:sz w:val="20"/>
        </w:rPr>
        <w:t>2</w:t>
      </w:r>
      <w:r w:rsidR="000D0360" w:rsidRPr="00E2675B">
        <w:rPr>
          <w:rFonts w:ascii="Tahoma" w:cs="Tahoma" w:hAnsi="Tahoma"/>
          <w:sz w:val="20"/>
        </w:rPr>
        <w:t>1</w:t>
      </w:r>
    </w:p>
    <w:p w14:paraId="68CAE5F1" w14:textId="3F9BA236" w:rsidP="00CE19E7" w:rsidR="00C5743A" w:rsidRDefault="00C5743A" w:rsidRPr="00E2675B">
      <w:pPr>
        <w:pStyle w:val="texte"/>
        <w:numPr>
          <w:ilvl w:val="0"/>
          <w:numId w:val="4"/>
        </w:numPr>
        <w:spacing w:before="120"/>
        <w:rPr>
          <w:rFonts w:ascii="Tahoma" w:cs="Tahoma" w:hAnsi="Tahoma"/>
          <w:sz w:val="20"/>
        </w:rPr>
      </w:pPr>
      <w:r w:rsidRPr="00E2675B">
        <w:rPr>
          <w:rFonts w:ascii="Tahoma" w:cs="Tahoma" w:hAnsi="Tahoma"/>
          <w:sz w:val="20"/>
        </w:rPr>
        <w:t>Répartition des effectifs par tranche d’ancienneté à fin Août 2</w:t>
      </w:r>
      <w:r w:rsidR="00910F28" w:rsidRPr="00E2675B">
        <w:rPr>
          <w:rFonts w:ascii="Tahoma" w:cs="Tahoma" w:hAnsi="Tahoma"/>
          <w:sz w:val="20"/>
        </w:rPr>
        <w:t>0</w:t>
      </w:r>
      <w:r w:rsidR="00B665DB" w:rsidRPr="00E2675B">
        <w:rPr>
          <w:rFonts w:ascii="Tahoma" w:cs="Tahoma" w:hAnsi="Tahoma"/>
          <w:sz w:val="20"/>
        </w:rPr>
        <w:t>2</w:t>
      </w:r>
      <w:r w:rsidR="000D0360" w:rsidRPr="00E2675B">
        <w:rPr>
          <w:rFonts w:ascii="Tahoma" w:cs="Tahoma" w:hAnsi="Tahoma"/>
          <w:sz w:val="20"/>
        </w:rPr>
        <w:t>1</w:t>
      </w:r>
    </w:p>
    <w:p w14:paraId="4AE43B45" w14:textId="42F01D50" w:rsidP="00CE19E7" w:rsidR="00C5743A" w:rsidRDefault="00C5743A" w:rsidRPr="00E2675B">
      <w:pPr>
        <w:pStyle w:val="texte"/>
        <w:numPr>
          <w:ilvl w:val="0"/>
          <w:numId w:val="4"/>
        </w:numPr>
        <w:spacing w:before="120"/>
        <w:rPr>
          <w:rFonts w:ascii="Tahoma" w:cs="Tahoma" w:hAnsi="Tahoma"/>
          <w:sz w:val="20"/>
        </w:rPr>
      </w:pPr>
      <w:r w:rsidRPr="00E2675B">
        <w:rPr>
          <w:rFonts w:ascii="Tahoma" w:cs="Tahoma" w:hAnsi="Tahoma"/>
          <w:sz w:val="20"/>
        </w:rPr>
        <w:t>Répartition des effectifs par Convention Collective / Sexe à fin Août 20</w:t>
      </w:r>
      <w:r w:rsidR="00B665DB" w:rsidRPr="00E2675B">
        <w:rPr>
          <w:rFonts w:ascii="Tahoma" w:cs="Tahoma" w:hAnsi="Tahoma"/>
          <w:sz w:val="20"/>
        </w:rPr>
        <w:t>2</w:t>
      </w:r>
      <w:r w:rsidR="000D0360" w:rsidRPr="00E2675B">
        <w:rPr>
          <w:rFonts w:ascii="Tahoma" w:cs="Tahoma" w:hAnsi="Tahoma"/>
          <w:sz w:val="20"/>
        </w:rPr>
        <w:t>1</w:t>
      </w:r>
      <w:r w:rsidRPr="00E2675B">
        <w:rPr>
          <w:rFonts w:ascii="Tahoma" w:cs="Tahoma" w:hAnsi="Tahoma"/>
          <w:sz w:val="20"/>
        </w:rPr>
        <w:t xml:space="preserve"> hors alternance</w:t>
      </w:r>
    </w:p>
    <w:p w14:paraId="30C2B569" w14:textId="457ED28E" w:rsidP="00CE19E7" w:rsidR="00C5743A" w:rsidRDefault="00C5743A" w:rsidRPr="00E2675B">
      <w:pPr>
        <w:pStyle w:val="texte"/>
        <w:numPr>
          <w:ilvl w:val="0"/>
          <w:numId w:val="4"/>
        </w:numPr>
        <w:spacing w:before="120"/>
        <w:rPr>
          <w:rFonts w:ascii="Tahoma" w:cs="Tahoma" w:hAnsi="Tahoma"/>
          <w:sz w:val="20"/>
        </w:rPr>
      </w:pPr>
      <w:r w:rsidRPr="00E2675B">
        <w:rPr>
          <w:rFonts w:ascii="Tahoma" w:cs="Tahoma" w:hAnsi="Tahoma"/>
          <w:sz w:val="20"/>
        </w:rPr>
        <w:t>E</w:t>
      </w:r>
      <w:r w:rsidR="00910F28" w:rsidRPr="00E2675B">
        <w:rPr>
          <w:rFonts w:ascii="Tahoma" w:cs="Tahoma" w:hAnsi="Tahoma"/>
          <w:sz w:val="20"/>
        </w:rPr>
        <w:t xml:space="preserve">mbauches à fin Août </w:t>
      </w:r>
      <w:r w:rsidR="00B665DB" w:rsidRPr="00E2675B">
        <w:rPr>
          <w:rFonts w:ascii="Tahoma" w:cs="Tahoma" w:hAnsi="Tahoma"/>
          <w:sz w:val="20"/>
        </w:rPr>
        <w:t>202</w:t>
      </w:r>
      <w:r w:rsidR="009F6A1F" w:rsidRPr="00E2675B">
        <w:rPr>
          <w:rFonts w:ascii="Tahoma" w:cs="Tahoma" w:hAnsi="Tahoma"/>
          <w:sz w:val="20"/>
        </w:rPr>
        <w:t>1</w:t>
      </w:r>
      <w:r w:rsidRPr="00E2675B">
        <w:rPr>
          <w:rFonts w:ascii="Tahoma" w:cs="Tahoma" w:hAnsi="Tahoma"/>
          <w:sz w:val="20"/>
        </w:rPr>
        <w:t xml:space="preserve"> hors mobilité interne, transfert et stage</w:t>
      </w:r>
    </w:p>
    <w:p w14:paraId="38B653D6" w14:textId="7948875A" w:rsidP="00CE19E7" w:rsidR="00C5743A" w:rsidRDefault="00910F28" w:rsidRPr="00E2675B">
      <w:pPr>
        <w:pStyle w:val="texte"/>
        <w:numPr>
          <w:ilvl w:val="0"/>
          <w:numId w:val="4"/>
        </w:numPr>
        <w:spacing w:before="120"/>
        <w:rPr>
          <w:rFonts w:ascii="Tahoma" w:cs="Tahoma" w:hAnsi="Tahoma"/>
          <w:sz w:val="20"/>
        </w:rPr>
      </w:pPr>
      <w:r w:rsidRPr="00E2675B">
        <w:rPr>
          <w:rFonts w:ascii="Tahoma" w:cs="Tahoma" w:hAnsi="Tahoma"/>
          <w:sz w:val="20"/>
        </w:rPr>
        <w:t xml:space="preserve">Départs à fin Août </w:t>
      </w:r>
      <w:r w:rsidR="00B665DB" w:rsidRPr="00E2675B">
        <w:rPr>
          <w:rFonts w:ascii="Tahoma" w:cs="Tahoma" w:hAnsi="Tahoma"/>
          <w:sz w:val="20"/>
        </w:rPr>
        <w:t>202</w:t>
      </w:r>
      <w:r w:rsidR="00052155" w:rsidRPr="00E2675B">
        <w:rPr>
          <w:rFonts w:ascii="Tahoma" w:cs="Tahoma" w:hAnsi="Tahoma"/>
          <w:sz w:val="20"/>
        </w:rPr>
        <w:t>1</w:t>
      </w:r>
      <w:r w:rsidR="00C5743A" w:rsidRPr="00E2675B">
        <w:rPr>
          <w:rFonts w:ascii="Tahoma" w:cs="Tahoma" w:hAnsi="Tahoma"/>
          <w:sz w:val="20"/>
        </w:rPr>
        <w:t xml:space="preserve"> hors mobilité interne, transfert et stage</w:t>
      </w:r>
    </w:p>
    <w:p w14:paraId="45BB18A6" w14:textId="1C5B9666" w:rsidP="00CE19E7" w:rsidR="00C5743A" w:rsidRDefault="00C5743A" w:rsidRPr="00E2675B">
      <w:pPr>
        <w:pStyle w:val="texte"/>
        <w:numPr>
          <w:ilvl w:val="0"/>
          <w:numId w:val="4"/>
        </w:numPr>
        <w:spacing w:before="120"/>
        <w:rPr>
          <w:rFonts w:ascii="Tahoma" w:cs="Tahoma" w:hAnsi="Tahoma"/>
          <w:sz w:val="20"/>
        </w:rPr>
      </w:pPr>
      <w:r w:rsidRPr="00E2675B">
        <w:rPr>
          <w:rFonts w:ascii="Tahoma" w:cs="Tahoma" w:hAnsi="Tahoma"/>
          <w:sz w:val="20"/>
        </w:rPr>
        <w:t xml:space="preserve">Effectifs en CDD et intérim </w:t>
      </w:r>
      <w:r w:rsidR="00910F28" w:rsidRPr="00E2675B">
        <w:rPr>
          <w:rFonts w:ascii="Tahoma" w:cs="Tahoma" w:hAnsi="Tahoma"/>
          <w:sz w:val="20"/>
        </w:rPr>
        <w:t>– Période de Janvier à Août 20</w:t>
      </w:r>
      <w:r w:rsidR="00B665DB" w:rsidRPr="00E2675B">
        <w:rPr>
          <w:rFonts w:ascii="Tahoma" w:cs="Tahoma" w:hAnsi="Tahoma"/>
          <w:sz w:val="20"/>
        </w:rPr>
        <w:t>2</w:t>
      </w:r>
      <w:r w:rsidR="000D0360" w:rsidRPr="00E2675B">
        <w:rPr>
          <w:rFonts w:ascii="Tahoma" w:cs="Tahoma" w:hAnsi="Tahoma"/>
          <w:sz w:val="20"/>
        </w:rPr>
        <w:t>1</w:t>
      </w:r>
    </w:p>
    <w:p w14:paraId="35AD8554" w14:textId="77777777" w:rsidP="00320915" w:rsidR="00320915" w:rsidRDefault="00320915" w:rsidRPr="00E2675B">
      <w:pPr>
        <w:pStyle w:val="texte"/>
        <w:spacing w:before="120"/>
        <w:ind w:left="720"/>
        <w:rPr>
          <w:rFonts w:ascii="Tahoma" w:cs="Tahoma" w:hAnsi="Tahoma"/>
          <w:sz w:val="20"/>
        </w:rPr>
      </w:pPr>
    </w:p>
    <w:p w14:paraId="5CE0A601" w14:textId="77777777" w:rsidP="00C5743A" w:rsidR="00C5743A" w:rsidRDefault="00C5743A" w:rsidRPr="00E2675B">
      <w:pPr>
        <w:pStyle w:val="texte"/>
        <w:spacing w:before="120"/>
        <w:rPr>
          <w:rFonts w:ascii="Tahoma" w:cs="Tahoma" w:hAnsi="Tahoma"/>
          <w:sz w:val="20"/>
          <w:u w:val="single"/>
        </w:rPr>
      </w:pPr>
      <w:r w:rsidRPr="00E2675B">
        <w:rPr>
          <w:rFonts w:ascii="Tahoma" w:cs="Tahoma" w:hAnsi="Tahoma"/>
          <w:sz w:val="20"/>
          <w:u w:val="single"/>
        </w:rPr>
        <w:t>Volet 2 – Information sur la durée et l’organisation du temps de travail</w:t>
      </w:r>
    </w:p>
    <w:p w14:paraId="314D60F0" w14:textId="77777777" w:rsidP="00CE19E7" w:rsidR="00C5743A" w:rsidRDefault="00C5743A" w:rsidRPr="00E2675B">
      <w:pPr>
        <w:pStyle w:val="texte"/>
        <w:numPr>
          <w:ilvl w:val="0"/>
          <w:numId w:val="5"/>
        </w:numPr>
        <w:spacing w:before="120"/>
        <w:rPr>
          <w:rFonts w:ascii="Tahoma" w:cs="Tahoma" w:hAnsi="Tahoma"/>
          <w:sz w:val="20"/>
        </w:rPr>
      </w:pPr>
      <w:r w:rsidRPr="00E2675B">
        <w:rPr>
          <w:rFonts w:ascii="Tahoma" w:cs="Tahoma" w:hAnsi="Tahoma"/>
          <w:sz w:val="20"/>
        </w:rPr>
        <w:t>Temps de travail, heures supplémentaires, congés payés et RTT</w:t>
      </w:r>
    </w:p>
    <w:p w14:paraId="008C923C" w14:textId="5E5DD08C" w:rsidP="00CE19E7" w:rsidR="00C5743A" w:rsidRDefault="00C5743A" w:rsidRPr="00E2675B">
      <w:pPr>
        <w:pStyle w:val="texte"/>
        <w:numPr>
          <w:ilvl w:val="0"/>
          <w:numId w:val="5"/>
        </w:numPr>
        <w:spacing w:before="120"/>
        <w:rPr>
          <w:rFonts w:ascii="Tahoma" w:cs="Tahoma" w:hAnsi="Tahoma"/>
          <w:sz w:val="20"/>
        </w:rPr>
      </w:pPr>
      <w:r w:rsidRPr="00E2675B">
        <w:rPr>
          <w:rFonts w:ascii="Tahoma" w:cs="Tahoma" w:hAnsi="Tahoma"/>
          <w:sz w:val="20"/>
        </w:rPr>
        <w:t xml:space="preserve">Répartition des effectifs selon la durée du </w:t>
      </w:r>
      <w:r w:rsidR="00910F28" w:rsidRPr="00E2675B">
        <w:rPr>
          <w:rFonts w:ascii="Tahoma" w:cs="Tahoma" w:hAnsi="Tahoma"/>
          <w:sz w:val="20"/>
        </w:rPr>
        <w:t>temps de travail – Fin Août 20</w:t>
      </w:r>
      <w:r w:rsidR="00B665DB" w:rsidRPr="00E2675B">
        <w:rPr>
          <w:rFonts w:ascii="Tahoma" w:cs="Tahoma" w:hAnsi="Tahoma"/>
          <w:sz w:val="20"/>
        </w:rPr>
        <w:t>2</w:t>
      </w:r>
      <w:r w:rsidR="00052155" w:rsidRPr="00E2675B">
        <w:rPr>
          <w:rFonts w:ascii="Tahoma" w:cs="Tahoma" w:hAnsi="Tahoma"/>
          <w:sz w:val="20"/>
        </w:rPr>
        <w:t>1</w:t>
      </w:r>
    </w:p>
    <w:p w14:paraId="2BD2C05F" w14:textId="77777777" w:rsidP="00C5743A" w:rsidR="00320915" w:rsidRDefault="00320915" w:rsidRPr="00E2675B">
      <w:pPr>
        <w:pStyle w:val="texte"/>
        <w:spacing w:before="120"/>
        <w:rPr>
          <w:rFonts w:ascii="Tahoma" w:cs="Tahoma" w:hAnsi="Tahoma"/>
          <w:sz w:val="20"/>
          <w:u w:val="single"/>
        </w:rPr>
      </w:pPr>
    </w:p>
    <w:p w14:paraId="4F2AB54F" w14:textId="77777777" w:rsidP="00C5743A" w:rsidR="00C5743A" w:rsidRDefault="00C5743A" w:rsidRPr="00E2675B">
      <w:pPr>
        <w:pStyle w:val="texte"/>
        <w:spacing w:before="120"/>
        <w:rPr>
          <w:rFonts w:ascii="Tahoma" w:cs="Tahoma" w:hAnsi="Tahoma"/>
          <w:sz w:val="20"/>
          <w:u w:val="single"/>
        </w:rPr>
      </w:pPr>
      <w:r w:rsidRPr="00E2675B">
        <w:rPr>
          <w:rFonts w:ascii="Tahoma" w:cs="Tahoma" w:hAnsi="Tahoma"/>
          <w:sz w:val="20"/>
          <w:u w:val="single"/>
        </w:rPr>
        <w:t>Volet 3 – Information sur les salaires effectifs</w:t>
      </w:r>
    </w:p>
    <w:p w14:paraId="347A70E7" w14:textId="77777777" w:rsidP="00CE19E7" w:rsidR="00C5743A" w:rsidRDefault="00C5743A" w:rsidRPr="00E2675B">
      <w:pPr>
        <w:pStyle w:val="texte"/>
        <w:numPr>
          <w:ilvl w:val="0"/>
          <w:numId w:val="6"/>
        </w:numPr>
        <w:spacing w:before="120"/>
        <w:rPr>
          <w:rFonts w:ascii="Tahoma" w:cs="Tahoma" w:hAnsi="Tahoma"/>
          <w:sz w:val="20"/>
        </w:rPr>
      </w:pPr>
      <w:r w:rsidRPr="00E2675B">
        <w:rPr>
          <w:rFonts w:ascii="Tahoma" w:cs="Tahoma" w:hAnsi="Tahoma"/>
          <w:sz w:val="20"/>
        </w:rPr>
        <w:t>Salaire mensuel moyen par coefficient / sexe – Contrats à temps plein (effectif permanent) hors alternance et stages</w:t>
      </w:r>
    </w:p>
    <w:p w14:paraId="584A1DF1" w14:textId="21E783B1" w:rsidP="00CE19E7" w:rsidR="00C5743A" w:rsidRDefault="00C5743A" w:rsidRPr="00E2675B">
      <w:pPr>
        <w:pStyle w:val="texte"/>
        <w:numPr>
          <w:ilvl w:val="0"/>
          <w:numId w:val="6"/>
        </w:numPr>
        <w:spacing w:before="120"/>
        <w:rPr>
          <w:rFonts w:ascii="Tahoma" w:cs="Tahoma" w:hAnsi="Tahoma"/>
          <w:sz w:val="20"/>
        </w:rPr>
      </w:pPr>
      <w:r w:rsidRPr="00E2675B">
        <w:rPr>
          <w:rFonts w:ascii="Tahoma" w:cs="Tahoma" w:hAnsi="Tahoma"/>
          <w:sz w:val="20"/>
        </w:rPr>
        <w:t xml:space="preserve">Etat des augmentations </w:t>
      </w:r>
      <w:r w:rsidR="0008787D" w:rsidRPr="00E2675B">
        <w:rPr>
          <w:rFonts w:ascii="Tahoma" w:cs="Tahoma" w:hAnsi="Tahoma"/>
          <w:sz w:val="20"/>
        </w:rPr>
        <w:t>20</w:t>
      </w:r>
      <w:r w:rsidR="00B665DB" w:rsidRPr="00E2675B">
        <w:rPr>
          <w:rFonts w:ascii="Tahoma" w:cs="Tahoma" w:hAnsi="Tahoma"/>
          <w:sz w:val="20"/>
        </w:rPr>
        <w:t>2</w:t>
      </w:r>
      <w:r w:rsidR="000D0360" w:rsidRPr="00E2675B">
        <w:rPr>
          <w:rFonts w:ascii="Tahoma" w:cs="Tahoma" w:hAnsi="Tahoma"/>
          <w:sz w:val="20"/>
        </w:rPr>
        <w:t>1</w:t>
      </w:r>
      <w:r w:rsidRPr="00E2675B">
        <w:rPr>
          <w:rFonts w:ascii="Tahoma" w:cs="Tahoma" w:hAnsi="Tahoma"/>
          <w:sz w:val="20"/>
        </w:rPr>
        <w:t xml:space="preserve"> – Salariés en CDI – Présents au 31/12/20</w:t>
      </w:r>
      <w:r w:rsidR="000D0360" w:rsidRPr="00E2675B">
        <w:rPr>
          <w:rFonts w:ascii="Tahoma" w:cs="Tahoma" w:hAnsi="Tahoma"/>
          <w:sz w:val="20"/>
        </w:rPr>
        <w:t>20</w:t>
      </w:r>
    </w:p>
    <w:p w14:paraId="2E6B8017" w14:textId="77777777" w:rsidP="0056630C" w:rsidR="0056630C" w:rsidRDefault="0056630C" w:rsidRPr="00E2675B">
      <w:pPr>
        <w:rPr>
          <w:rFonts w:ascii="Tahoma" w:cs="Tahoma" w:hAnsi="Tahoma"/>
          <w:sz w:val="20"/>
          <w:szCs w:val="20"/>
        </w:rPr>
      </w:pPr>
    </w:p>
    <w:p w14:paraId="6D1DCE84" w14:textId="77777777" w:rsidP="00C5743A" w:rsidR="00C5743A" w:rsidRDefault="00C5743A" w:rsidRPr="00E2675B">
      <w:pPr>
        <w:pStyle w:val="texte"/>
        <w:spacing w:before="120"/>
        <w:rPr>
          <w:rFonts w:ascii="Tahoma" w:cs="Tahoma" w:hAnsi="Tahoma"/>
          <w:sz w:val="20"/>
        </w:rPr>
      </w:pPr>
      <w:r w:rsidRPr="00E2675B">
        <w:rPr>
          <w:rFonts w:ascii="Tahoma" w:cs="Tahoma" w:hAnsi="Tahoma"/>
          <w:sz w:val="20"/>
        </w:rPr>
        <w:t>Une actualisation du document a été effectuée, conformément au souhait exprimé des négociateurs, dans le cadre de la deuxième réunion.</w:t>
      </w:r>
    </w:p>
    <w:p w14:paraId="2B8887D4" w14:textId="77777777" w:rsidP="00C5743A" w:rsidR="00C5743A" w:rsidRDefault="00C5743A" w:rsidRPr="00E2675B">
      <w:pPr>
        <w:spacing w:before="120"/>
        <w:rPr>
          <w:rFonts w:ascii="Tahoma" w:cs="Tahoma" w:hAnsi="Tahoma"/>
          <w:bCs/>
          <w:sz w:val="20"/>
        </w:rPr>
      </w:pPr>
      <w:r w:rsidRPr="00E2675B">
        <w:rPr>
          <w:rFonts w:ascii="Tahoma" w:cs="Tahoma" w:hAnsi="Tahoma"/>
          <w:bCs/>
          <w:sz w:val="20"/>
        </w:rPr>
        <w:t>Les parties ont confirmé que le processus de NAO engagé au niveau de l’UES ENGIE Ineo devra être poursuivi au sein des entités la composant.</w:t>
      </w:r>
    </w:p>
    <w:p w14:paraId="2FCF9CD2" w14:textId="24A35A03" w:rsidP="00C5743A" w:rsidR="00C5743A" w:rsidRDefault="00C5743A" w:rsidRPr="00E2675B">
      <w:pPr>
        <w:spacing w:before="120"/>
        <w:rPr>
          <w:rFonts w:ascii="Tahoma" w:cs="Tahoma" w:hAnsi="Tahoma"/>
          <w:bCs/>
          <w:sz w:val="20"/>
        </w:rPr>
      </w:pPr>
      <w:r w:rsidRPr="00E2675B">
        <w:rPr>
          <w:rFonts w:ascii="Tahoma" w:cs="Tahoma" w:hAnsi="Tahoma"/>
          <w:bCs/>
          <w:sz w:val="20"/>
        </w:rPr>
        <w:t xml:space="preserve">Ainsi, pour l’année </w:t>
      </w:r>
      <w:r w:rsidR="00FB5367" w:rsidRPr="00E2675B">
        <w:rPr>
          <w:rFonts w:ascii="Tahoma" w:cs="Tahoma" w:hAnsi="Tahoma"/>
          <w:bCs/>
          <w:sz w:val="20"/>
        </w:rPr>
        <w:t>20</w:t>
      </w:r>
      <w:r w:rsidR="00B665DB" w:rsidRPr="00E2675B">
        <w:rPr>
          <w:rFonts w:ascii="Tahoma" w:cs="Tahoma" w:hAnsi="Tahoma"/>
          <w:bCs/>
          <w:sz w:val="20"/>
        </w:rPr>
        <w:t>2</w:t>
      </w:r>
      <w:r w:rsidR="00FE4A68" w:rsidRPr="00E2675B">
        <w:rPr>
          <w:rFonts w:ascii="Tahoma" w:cs="Tahoma" w:hAnsi="Tahoma"/>
          <w:bCs/>
          <w:sz w:val="20"/>
        </w:rPr>
        <w:t>2</w:t>
      </w:r>
      <w:r w:rsidRPr="00E2675B">
        <w:rPr>
          <w:rFonts w:ascii="Tahoma" w:cs="Tahoma" w:hAnsi="Tahoma"/>
          <w:bCs/>
          <w:sz w:val="20"/>
        </w:rPr>
        <w:t>, la NAO conduite au niveau « central » a pour objectif de définir une fourchette de budget commune à l’ensemble de nos sociétés. Les négociations menées localement porteront notamment sur la détermination de l’enveloppe budgétaire définitive, nécessairement comprise dans cette fourchette, ainsi que sur les modalités de répartition de celle-ci.</w:t>
      </w:r>
    </w:p>
    <w:p w14:paraId="4ABFDEBC" w14:textId="77777777" w:rsidP="00C5743A" w:rsidR="00C5743A" w:rsidRDefault="00C5743A" w:rsidRPr="00E2675B">
      <w:pPr>
        <w:spacing w:before="120"/>
        <w:rPr>
          <w:rFonts w:ascii="Tahoma" w:cs="Tahoma" w:hAnsi="Tahoma"/>
          <w:bCs/>
          <w:sz w:val="20"/>
        </w:rPr>
      </w:pPr>
      <w:r w:rsidRPr="00E2675B">
        <w:rPr>
          <w:rFonts w:ascii="Tahoma" w:cs="Tahoma" w:hAnsi="Tahoma"/>
          <w:bCs/>
          <w:sz w:val="20"/>
        </w:rPr>
        <w:t>Cette position est conforme au schéma d’organisation d’ENGIE Ineo tant sur le plan juridique, social que managérial.</w:t>
      </w:r>
    </w:p>
    <w:p w14:paraId="2D7D8A06" w14:textId="10F7D44B" w:rsidP="00BF4020" w:rsidR="00BF4020" w:rsidRDefault="008D1F22">
      <w:pPr>
        <w:pStyle w:val="texte"/>
        <w:spacing w:before="120"/>
        <w:rPr>
          <w:rFonts w:ascii="Tahoma" w:cs="Tahoma" w:hAnsi="Tahoma"/>
          <w:sz w:val="20"/>
        </w:rPr>
      </w:pPr>
      <w:r w:rsidRPr="00E2675B">
        <w:rPr>
          <w:rFonts w:ascii="Tahoma" w:cs="Tahoma" w:hAnsi="Tahoma"/>
          <w:sz w:val="20"/>
        </w:rPr>
        <w:t xml:space="preserve">Après </w:t>
      </w:r>
      <w:r w:rsidR="00424659">
        <w:rPr>
          <w:rFonts w:ascii="Tahoma" w:cs="Tahoma" w:hAnsi="Tahoma"/>
          <w:sz w:val="20"/>
        </w:rPr>
        <w:t>trois</w:t>
      </w:r>
      <w:r w:rsidRPr="00E2675B">
        <w:rPr>
          <w:rFonts w:ascii="Tahoma" w:cs="Tahoma" w:hAnsi="Tahoma"/>
          <w:sz w:val="20"/>
        </w:rPr>
        <w:t xml:space="preserve"> nouvelles réunions de négociation</w:t>
      </w:r>
      <w:r w:rsidR="0067360A" w:rsidRPr="00E2675B">
        <w:rPr>
          <w:rFonts w:ascii="Tahoma" w:cs="Tahoma" w:hAnsi="Tahoma"/>
          <w:sz w:val="20"/>
        </w:rPr>
        <w:t xml:space="preserve"> et communication de leur plateforme de revendications par chacune des organisations syndicales représentatives figurant en annexe</w:t>
      </w:r>
      <w:r w:rsidRPr="00E2675B">
        <w:rPr>
          <w:rFonts w:ascii="Tahoma" w:cs="Tahoma" w:hAnsi="Tahoma"/>
          <w:sz w:val="20"/>
        </w:rPr>
        <w:t xml:space="preserve">, les Parties ont arrêté les principes et mesures transcrites </w:t>
      </w:r>
      <w:r w:rsidR="00C055F7" w:rsidRPr="00E2675B">
        <w:rPr>
          <w:rFonts w:ascii="Tahoma" w:cs="Tahoma" w:hAnsi="Tahoma"/>
          <w:sz w:val="20"/>
        </w:rPr>
        <w:t>ci-après, après avoir fait évoluer une première proposition</w:t>
      </w:r>
      <w:r w:rsidR="00415A68" w:rsidRPr="00E2675B">
        <w:rPr>
          <w:rFonts w:ascii="Tahoma" w:cs="Tahoma" w:hAnsi="Tahoma"/>
          <w:sz w:val="20"/>
        </w:rPr>
        <w:t xml:space="preserve"> </w:t>
      </w:r>
      <w:r w:rsidR="00BF4020">
        <w:rPr>
          <w:rFonts w:ascii="Tahoma" w:cs="Tahoma" w:hAnsi="Tahoma"/>
          <w:sz w:val="20"/>
        </w:rPr>
        <w:t>par deux fois.</w:t>
      </w:r>
    </w:p>
    <w:p w14:paraId="4424DA9A" w14:textId="574071F7" w:rsidP="00BF4020" w:rsidR="00BF4020" w:rsidRDefault="003E4598" w:rsidRPr="00063C6C">
      <w:pPr>
        <w:pStyle w:val="texte"/>
        <w:spacing w:before="120"/>
        <w:rPr>
          <w:rFonts w:ascii="Tahoma" w:cs="Tahoma" w:hAnsi="Tahoma"/>
          <w:sz w:val="20"/>
        </w:rPr>
      </w:pPr>
      <w:r>
        <w:rPr>
          <w:rFonts w:ascii="Tahoma" w:cs="Tahoma" w:hAnsi="Tahoma"/>
          <w:sz w:val="20"/>
        </w:rPr>
        <w:t>A</w:t>
      </w:r>
      <w:r w:rsidR="00BF4020">
        <w:rPr>
          <w:rFonts w:ascii="Tahoma" w:cs="Tahoma" w:hAnsi="Tahoma"/>
          <w:sz w:val="20"/>
        </w:rPr>
        <w:t xml:space="preserve"> l’issue de la présentation du projet intégrant une clause de revoyure aux membres du CSE-C de l’UES Ineo, les </w:t>
      </w:r>
      <w:r w:rsidR="00BF4020" w:rsidRPr="00063C6C">
        <w:rPr>
          <w:rFonts w:ascii="Tahoma" w:cs="Tahoma" w:hAnsi="Tahoma"/>
          <w:sz w:val="20"/>
        </w:rPr>
        <w:t xml:space="preserve">organisations syndicales représentatives </w:t>
      </w:r>
      <w:r w:rsidR="004C7091" w:rsidRPr="00063C6C">
        <w:rPr>
          <w:rFonts w:ascii="Tahoma" w:cs="Tahoma" w:hAnsi="Tahoma"/>
          <w:sz w:val="20"/>
        </w:rPr>
        <w:t>avaient</w:t>
      </w:r>
      <w:r w:rsidR="00BF4020" w:rsidRPr="00063C6C">
        <w:rPr>
          <w:rFonts w:ascii="Tahoma" w:cs="Tahoma" w:hAnsi="Tahoma"/>
          <w:sz w:val="20"/>
        </w:rPr>
        <w:t xml:space="preserve"> annoncé ne pas entendre signer l’accord.</w:t>
      </w:r>
      <w:r w:rsidR="00D67A03" w:rsidRPr="00063C6C">
        <w:rPr>
          <w:rFonts w:ascii="Tahoma" w:cs="Tahoma" w:hAnsi="Tahoma"/>
          <w:sz w:val="20"/>
        </w:rPr>
        <w:t xml:space="preserve"> Ainsi, un </w:t>
      </w:r>
      <w:r w:rsidR="00B35580" w:rsidRPr="00063C6C">
        <w:rPr>
          <w:rFonts w:ascii="Tahoma" w:cs="Tahoma" w:hAnsi="Tahoma"/>
          <w:sz w:val="20"/>
        </w:rPr>
        <w:t>procès-verbal</w:t>
      </w:r>
      <w:r w:rsidR="00D67A03" w:rsidRPr="00063C6C">
        <w:rPr>
          <w:rFonts w:ascii="Tahoma" w:cs="Tahoma" w:hAnsi="Tahoma"/>
          <w:sz w:val="20"/>
        </w:rPr>
        <w:t xml:space="preserve"> de désaccord </w:t>
      </w:r>
      <w:r w:rsidRPr="00063C6C">
        <w:rPr>
          <w:rFonts w:ascii="Tahoma" w:cs="Tahoma" w:hAnsi="Tahoma"/>
          <w:sz w:val="20"/>
        </w:rPr>
        <w:t>a</w:t>
      </w:r>
      <w:r w:rsidR="004C7091" w:rsidRPr="00063C6C">
        <w:rPr>
          <w:rFonts w:ascii="Tahoma" w:cs="Tahoma" w:hAnsi="Tahoma"/>
          <w:sz w:val="20"/>
        </w:rPr>
        <w:t>vait</w:t>
      </w:r>
      <w:r w:rsidRPr="00063C6C">
        <w:rPr>
          <w:rFonts w:ascii="Tahoma" w:cs="Tahoma" w:hAnsi="Tahoma"/>
          <w:sz w:val="20"/>
        </w:rPr>
        <w:t xml:space="preserve"> été signé le 22 décembre 2021.</w:t>
      </w:r>
    </w:p>
    <w:p w14:paraId="63E39950" w14:textId="5995D201" w:rsidP="0056630C" w:rsidR="00BF4020" w:rsidRDefault="003E4598" w:rsidRPr="00063C6C">
      <w:pPr>
        <w:pStyle w:val="texte"/>
        <w:spacing w:before="120"/>
        <w:rPr>
          <w:rFonts w:ascii="Tahoma" w:cs="Tahoma" w:hAnsi="Tahoma"/>
          <w:sz w:val="20"/>
        </w:rPr>
      </w:pPr>
      <w:r w:rsidRPr="00063C6C">
        <w:rPr>
          <w:rFonts w:ascii="Tahoma" w:cs="Tahoma" w:hAnsi="Tahoma"/>
          <w:sz w:val="20"/>
        </w:rPr>
        <w:t>Toutefois, compte tenu du contexte, la Direction a</w:t>
      </w:r>
      <w:r w:rsidR="004C7091" w:rsidRPr="00063C6C">
        <w:rPr>
          <w:rFonts w:ascii="Tahoma" w:cs="Tahoma" w:hAnsi="Tahoma"/>
          <w:sz w:val="20"/>
        </w:rPr>
        <w:t>vait</w:t>
      </w:r>
      <w:r w:rsidRPr="00063C6C">
        <w:rPr>
          <w:rFonts w:ascii="Tahoma" w:cs="Tahoma" w:hAnsi="Tahoma"/>
          <w:sz w:val="20"/>
        </w:rPr>
        <w:t xml:space="preserve"> proposé aux organisations syndicales représentatives </w:t>
      </w:r>
      <w:r w:rsidR="006A098B" w:rsidRPr="00063C6C">
        <w:rPr>
          <w:rFonts w:ascii="Tahoma" w:cs="Tahoma" w:hAnsi="Tahoma"/>
          <w:sz w:val="20"/>
        </w:rPr>
        <w:t xml:space="preserve">de rouvrir les négociations à l’occasion </w:t>
      </w:r>
      <w:r w:rsidR="004C7091" w:rsidRPr="00063C6C">
        <w:rPr>
          <w:rFonts w:ascii="Tahoma" w:cs="Tahoma" w:hAnsi="Tahoma"/>
          <w:sz w:val="20"/>
        </w:rPr>
        <w:t>d’</w:t>
      </w:r>
      <w:r w:rsidR="006A098B" w:rsidRPr="00063C6C">
        <w:rPr>
          <w:rFonts w:ascii="Tahoma" w:cs="Tahoma" w:hAnsi="Tahoma"/>
          <w:sz w:val="20"/>
        </w:rPr>
        <w:t xml:space="preserve">une réunion </w:t>
      </w:r>
      <w:r w:rsidR="005B06E2" w:rsidRPr="00063C6C">
        <w:rPr>
          <w:rFonts w:ascii="Tahoma" w:cs="Tahoma" w:hAnsi="Tahoma"/>
          <w:sz w:val="20"/>
        </w:rPr>
        <w:t xml:space="preserve">fixée </w:t>
      </w:r>
      <w:r w:rsidR="0020120F" w:rsidRPr="00063C6C">
        <w:rPr>
          <w:rFonts w:ascii="Tahoma" w:cs="Tahoma" w:hAnsi="Tahoma"/>
          <w:sz w:val="20"/>
        </w:rPr>
        <w:t>dès le</w:t>
      </w:r>
      <w:r w:rsidR="005B06E2" w:rsidRPr="00063C6C">
        <w:rPr>
          <w:rFonts w:ascii="Tahoma" w:cs="Tahoma" w:hAnsi="Tahoma"/>
          <w:sz w:val="20"/>
        </w:rPr>
        <w:t xml:space="preserve"> 14 janvier 2022</w:t>
      </w:r>
      <w:r w:rsidR="00C66DEF" w:rsidRPr="00063C6C">
        <w:rPr>
          <w:rFonts w:ascii="Tahoma" w:cs="Tahoma" w:hAnsi="Tahoma"/>
          <w:sz w:val="20"/>
        </w:rPr>
        <w:t xml:space="preserve"> afin de revoir la valeur du plafond de la fourchette de budget </w:t>
      </w:r>
      <w:r w:rsidR="00474276" w:rsidRPr="0080069D">
        <w:rPr>
          <w:rFonts w:ascii="Tahoma" w:cs="Tahoma" w:hAnsi="Tahoma"/>
          <w:sz w:val="20"/>
        </w:rPr>
        <w:t xml:space="preserve">à hauteur de 2,8 % </w:t>
      </w:r>
      <w:r w:rsidR="0020120F" w:rsidRPr="00063C6C">
        <w:rPr>
          <w:rFonts w:ascii="Tahoma" w:cs="Tahoma" w:hAnsi="Tahoma"/>
          <w:sz w:val="20"/>
        </w:rPr>
        <w:t>et permettre aux négociations locales d’intégrer cette évolution</w:t>
      </w:r>
      <w:r w:rsidR="005B06E2" w:rsidRPr="00063C6C">
        <w:rPr>
          <w:rFonts w:ascii="Tahoma" w:cs="Tahoma" w:hAnsi="Tahoma"/>
          <w:sz w:val="20"/>
        </w:rPr>
        <w:t>.</w:t>
      </w:r>
      <w:r w:rsidR="00BA0B8B" w:rsidRPr="00063C6C">
        <w:rPr>
          <w:rFonts w:ascii="Tahoma" w:cs="Tahoma" w:hAnsi="Tahoma"/>
          <w:sz w:val="20"/>
        </w:rPr>
        <w:t xml:space="preserve"> Un procès-verbal de désaccord a toutefois été signé le </w:t>
      </w:r>
      <w:r w:rsidR="009B3059" w:rsidRPr="00063C6C">
        <w:rPr>
          <w:rFonts w:ascii="Tahoma" w:cs="Tahoma" w:hAnsi="Tahoma"/>
          <w:sz w:val="20"/>
        </w:rPr>
        <w:t>21 janvier 2022.</w:t>
      </w:r>
    </w:p>
    <w:p w14:paraId="27FE360D" w14:textId="4D38A257" w:rsidP="0056630C" w:rsidR="004C7091" w:rsidRDefault="009B3059" w:rsidRPr="00E2675B">
      <w:pPr>
        <w:pStyle w:val="texte"/>
        <w:spacing w:before="120"/>
        <w:rPr>
          <w:rFonts w:ascii="Tahoma" w:cs="Tahoma" w:hAnsi="Tahoma"/>
          <w:sz w:val="20"/>
        </w:rPr>
      </w:pPr>
      <w:r w:rsidRPr="00063C6C">
        <w:rPr>
          <w:rFonts w:ascii="Tahoma" w:cs="Tahoma" w:hAnsi="Tahoma"/>
          <w:sz w:val="20"/>
        </w:rPr>
        <w:t>Toutefois</w:t>
      </w:r>
      <w:r w:rsidR="004C7091" w:rsidRPr="00063C6C">
        <w:rPr>
          <w:rFonts w:ascii="Tahoma" w:cs="Tahoma" w:hAnsi="Tahoma"/>
          <w:sz w:val="20"/>
        </w:rPr>
        <w:t xml:space="preserve">, après que de nouvelles revendications aient été transmises par les organisations syndicales représentatives le 27 janvier 2022, une ultime réunion a été organisée le 31 janvier 2022. </w:t>
      </w:r>
      <w:r w:rsidR="00F81E2D" w:rsidRPr="00063C6C">
        <w:rPr>
          <w:rFonts w:ascii="Tahoma" w:cs="Tahoma" w:hAnsi="Tahoma"/>
          <w:sz w:val="20"/>
        </w:rPr>
        <w:t xml:space="preserve">les Parties ont arrêté les principes et mesures transcrites ci-après, après avoir fait évoluer </w:t>
      </w:r>
      <w:r w:rsidR="00A566A4" w:rsidRPr="00063C6C">
        <w:rPr>
          <w:rFonts w:ascii="Tahoma" w:cs="Tahoma" w:hAnsi="Tahoma"/>
          <w:sz w:val="20"/>
        </w:rPr>
        <w:t>leurs dernières</w:t>
      </w:r>
      <w:r w:rsidR="00F81E2D" w:rsidRPr="00063C6C">
        <w:rPr>
          <w:rFonts w:ascii="Tahoma" w:cs="Tahoma" w:hAnsi="Tahoma"/>
          <w:sz w:val="20"/>
        </w:rPr>
        <w:t xml:space="preserve"> proposition</w:t>
      </w:r>
      <w:r w:rsidR="00A566A4" w:rsidRPr="00063C6C">
        <w:rPr>
          <w:rFonts w:ascii="Tahoma" w:cs="Tahoma" w:hAnsi="Tahoma"/>
          <w:sz w:val="20"/>
        </w:rPr>
        <w:t>s</w:t>
      </w:r>
      <w:r w:rsidR="004C7091" w:rsidRPr="00063C6C">
        <w:rPr>
          <w:rFonts w:ascii="Tahoma" w:cs="Tahoma" w:hAnsi="Tahoma"/>
          <w:sz w:val="20"/>
        </w:rPr>
        <w:t>.</w:t>
      </w:r>
    </w:p>
    <w:p w14:paraId="0791219A" w14:textId="77777777" w:rsidP="00A83E3A" w:rsidR="00CE5658" w:rsidRDefault="00CE5658" w:rsidRPr="00E2675B">
      <w:pPr>
        <w:pStyle w:val="texte"/>
        <w:rPr>
          <w:rFonts w:ascii="Tahoma" w:cs="Tahoma" w:hAnsi="Tahoma"/>
          <w:sz w:val="20"/>
        </w:rPr>
      </w:pPr>
    </w:p>
    <w:p w14:paraId="65C2B549" w14:textId="77777777" w:rsidP="0056630C" w:rsidR="00917639" w:rsidRDefault="00A83E3A" w:rsidRPr="00E2675B">
      <w:pPr>
        <w:pStyle w:val="texte"/>
        <w:spacing w:before="120"/>
        <w:rPr>
          <w:rFonts w:ascii="Tahoma" w:cs="Tahoma" w:hAnsi="Tahoma"/>
          <w:b/>
          <w:sz w:val="20"/>
        </w:rPr>
      </w:pPr>
      <w:r w:rsidRPr="00E2675B">
        <w:rPr>
          <w:rFonts w:ascii="Tahoma" w:cs="Tahoma" w:hAnsi="Tahoma"/>
          <w:b/>
          <w:bCs/>
          <w:sz w:val="20"/>
        </w:rPr>
        <w:t>Art</w:t>
      </w:r>
      <w:r w:rsidR="00423715" w:rsidRPr="00E2675B">
        <w:rPr>
          <w:rFonts w:ascii="Tahoma" w:cs="Tahoma" w:hAnsi="Tahoma"/>
          <w:b/>
          <w:bCs/>
          <w:sz w:val="20"/>
        </w:rPr>
        <w:t>icle</w:t>
      </w:r>
      <w:r w:rsidRPr="00E2675B">
        <w:rPr>
          <w:rFonts w:ascii="Tahoma" w:cs="Tahoma" w:hAnsi="Tahoma"/>
          <w:b/>
          <w:bCs/>
          <w:sz w:val="20"/>
        </w:rPr>
        <w:t xml:space="preserve"> 1</w:t>
      </w:r>
      <w:r w:rsidRPr="00E2675B">
        <w:rPr>
          <w:rFonts w:ascii="Tahoma" w:cs="Tahoma" w:hAnsi="Tahoma"/>
          <w:b/>
          <w:bCs/>
          <w:sz w:val="20"/>
          <w:vertAlign w:val="superscript"/>
        </w:rPr>
        <w:t>er</w:t>
      </w:r>
      <w:r w:rsidRPr="00E2675B">
        <w:rPr>
          <w:rFonts w:ascii="Tahoma" w:cs="Tahoma" w:hAnsi="Tahoma"/>
          <w:b/>
          <w:sz w:val="20"/>
        </w:rPr>
        <w:t xml:space="preserve"> </w:t>
      </w:r>
      <w:r w:rsidR="00917639" w:rsidRPr="00E2675B">
        <w:rPr>
          <w:rFonts w:ascii="Tahoma" w:cs="Tahoma" w:hAnsi="Tahoma"/>
          <w:b/>
          <w:sz w:val="20"/>
        </w:rPr>
        <w:t>–</w:t>
      </w:r>
      <w:r w:rsidRPr="00E2675B">
        <w:rPr>
          <w:rFonts w:ascii="Tahoma" w:cs="Tahoma" w:hAnsi="Tahoma"/>
          <w:b/>
          <w:sz w:val="20"/>
        </w:rPr>
        <w:t xml:space="preserve"> </w:t>
      </w:r>
      <w:r w:rsidR="00917639" w:rsidRPr="00E2675B">
        <w:rPr>
          <w:rFonts w:ascii="Tahoma" w:cs="Tahoma" w:hAnsi="Tahoma"/>
          <w:b/>
          <w:sz w:val="20"/>
        </w:rPr>
        <w:t>CHAMP D’APPLICATION</w:t>
      </w:r>
    </w:p>
    <w:p w14:paraId="79B18F07" w14:textId="77777777" w:rsidP="00C5743A" w:rsidR="00C5743A" w:rsidRDefault="00C5743A" w:rsidRPr="00E2675B">
      <w:pPr>
        <w:pStyle w:val="texte"/>
        <w:spacing w:before="120"/>
        <w:rPr>
          <w:rFonts w:ascii="Tahoma" w:cs="Tahoma" w:hAnsi="Tahoma"/>
          <w:sz w:val="20"/>
        </w:rPr>
      </w:pPr>
      <w:r w:rsidRPr="00E2675B">
        <w:rPr>
          <w:rFonts w:ascii="Tahoma" w:cs="Tahoma" w:hAnsi="Tahoma"/>
          <w:sz w:val="20"/>
        </w:rPr>
        <w:t xml:space="preserve">Le champ d'application du présent accord sera l'unité économique et sociale </w:t>
      </w:r>
      <w:r w:rsidRPr="00E2675B">
        <w:rPr>
          <w:rFonts w:ascii="Tahoma" w:cs="Tahoma" w:hAnsi="Tahoma"/>
          <w:bCs/>
          <w:sz w:val="20"/>
        </w:rPr>
        <w:t>ENGIE Ineo</w:t>
      </w:r>
      <w:r w:rsidRPr="00E2675B">
        <w:rPr>
          <w:rFonts w:ascii="Tahoma" w:cs="Tahoma" w:hAnsi="Tahoma"/>
          <w:sz w:val="20"/>
        </w:rPr>
        <w:t xml:space="preserve"> reconnue par l’accord collectif du 25 septembre 2002.</w:t>
      </w:r>
    </w:p>
    <w:p w14:paraId="2BC8F3C2" w14:textId="1BFAD676" w:rsidP="0056630C" w:rsidR="00A83E3A" w:rsidRDefault="00C5743A" w:rsidRPr="00E2675B">
      <w:pPr>
        <w:pStyle w:val="texte"/>
        <w:spacing w:before="120"/>
        <w:rPr>
          <w:rFonts w:ascii="Tahoma" w:cs="Tahoma" w:hAnsi="Tahoma"/>
          <w:sz w:val="20"/>
        </w:rPr>
      </w:pPr>
      <w:r w:rsidRPr="00E2675B">
        <w:rPr>
          <w:rFonts w:ascii="Tahoma" w:cs="Tahoma" w:hAnsi="Tahoma"/>
          <w:sz w:val="20"/>
        </w:rPr>
        <w:t xml:space="preserve">Il </w:t>
      </w:r>
      <w:r w:rsidR="00A83E3A" w:rsidRPr="00E2675B">
        <w:rPr>
          <w:rFonts w:ascii="Tahoma" w:cs="Tahoma" w:hAnsi="Tahoma"/>
          <w:sz w:val="20"/>
        </w:rPr>
        <w:t>concerne</w:t>
      </w:r>
      <w:r w:rsidR="0042755D" w:rsidRPr="00E2675B">
        <w:rPr>
          <w:rFonts w:ascii="Tahoma" w:cs="Tahoma" w:hAnsi="Tahoma"/>
          <w:sz w:val="20"/>
        </w:rPr>
        <w:t xml:space="preserve"> </w:t>
      </w:r>
      <w:r w:rsidR="00A83E3A" w:rsidRPr="00E2675B">
        <w:rPr>
          <w:rFonts w:ascii="Tahoma" w:cs="Tahoma" w:hAnsi="Tahoma"/>
          <w:sz w:val="20"/>
        </w:rPr>
        <w:t>l'ensemble des salariés</w:t>
      </w:r>
      <w:r w:rsidR="00F349FA" w:rsidRPr="00E2675B">
        <w:rPr>
          <w:rFonts w:ascii="Tahoma" w:cs="Tahoma" w:hAnsi="Tahoma"/>
          <w:sz w:val="20"/>
        </w:rPr>
        <w:t xml:space="preserve"> de l’UES.</w:t>
      </w:r>
    </w:p>
    <w:p w14:paraId="4D262B53" w14:textId="41470828" w:rsidP="00BC7E9E" w:rsidR="00BC7E9E" w:rsidRDefault="00BC7E9E" w:rsidRPr="00E2675B">
      <w:pPr>
        <w:pStyle w:val="texte"/>
        <w:spacing w:before="120"/>
        <w:rPr>
          <w:rFonts w:ascii="Tahoma" w:cs="Tahoma" w:hAnsi="Tahoma"/>
          <w:sz w:val="20"/>
        </w:rPr>
      </w:pPr>
      <w:r w:rsidRPr="00E2675B">
        <w:rPr>
          <w:rFonts w:ascii="Tahoma" w:cs="Tahoma" w:hAnsi="Tahoma"/>
          <w:sz w:val="20"/>
        </w:rPr>
        <w:t>Il sera néanmoins précisé que le calendrier de mise en œuvre des dispositions du présent accord pourra être adapté pour les sociétés récemment intégrées au périmètre de l’UES.</w:t>
      </w:r>
    </w:p>
    <w:p w14:paraId="4514EA4C" w14:textId="4BA06B5E" w:rsidP="00A74E5F" w:rsidR="00EE6547" w:rsidRDefault="00EE6547">
      <w:pPr>
        <w:pStyle w:val="texte"/>
        <w:rPr>
          <w:rFonts w:ascii="Tahoma" w:cs="Tahoma" w:hAnsi="Tahoma"/>
          <w:sz w:val="20"/>
        </w:rPr>
      </w:pPr>
    </w:p>
    <w:p w14:paraId="6443D02F" w14:textId="18968F84" w:rsidP="00A74E5F" w:rsidR="00063C6C" w:rsidRDefault="00063C6C">
      <w:pPr>
        <w:pStyle w:val="texte"/>
        <w:rPr>
          <w:rFonts w:ascii="Tahoma" w:cs="Tahoma" w:hAnsi="Tahoma"/>
          <w:sz w:val="20"/>
        </w:rPr>
      </w:pPr>
    </w:p>
    <w:p w14:paraId="630C78C4" w14:textId="7081F1C8" w:rsidP="00A74E5F" w:rsidR="00063C6C" w:rsidRDefault="00063C6C">
      <w:pPr>
        <w:pStyle w:val="texte"/>
        <w:rPr>
          <w:rFonts w:ascii="Tahoma" w:cs="Tahoma" w:hAnsi="Tahoma"/>
          <w:sz w:val="20"/>
        </w:rPr>
      </w:pPr>
    </w:p>
    <w:p w14:paraId="44258C27" w14:textId="77777777" w:rsidP="00A74E5F" w:rsidR="00063C6C" w:rsidRDefault="00063C6C" w:rsidRPr="00E2675B">
      <w:pPr>
        <w:pStyle w:val="texte"/>
        <w:rPr>
          <w:rFonts w:ascii="Tahoma" w:cs="Tahoma" w:hAnsi="Tahoma"/>
          <w:sz w:val="20"/>
        </w:rPr>
      </w:pPr>
    </w:p>
    <w:p w14:paraId="55E8BBC7" w14:textId="77777777" w:rsidP="0056630C" w:rsidR="00917639" w:rsidRDefault="00A83E3A" w:rsidRPr="00E2675B">
      <w:pPr>
        <w:pStyle w:val="texte"/>
        <w:spacing w:before="120"/>
        <w:rPr>
          <w:rFonts w:ascii="Tahoma" w:cs="Tahoma" w:hAnsi="Tahoma"/>
          <w:b/>
          <w:bCs/>
          <w:sz w:val="20"/>
        </w:rPr>
      </w:pPr>
      <w:r w:rsidRPr="00E2675B">
        <w:rPr>
          <w:rFonts w:ascii="Tahoma" w:cs="Tahoma" w:hAnsi="Tahoma"/>
          <w:b/>
          <w:bCs/>
          <w:sz w:val="20"/>
        </w:rPr>
        <w:lastRenderedPageBreak/>
        <w:t>Art</w:t>
      </w:r>
      <w:r w:rsidR="00423715" w:rsidRPr="00E2675B">
        <w:rPr>
          <w:rFonts w:ascii="Tahoma" w:cs="Tahoma" w:hAnsi="Tahoma"/>
          <w:b/>
          <w:bCs/>
          <w:sz w:val="20"/>
        </w:rPr>
        <w:t>icle 2</w:t>
      </w:r>
      <w:r w:rsidRPr="00E2675B">
        <w:rPr>
          <w:rFonts w:ascii="Tahoma" w:cs="Tahoma" w:hAnsi="Tahoma"/>
          <w:b/>
          <w:bCs/>
          <w:sz w:val="20"/>
        </w:rPr>
        <w:t xml:space="preserve"> </w:t>
      </w:r>
      <w:r w:rsidR="00917639" w:rsidRPr="00E2675B">
        <w:rPr>
          <w:rFonts w:ascii="Tahoma" w:cs="Tahoma" w:hAnsi="Tahoma"/>
          <w:b/>
          <w:bCs/>
          <w:sz w:val="20"/>
        </w:rPr>
        <w:t>–</w:t>
      </w:r>
      <w:r w:rsidRPr="00E2675B">
        <w:rPr>
          <w:rFonts w:ascii="Tahoma" w:cs="Tahoma" w:hAnsi="Tahoma"/>
          <w:b/>
          <w:bCs/>
          <w:sz w:val="20"/>
        </w:rPr>
        <w:t xml:space="preserve"> </w:t>
      </w:r>
      <w:r w:rsidR="00917639" w:rsidRPr="00E2675B">
        <w:rPr>
          <w:rFonts w:ascii="Tahoma" w:cs="Tahoma" w:hAnsi="Tahoma"/>
          <w:b/>
          <w:bCs/>
          <w:sz w:val="20"/>
        </w:rPr>
        <w:t>DUREE</w:t>
      </w:r>
    </w:p>
    <w:p w14:paraId="5C78A7CB" w14:textId="3C6EAEC6" w:rsidP="0056630C" w:rsidR="00A83E3A" w:rsidRDefault="00A83E3A" w:rsidRPr="00E2675B">
      <w:pPr>
        <w:pStyle w:val="texte"/>
        <w:spacing w:before="120"/>
        <w:rPr>
          <w:rFonts w:ascii="Tahoma" w:cs="Tahoma" w:hAnsi="Tahoma"/>
          <w:sz w:val="20"/>
        </w:rPr>
      </w:pPr>
      <w:r w:rsidRPr="00E2675B">
        <w:rPr>
          <w:rFonts w:ascii="Tahoma" w:cs="Tahoma" w:hAnsi="Tahoma"/>
          <w:sz w:val="20"/>
        </w:rPr>
        <w:t xml:space="preserve">Le présent accord est conclu </w:t>
      </w:r>
      <w:r w:rsidR="004779E0" w:rsidRPr="00E2675B">
        <w:rPr>
          <w:rFonts w:ascii="Tahoma" w:cs="Tahoma" w:hAnsi="Tahoma"/>
          <w:sz w:val="20"/>
        </w:rPr>
        <w:t xml:space="preserve">pour une durée déterminée </w:t>
      </w:r>
      <w:r w:rsidR="006456BD">
        <w:rPr>
          <w:rFonts w:ascii="Tahoma" w:cs="Tahoma" w:hAnsi="Tahoma"/>
          <w:sz w:val="20"/>
        </w:rPr>
        <w:t>fixée sur l’année civile 2022</w:t>
      </w:r>
      <w:r w:rsidR="004779E0" w:rsidRPr="00E2675B">
        <w:rPr>
          <w:rFonts w:ascii="Tahoma" w:cs="Tahoma" w:hAnsi="Tahoma"/>
          <w:sz w:val="20"/>
        </w:rPr>
        <w:t>, correspondant à l'exercice social de la société, pour laquelle sont établies les prévisions économiques, à savoir pour la période du 1</w:t>
      </w:r>
      <w:r w:rsidR="004779E0" w:rsidRPr="00E2675B">
        <w:rPr>
          <w:rFonts w:ascii="Tahoma" w:cs="Tahoma" w:hAnsi="Tahoma"/>
          <w:sz w:val="20"/>
          <w:vertAlign w:val="superscript"/>
        </w:rPr>
        <w:t>er</w:t>
      </w:r>
      <w:r w:rsidR="004779E0" w:rsidRPr="00E2675B">
        <w:rPr>
          <w:rFonts w:ascii="Tahoma" w:cs="Tahoma" w:hAnsi="Tahoma"/>
          <w:sz w:val="20"/>
        </w:rPr>
        <w:t xml:space="preserve"> janvier 20</w:t>
      </w:r>
      <w:r w:rsidR="00B665DB" w:rsidRPr="00E2675B">
        <w:rPr>
          <w:rFonts w:ascii="Tahoma" w:cs="Tahoma" w:hAnsi="Tahoma"/>
          <w:sz w:val="20"/>
        </w:rPr>
        <w:t>2</w:t>
      </w:r>
      <w:r w:rsidR="00357988" w:rsidRPr="00E2675B">
        <w:rPr>
          <w:rFonts w:ascii="Tahoma" w:cs="Tahoma" w:hAnsi="Tahoma"/>
          <w:sz w:val="20"/>
        </w:rPr>
        <w:t>2</w:t>
      </w:r>
      <w:r w:rsidR="004779E0" w:rsidRPr="00E2675B">
        <w:rPr>
          <w:rFonts w:ascii="Tahoma" w:cs="Tahoma" w:hAnsi="Tahoma"/>
          <w:sz w:val="20"/>
        </w:rPr>
        <w:t xml:space="preserve"> au 31 décembre 20</w:t>
      </w:r>
      <w:r w:rsidR="00F66D7F" w:rsidRPr="00E2675B">
        <w:rPr>
          <w:rFonts w:ascii="Tahoma" w:cs="Tahoma" w:hAnsi="Tahoma"/>
          <w:sz w:val="20"/>
        </w:rPr>
        <w:t>2</w:t>
      </w:r>
      <w:r w:rsidR="00357988" w:rsidRPr="00E2675B">
        <w:rPr>
          <w:rFonts w:ascii="Tahoma" w:cs="Tahoma" w:hAnsi="Tahoma"/>
          <w:sz w:val="20"/>
        </w:rPr>
        <w:t>2</w:t>
      </w:r>
      <w:r w:rsidR="004779E0" w:rsidRPr="00E2675B">
        <w:rPr>
          <w:rFonts w:ascii="Tahoma" w:cs="Tahoma" w:hAnsi="Tahoma"/>
          <w:sz w:val="20"/>
        </w:rPr>
        <w:t>.</w:t>
      </w:r>
    </w:p>
    <w:p w14:paraId="1BCA032B" w14:textId="77777777" w:rsidP="0056630C" w:rsidR="00A83E3A" w:rsidRDefault="00A83E3A" w:rsidRPr="00E2675B">
      <w:pPr>
        <w:pStyle w:val="texte"/>
        <w:spacing w:before="120"/>
        <w:rPr>
          <w:rFonts w:ascii="Tahoma" w:cs="Tahoma" w:hAnsi="Tahoma"/>
          <w:sz w:val="20"/>
        </w:rPr>
      </w:pPr>
      <w:r w:rsidRPr="00E2675B">
        <w:rPr>
          <w:rFonts w:ascii="Tahoma" w:cs="Tahoma" w:hAnsi="Tahoma"/>
          <w:sz w:val="20"/>
        </w:rPr>
        <w:t>À cette dernière date, il prendra fin automatiquement, sans se transformer en accord à durée indéterminée, en raison de l'obligation de négocier un nouvel accord et du rattachement des avantages ci-après aux objectifs économiques de la période pendant laquelle il produira effet.</w:t>
      </w:r>
    </w:p>
    <w:p w14:paraId="2FE85C18" w14:textId="77777777" w:rsidP="00A83E3A" w:rsidR="002E2CBE" w:rsidRDefault="002E2CBE" w:rsidRPr="00E2675B">
      <w:pPr>
        <w:pStyle w:val="texte"/>
        <w:rPr>
          <w:rFonts w:ascii="Tahoma" w:cs="Tahoma" w:hAnsi="Tahoma"/>
          <w:sz w:val="20"/>
        </w:rPr>
      </w:pPr>
    </w:p>
    <w:p w14:paraId="0021C589" w14:textId="77777777" w:rsidP="002C38F9" w:rsidR="002C38F9" w:rsidRDefault="002C38F9" w:rsidRPr="00E2675B">
      <w:pPr>
        <w:spacing w:before="120"/>
        <w:rPr>
          <w:rFonts w:ascii="Tahoma" w:cs="Tahoma" w:hAnsi="Tahoma"/>
          <w:b/>
          <w:sz w:val="20"/>
          <w:szCs w:val="20"/>
        </w:rPr>
      </w:pPr>
      <w:r w:rsidRPr="00E2675B">
        <w:rPr>
          <w:rFonts w:ascii="Tahoma" w:cs="Tahoma" w:hAnsi="Tahoma"/>
          <w:b/>
          <w:bCs/>
          <w:sz w:val="20"/>
          <w:szCs w:val="20"/>
        </w:rPr>
        <w:t>Art</w:t>
      </w:r>
      <w:r w:rsidR="00423715" w:rsidRPr="00E2675B">
        <w:rPr>
          <w:rFonts w:ascii="Tahoma" w:cs="Tahoma" w:hAnsi="Tahoma"/>
          <w:b/>
          <w:bCs/>
          <w:sz w:val="20"/>
          <w:szCs w:val="20"/>
        </w:rPr>
        <w:t>icle 3</w:t>
      </w:r>
      <w:r w:rsidRPr="00E2675B">
        <w:rPr>
          <w:rFonts w:ascii="Tahoma" w:cs="Tahoma" w:hAnsi="Tahoma"/>
          <w:b/>
          <w:bCs/>
          <w:sz w:val="20"/>
          <w:szCs w:val="20"/>
        </w:rPr>
        <w:t xml:space="preserve"> –</w:t>
      </w:r>
      <w:r w:rsidRPr="00E2675B">
        <w:rPr>
          <w:rFonts w:ascii="Tahoma" w:cs="Tahoma" w:hAnsi="Tahoma"/>
          <w:b/>
          <w:sz w:val="20"/>
          <w:szCs w:val="20"/>
        </w:rPr>
        <w:t xml:space="preserve"> CALENDRIER DES REVISIONS SALARIALES</w:t>
      </w:r>
    </w:p>
    <w:p w14:paraId="2302B70F" w14:textId="4DEF092A" w:rsidP="004779E0" w:rsidR="001E3A5E" w:rsidRDefault="004779E0" w:rsidRPr="00E2675B">
      <w:pPr>
        <w:spacing w:before="120"/>
        <w:rPr>
          <w:rFonts w:ascii="Tahoma" w:cs="Tahoma" w:hAnsi="Tahoma"/>
          <w:sz w:val="20"/>
        </w:rPr>
      </w:pPr>
      <w:r w:rsidRPr="00E2675B">
        <w:rPr>
          <w:rFonts w:ascii="Tahoma" w:cs="Tahoma" w:hAnsi="Tahoma"/>
          <w:sz w:val="20"/>
        </w:rPr>
        <w:t xml:space="preserve">Pour l’ensemble des collaborateurs, les révisions salariales interviendront </w:t>
      </w:r>
      <w:r w:rsidRPr="00E2675B">
        <w:rPr>
          <w:rFonts w:ascii="Tahoma" w:cs="Tahoma" w:hAnsi="Tahoma"/>
          <w:b/>
          <w:sz w:val="20"/>
        </w:rPr>
        <w:t xml:space="preserve">au </w:t>
      </w:r>
      <w:r w:rsidR="0008787D" w:rsidRPr="00E2675B">
        <w:rPr>
          <w:rFonts w:ascii="Tahoma" w:cs="Tahoma" w:hAnsi="Tahoma"/>
          <w:b/>
          <w:sz w:val="20"/>
        </w:rPr>
        <w:t>3</w:t>
      </w:r>
      <w:r w:rsidR="0089699A" w:rsidRPr="00E2675B">
        <w:rPr>
          <w:rFonts w:ascii="Tahoma" w:cs="Tahoma" w:hAnsi="Tahoma"/>
          <w:b/>
          <w:sz w:val="20"/>
        </w:rPr>
        <w:t>1</w:t>
      </w:r>
      <w:r w:rsidR="0008787D" w:rsidRPr="00E2675B">
        <w:rPr>
          <w:rFonts w:ascii="Tahoma" w:cs="Tahoma" w:hAnsi="Tahoma"/>
          <w:b/>
          <w:sz w:val="20"/>
        </w:rPr>
        <w:t>/0</w:t>
      </w:r>
      <w:r w:rsidR="0089699A" w:rsidRPr="00E2675B">
        <w:rPr>
          <w:rFonts w:ascii="Tahoma" w:cs="Tahoma" w:hAnsi="Tahoma"/>
          <w:b/>
          <w:sz w:val="20"/>
        </w:rPr>
        <w:t>3</w:t>
      </w:r>
      <w:r w:rsidR="0008787D" w:rsidRPr="00E2675B">
        <w:rPr>
          <w:rFonts w:ascii="Tahoma" w:cs="Tahoma" w:hAnsi="Tahoma"/>
          <w:b/>
          <w:sz w:val="20"/>
        </w:rPr>
        <w:t>/20</w:t>
      </w:r>
      <w:r w:rsidR="0089699A" w:rsidRPr="00E2675B">
        <w:rPr>
          <w:rFonts w:ascii="Tahoma" w:cs="Tahoma" w:hAnsi="Tahoma"/>
          <w:b/>
          <w:sz w:val="20"/>
        </w:rPr>
        <w:t>2</w:t>
      </w:r>
      <w:r w:rsidR="00357988" w:rsidRPr="00E2675B">
        <w:rPr>
          <w:rFonts w:ascii="Tahoma" w:cs="Tahoma" w:hAnsi="Tahoma"/>
          <w:b/>
          <w:sz w:val="20"/>
        </w:rPr>
        <w:t>2</w:t>
      </w:r>
      <w:r w:rsidRPr="00E2675B">
        <w:rPr>
          <w:rFonts w:ascii="Tahoma" w:cs="Tahoma" w:hAnsi="Tahoma"/>
          <w:sz w:val="20"/>
        </w:rPr>
        <w:t xml:space="preserve"> avec effet </w:t>
      </w:r>
      <w:r w:rsidR="0008787D" w:rsidRPr="00E2675B">
        <w:rPr>
          <w:rFonts w:ascii="Tahoma" w:cs="Tahoma" w:hAnsi="Tahoma"/>
          <w:sz w:val="20"/>
        </w:rPr>
        <w:t>rétroactif au 01/01/20</w:t>
      </w:r>
      <w:r w:rsidR="0089699A" w:rsidRPr="00E2675B">
        <w:rPr>
          <w:rFonts w:ascii="Tahoma" w:cs="Tahoma" w:hAnsi="Tahoma"/>
          <w:sz w:val="20"/>
        </w:rPr>
        <w:t>2</w:t>
      </w:r>
      <w:r w:rsidR="00357988" w:rsidRPr="00E2675B">
        <w:rPr>
          <w:rFonts w:ascii="Tahoma" w:cs="Tahoma" w:hAnsi="Tahoma"/>
          <w:sz w:val="20"/>
        </w:rPr>
        <w:t>2</w:t>
      </w:r>
      <w:r w:rsidRPr="00E2675B">
        <w:rPr>
          <w:rFonts w:ascii="Tahoma" w:cs="Tahoma" w:hAnsi="Tahoma"/>
          <w:sz w:val="20"/>
        </w:rPr>
        <w:t>.</w:t>
      </w:r>
      <w:r w:rsidR="00537190" w:rsidRPr="00E2675B">
        <w:rPr>
          <w:rFonts w:ascii="Tahoma" w:cs="Tahoma" w:hAnsi="Tahoma"/>
          <w:sz w:val="20"/>
        </w:rPr>
        <w:t xml:space="preserve"> Elles n’auront pas vocation à impacter le calcul des heures supplémentaires versées le cas échéant entre le 1</w:t>
      </w:r>
      <w:r w:rsidR="00537190" w:rsidRPr="00E2675B">
        <w:rPr>
          <w:rFonts w:ascii="Tahoma" w:cs="Tahoma" w:hAnsi="Tahoma"/>
          <w:sz w:val="20"/>
          <w:vertAlign w:val="superscript"/>
        </w:rPr>
        <w:t>er</w:t>
      </w:r>
      <w:r w:rsidR="00537190" w:rsidRPr="00E2675B">
        <w:rPr>
          <w:rFonts w:ascii="Tahoma" w:cs="Tahoma" w:hAnsi="Tahoma"/>
          <w:sz w:val="20"/>
        </w:rPr>
        <w:t xml:space="preserve"> janvier 202</w:t>
      </w:r>
      <w:r w:rsidR="00357988" w:rsidRPr="00E2675B">
        <w:rPr>
          <w:rFonts w:ascii="Tahoma" w:cs="Tahoma" w:hAnsi="Tahoma"/>
          <w:sz w:val="20"/>
        </w:rPr>
        <w:t>2</w:t>
      </w:r>
      <w:r w:rsidR="00537190" w:rsidRPr="00E2675B">
        <w:rPr>
          <w:rFonts w:ascii="Tahoma" w:cs="Tahoma" w:hAnsi="Tahoma"/>
          <w:sz w:val="20"/>
        </w:rPr>
        <w:t xml:space="preserve"> et le 28 février 202</w:t>
      </w:r>
      <w:r w:rsidR="00357988" w:rsidRPr="00E2675B">
        <w:rPr>
          <w:rFonts w:ascii="Tahoma" w:cs="Tahoma" w:hAnsi="Tahoma"/>
          <w:sz w:val="20"/>
        </w:rPr>
        <w:t>2</w:t>
      </w:r>
      <w:r w:rsidR="00537190" w:rsidRPr="00E2675B">
        <w:rPr>
          <w:rFonts w:ascii="Tahoma" w:cs="Tahoma" w:hAnsi="Tahoma"/>
          <w:sz w:val="20"/>
        </w:rPr>
        <w:t>.</w:t>
      </w:r>
    </w:p>
    <w:p w14:paraId="663F66A6" w14:textId="731E3F9B" w:rsidP="004779E0" w:rsidR="00FF1D97" w:rsidRDefault="00FF1D97">
      <w:pPr>
        <w:spacing w:before="120"/>
        <w:rPr>
          <w:rFonts w:ascii="Tahoma" w:cs="Tahoma" w:hAnsi="Tahoma"/>
          <w:sz w:val="20"/>
        </w:rPr>
      </w:pPr>
      <w:r w:rsidRPr="00E2675B">
        <w:rPr>
          <w:rFonts w:ascii="Tahoma" w:cs="Tahoma" w:hAnsi="Tahoma"/>
          <w:sz w:val="20"/>
        </w:rPr>
        <w:t xml:space="preserve">Par ailleurs, </w:t>
      </w:r>
      <w:r w:rsidR="002D590A" w:rsidRPr="00E2675B">
        <w:rPr>
          <w:rFonts w:ascii="Tahoma" w:cs="Tahoma" w:hAnsi="Tahoma"/>
          <w:sz w:val="20"/>
        </w:rPr>
        <w:t xml:space="preserve">toute autre mesure décidée en cours d’année (notamment les promotions) sera appliquée </w:t>
      </w:r>
      <w:r w:rsidR="00957570" w:rsidRPr="00E2675B">
        <w:rPr>
          <w:rFonts w:ascii="Tahoma" w:cs="Tahoma" w:hAnsi="Tahoma"/>
          <w:sz w:val="20"/>
        </w:rPr>
        <w:t>au 1</w:t>
      </w:r>
      <w:r w:rsidR="00957570" w:rsidRPr="00E2675B">
        <w:rPr>
          <w:rFonts w:ascii="Tahoma" w:cs="Tahoma" w:hAnsi="Tahoma"/>
          <w:sz w:val="20"/>
          <w:vertAlign w:val="superscript"/>
        </w:rPr>
        <w:t>er</w:t>
      </w:r>
      <w:r w:rsidR="00957570" w:rsidRPr="00E2675B">
        <w:rPr>
          <w:rFonts w:ascii="Tahoma" w:cs="Tahoma" w:hAnsi="Tahoma"/>
          <w:sz w:val="20"/>
        </w:rPr>
        <w:t xml:space="preserve"> jour du mois au cours duquel la décision sera prise.</w:t>
      </w:r>
    </w:p>
    <w:p w14:paraId="3A35745F" w14:textId="2FD13981" w:rsidP="004779E0" w:rsidR="004779E0" w:rsidRDefault="004779E0" w:rsidRPr="00E2675B">
      <w:pPr>
        <w:spacing w:before="120"/>
        <w:rPr>
          <w:rFonts w:ascii="Tahoma" w:cs="Tahoma" w:hAnsi="Tahoma"/>
          <w:sz w:val="20"/>
        </w:rPr>
      </w:pPr>
      <w:r w:rsidRPr="00E2675B">
        <w:rPr>
          <w:rFonts w:ascii="Tahoma" w:cs="Tahoma" w:hAnsi="Tahoma"/>
          <w:sz w:val="20"/>
        </w:rPr>
        <w:t>S’agissant des primes ver</w:t>
      </w:r>
      <w:r w:rsidR="0008787D" w:rsidRPr="00E2675B">
        <w:rPr>
          <w:rFonts w:ascii="Tahoma" w:cs="Tahoma" w:hAnsi="Tahoma"/>
          <w:sz w:val="20"/>
        </w:rPr>
        <w:t>sées au titre de l’exercice 20</w:t>
      </w:r>
      <w:r w:rsidR="00B665DB" w:rsidRPr="00E2675B">
        <w:rPr>
          <w:rFonts w:ascii="Tahoma" w:cs="Tahoma" w:hAnsi="Tahoma"/>
          <w:sz w:val="20"/>
        </w:rPr>
        <w:t>2</w:t>
      </w:r>
      <w:r w:rsidR="00357988" w:rsidRPr="00E2675B">
        <w:rPr>
          <w:rFonts w:ascii="Tahoma" w:cs="Tahoma" w:hAnsi="Tahoma"/>
          <w:sz w:val="20"/>
        </w:rPr>
        <w:t>1</w:t>
      </w:r>
      <w:r w:rsidRPr="00E2675B">
        <w:rPr>
          <w:rFonts w:ascii="Tahoma" w:cs="Tahoma" w:hAnsi="Tahoma"/>
          <w:sz w:val="20"/>
        </w:rPr>
        <w:t> :</w:t>
      </w:r>
    </w:p>
    <w:p w14:paraId="2FBE23A6" w14:textId="77777777" w:rsidP="00CE19E7" w:rsidR="004779E0" w:rsidRDefault="004779E0" w:rsidRPr="00E2675B">
      <w:pPr>
        <w:numPr>
          <w:ilvl w:val="0"/>
          <w:numId w:val="1"/>
        </w:numPr>
        <w:tabs>
          <w:tab w:pos="1170" w:val="clear"/>
          <w:tab w:pos="720" w:val="num"/>
        </w:tabs>
        <w:spacing w:before="120"/>
        <w:ind w:left="720"/>
        <w:rPr>
          <w:rFonts w:ascii="Tahoma" w:cs="Tahoma" w:hAnsi="Tahoma"/>
          <w:sz w:val="20"/>
        </w:rPr>
      </w:pPr>
      <w:r w:rsidRPr="00E2675B">
        <w:rPr>
          <w:rFonts w:ascii="Tahoma" w:cs="Tahoma" w:hAnsi="Tahoma"/>
          <w:sz w:val="20"/>
        </w:rPr>
        <w:t>pour les OUVRIERS et ETAM : dates de versement des GFA selon les usages en vigueur au sein des sociétés concernées ;</w:t>
      </w:r>
    </w:p>
    <w:p w14:paraId="2C6A678E" w14:textId="4449B61C" w:rsidP="00CE19E7" w:rsidR="004779E0" w:rsidRDefault="004779E0" w:rsidRPr="00E2675B">
      <w:pPr>
        <w:numPr>
          <w:ilvl w:val="0"/>
          <w:numId w:val="1"/>
        </w:numPr>
        <w:tabs>
          <w:tab w:pos="1170" w:val="clear"/>
          <w:tab w:pos="720" w:val="num"/>
        </w:tabs>
        <w:spacing w:before="120"/>
        <w:ind w:left="720"/>
        <w:rPr>
          <w:rFonts w:ascii="Tahoma" w:cs="Tahoma" w:hAnsi="Tahoma"/>
          <w:sz w:val="20"/>
        </w:rPr>
      </w:pPr>
      <w:r w:rsidRPr="00E2675B">
        <w:rPr>
          <w:rFonts w:ascii="Tahoma" w:cs="Tahoma" w:hAnsi="Tahoma"/>
          <w:sz w:val="20"/>
        </w:rPr>
        <w:t xml:space="preserve">pour les IAC : versement </w:t>
      </w:r>
      <w:r w:rsidRPr="00E2675B">
        <w:rPr>
          <w:rFonts w:ascii="Tahoma" w:cs="Tahoma" w:hAnsi="Tahoma"/>
          <w:b/>
          <w:sz w:val="20"/>
        </w:rPr>
        <w:t xml:space="preserve">en </w:t>
      </w:r>
      <w:r w:rsidR="0089699A" w:rsidRPr="00E2675B">
        <w:rPr>
          <w:rFonts w:ascii="Tahoma" w:cs="Tahoma" w:hAnsi="Tahoma"/>
          <w:b/>
          <w:sz w:val="20"/>
        </w:rPr>
        <w:t>mars</w:t>
      </w:r>
      <w:r w:rsidR="0008787D" w:rsidRPr="00E2675B">
        <w:rPr>
          <w:rFonts w:ascii="Tahoma" w:cs="Tahoma" w:hAnsi="Tahoma"/>
          <w:b/>
          <w:sz w:val="20"/>
        </w:rPr>
        <w:t xml:space="preserve"> 20</w:t>
      </w:r>
      <w:r w:rsidR="00B665DB" w:rsidRPr="00E2675B">
        <w:rPr>
          <w:rFonts w:ascii="Tahoma" w:cs="Tahoma" w:hAnsi="Tahoma"/>
          <w:b/>
          <w:sz w:val="20"/>
        </w:rPr>
        <w:t>2</w:t>
      </w:r>
      <w:r w:rsidR="00357988" w:rsidRPr="00E2675B">
        <w:rPr>
          <w:rFonts w:ascii="Tahoma" w:cs="Tahoma" w:hAnsi="Tahoma"/>
          <w:b/>
          <w:sz w:val="20"/>
        </w:rPr>
        <w:t>2</w:t>
      </w:r>
      <w:r w:rsidRPr="00E2675B">
        <w:rPr>
          <w:rFonts w:ascii="Tahoma" w:cs="Tahoma" w:hAnsi="Tahoma"/>
          <w:sz w:val="20"/>
        </w:rPr>
        <w:t xml:space="preserve"> des PVA.</w:t>
      </w:r>
    </w:p>
    <w:p w14:paraId="09137AAC" w14:textId="77777777" w:rsidP="004779E0" w:rsidR="004779E0" w:rsidRDefault="004779E0" w:rsidRPr="00E2675B">
      <w:pPr>
        <w:pStyle w:val="texte"/>
        <w:spacing w:before="120"/>
        <w:rPr>
          <w:rFonts w:ascii="Tahoma" w:cs="Tahoma" w:hAnsi="Tahoma"/>
          <w:sz w:val="20"/>
        </w:rPr>
      </w:pPr>
      <w:r w:rsidRPr="00E2675B">
        <w:rPr>
          <w:rFonts w:ascii="Tahoma" w:cs="Tahoma" w:hAnsi="Tahoma"/>
          <w:sz w:val="20"/>
        </w:rPr>
        <w:t>Indépendamment du salaire annuel brut de base contractuel, les primes ou gratifications doivent être basées sur le principe de fixation d’objectifs et d’appréciation de la performance.</w:t>
      </w:r>
    </w:p>
    <w:p w14:paraId="4B55C1EB" w14:textId="77777777" w:rsidP="002C38F9" w:rsidR="002C38F9" w:rsidRDefault="002C38F9" w:rsidRPr="00E2675B">
      <w:pPr>
        <w:pStyle w:val="texte"/>
        <w:spacing w:before="120"/>
        <w:rPr>
          <w:rFonts w:ascii="Tahoma" w:cs="Tahoma" w:hAnsi="Tahoma"/>
          <w:sz w:val="20"/>
        </w:rPr>
      </w:pPr>
    </w:p>
    <w:p w14:paraId="33FD3F5F" w14:textId="4930BEB0" w:rsidP="002C38F9" w:rsidR="002C38F9" w:rsidRDefault="002C38F9" w:rsidRPr="00E2675B">
      <w:pPr>
        <w:spacing w:before="120"/>
        <w:rPr>
          <w:rFonts w:ascii="Tahoma" w:cs="Tahoma" w:hAnsi="Tahoma"/>
          <w:b/>
          <w:bCs/>
          <w:sz w:val="20"/>
          <w:szCs w:val="20"/>
        </w:rPr>
      </w:pPr>
      <w:r w:rsidRPr="00E2675B">
        <w:rPr>
          <w:rFonts w:ascii="Tahoma" w:cs="Tahoma" w:hAnsi="Tahoma"/>
          <w:b/>
          <w:bCs/>
          <w:sz w:val="20"/>
          <w:szCs w:val="20"/>
        </w:rPr>
        <w:t>Art</w:t>
      </w:r>
      <w:r w:rsidR="00423715" w:rsidRPr="00E2675B">
        <w:rPr>
          <w:rFonts w:ascii="Tahoma" w:cs="Tahoma" w:hAnsi="Tahoma"/>
          <w:b/>
          <w:bCs/>
          <w:sz w:val="20"/>
          <w:szCs w:val="20"/>
        </w:rPr>
        <w:t>icle</w:t>
      </w:r>
      <w:r w:rsidRPr="00E2675B">
        <w:rPr>
          <w:rFonts w:ascii="Tahoma" w:cs="Tahoma" w:hAnsi="Tahoma"/>
          <w:b/>
          <w:bCs/>
          <w:sz w:val="20"/>
          <w:szCs w:val="20"/>
        </w:rPr>
        <w:t xml:space="preserve"> 4</w:t>
      </w:r>
      <w:r w:rsidR="00E54983" w:rsidRPr="00E2675B">
        <w:rPr>
          <w:rFonts w:ascii="Tahoma" w:cs="Tahoma" w:hAnsi="Tahoma"/>
          <w:b/>
          <w:bCs/>
          <w:sz w:val="20"/>
          <w:szCs w:val="20"/>
        </w:rPr>
        <w:t xml:space="preserve"> – BUDGET </w:t>
      </w:r>
      <w:r w:rsidR="0089699A" w:rsidRPr="00E2675B">
        <w:rPr>
          <w:rFonts w:ascii="Tahoma" w:cs="Tahoma" w:hAnsi="Tahoma"/>
          <w:b/>
          <w:bCs/>
          <w:sz w:val="20"/>
          <w:szCs w:val="20"/>
        </w:rPr>
        <w:t>202</w:t>
      </w:r>
      <w:r w:rsidR="00357988" w:rsidRPr="00E2675B">
        <w:rPr>
          <w:rFonts w:ascii="Tahoma" w:cs="Tahoma" w:hAnsi="Tahoma"/>
          <w:b/>
          <w:bCs/>
          <w:sz w:val="20"/>
          <w:szCs w:val="20"/>
        </w:rPr>
        <w:t>2</w:t>
      </w:r>
    </w:p>
    <w:p w14:paraId="1574E1AD" w14:textId="77777777" w:rsidP="002C38F9" w:rsidR="00DE2F07" w:rsidRDefault="00DE2F07" w:rsidRPr="00E2675B">
      <w:pPr>
        <w:spacing w:before="120"/>
        <w:rPr>
          <w:rFonts w:ascii="Tahoma" w:cs="Tahoma" w:hAnsi="Tahoma"/>
          <w:b/>
          <w:bCs/>
          <w:sz w:val="20"/>
          <w:szCs w:val="20"/>
        </w:rPr>
      </w:pPr>
    </w:p>
    <w:p w14:paraId="40026C3C" w14:textId="77777777" w:rsidP="00CE19E7" w:rsidR="002C38F9" w:rsidRDefault="002C38F9" w:rsidRPr="00E2675B">
      <w:pPr>
        <w:numPr>
          <w:ilvl w:val="0"/>
          <w:numId w:val="2"/>
        </w:numPr>
        <w:tabs>
          <w:tab w:pos="1287" w:val="num"/>
        </w:tabs>
        <w:spacing w:before="120"/>
        <w:rPr>
          <w:rFonts w:ascii="Tahoma" w:cs="Tahoma" w:hAnsi="Tahoma"/>
          <w:b/>
          <w:bCs/>
          <w:sz w:val="20"/>
          <w:szCs w:val="20"/>
        </w:rPr>
      </w:pPr>
      <w:bookmarkStart w:id="0" w:name="_Hlk498584046"/>
      <w:r w:rsidRPr="00E2675B">
        <w:rPr>
          <w:rFonts w:ascii="Tahoma" w:cs="Tahoma" w:hAnsi="Tahoma"/>
          <w:b/>
          <w:bCs/>
          <w:sz w:val="20"/>
          <w:szCs w:val="20"/>
        </w:rPr>
        <w:t>MESURES PRISE</w:t>
      </w:r>
      <w:r w:rsidR="009D561D" w:rsidRPr="00E2675B">
        <w:rPr>
          <w:rFonts w:ascii="Tahoma" w:cs="Tahoma" w:hAnsi="Tahoma"/>
          <w:b/>
          <w:bCs/>
          <w:sz w:val="20"/>
          <w:szCs w:val="20"/>
        </w:rPr>
        <w:t>S</w:t>
      </w:r>
      <w:r w:rsidRPr="00E2675B">
        <w:rPr>
          <w:rFonts w:ascii="Tahoma" w:cs="Tahoma" w:hAnsi="Tahoma"/>
          <w:b/>
          <w:bCs/>
          <w:sz w:val="20"/>
          <w:szCs w:val="20"/>
        </w:rPr>
        <w:t xml:space="preserve"> AU NIVEAU DE L’UES</w:t>
      </w:r>
    </w:p>
    <w:p w14:paraId="37FF1117" w14:textId="7CC8348C" w:rsidP="00E54983" w:rsidR="00E54983" w:rsidRDefault="00E54983" w:rsidRPr="00063C6C">
      <w:pPr>
        <w:spacing w:before="120"/>
        <w:rPr>
          <w:rFonts w:ascii="Tahoma" w:cs="Tahoma" w:hAnsi="Tahoma"/>
          <w:bCs/>
          <w:sz w:val="20"/>
        </w:rPr>
      </w:pPr>
      <w:r w:rsidRPr="00E2675B">
        <w:rPr>
          <w:rFonts w:ascii="Tahoma" w:cs="Tahoma" w:hAnsi="Tahoma"/>
          <w:bCs/>
          <w:sz w:val="20"/>
        </w:rPr>
        <w:t xml:space="preserve">Compte tenu </w:t>
      </w:r>
      <w:r w:rsidR="00051CE5" w:rsidRPr="00E2675B">
        <w:rPr>
          <w:rFonts w:ascii="Tahoma" w:cs="Tahoma" w:hAnsi="Tahoma"/>
          <w:bCs/>
          <w:sz w:val="20"/>
        </w:rPr>
        <w:t>de la si</w:t>
      </w:r>
      <w:r w:rsidR="007C7C13" w:rsidRPr="00E2675B">
        <w:rPr>
          <w:rFonts w:ascii="Tahoma" w:cs="Tahoma" w:hAnsi="Tahoma"/>
          <w:bCs/>
          <w:sz w:val="20"/>
        </w:rPr>
        <w:t>tuation</w:t>
      </w:r>
      <w:r w:rsidRPr="00E2675B">
        <w:rPr>
          <w:rFonts w:ascii="Tahoma" w:cs="Tahoma" w:hAnsi="Tahoma"/>
          <w:bCs/>
          <w:sz w:val="20"/>
        </w:rPr>
        <w:t xml:space="preserve"> économique, </w:t>
      </w:r>
      <w:r w:rsidRPr="00E2675B">
        <w:rPr>
          <w:rFonts w:ascii="Tahoma" w:cs="Tahoma" w:hAnsi="Tahoma"/>
          <w:b/>
          <w:bCs/>
          <w:sz w:val="20"/>
        </w:rPr>
        <w:t xml:space="preserve">le budget de revalorisation salariale de chaque société de l’UES ENGIE Ineo devra nécessairement se situer, pour l’année </w:t>
      </w:r>
      <w:r w:rsidR="002D4A8A" w:rsidRPr="00E2675B">
        <w:rPr>
          <w:rFonts w:ascii="Tahoma" w:cs="Tahoma" w:hAnsi="Tahoma"/>
          <w:b/>
          <w:bCs/>
          <w:sz w:val="20"/>
        </w:rPr>
        <w:t>202</w:t>
      </w:r>
      <w:r w:rsidR="00E939EC" w:rsidRPr="00E2675B">
        <w:rPr>
          <w:rFonts w:ascii="Tahoma" w:cs="Tahoma" w:hAnsi="Tahoma"/>
          <w:b/>
          <w:bCs/>
          <w:sz w:val="20"/>
        </w:rPr>
        <w:t>2</w:t>
      </w:r>
      <w:r w:rsidRPr="00E2675B">
        <w:rPr>
          <w:rFonts w:ascii="Tahoma" w:cs="Tahoma" w:hAnsi="Tahoma"/>
          <w:b/>
          <w:bCs/>
          <w:sz w:val="20"/>
        </w:rPr>
        <w:t xml:space="preserve">, dans une </w:t>
      </w:r>
      <w:r w:rsidRPr="00063C6C">
        <w:rPr>
          <w:rFonts w:ascii="Tahoma" w:cs="Tahoma" w:hAnsi="Tahoma"/>
          <w:b/>
          <w:bCs/>
          <w:sz w:val="20"/>
        </w:rPr>
        <w:t xml:space="preserve">fourchette allant de </w:t>
      </w:r>
      <w:r w:rsidR="009240A5" w:rsidRPr="00063C6C">
        <w:rPr>
          <w:rFonts w:ascii="Tahoma" w:cs="Tahoma" w:hAnsi="Tahoma"/>
          <w:b/>
          <w:bCs/>
          <w:sz w:val="20"/>
        </w:rPr>
        <w:t>2</w:t>
      </w:r>
      <w:r w:rsidR="00952D60" w:rsidRPr="00063C6C">
        <w:rPr>
          <w:rFonts w:ascii="Tahoma" w:cs="Tahoma" w:hAnsi="Tahoma"/>
          <w:b/>
          <w:bCs/>
          <w:sz w:val="20"/>
        </w:rPr>
        <w:t>,1</w:t>
      </w:r>
      <w:r w:rsidR="009240A5" w:rsidRPr="00063C6C">
        <w:rPr>
          <w:rFonts w:ascii="Tahoma" w:cs="Tahoma" w:hAnsi="Tahoma"/>
          <w:b/>
          <w:bCs/>
          <w:sz w:val="20"/>
        </w:rPr>
        <w:t xml:space="preserve"> </w:t>
      </w:r>
      <w:r w:rsidRPr="00063C6C">
        <w:rPr>
          <w:rFonts w:ascii="Tahoma" w:cs="Tahoma" w:hAnsi="Tahoma"/>
          <w:b/>
          <w:bCs/>
          <w:sz w:val="20"/>
        </w:rPr>
        <w:t xml:space="preserve">% à </w:t>
      </w:r>
      <w:r w:rsidR="00952D60" w:rsidRPr="00063C6C">
        <w:rPr>
          <w:rFonts w:ascii="Tahoma" w:cs="Tahoma" w:hAnsi="Tahoma"/>
          <w:b/>
          <w:bCs/>
          <w:sz w:val="20"/>
        </w:rPr>
        <w:t>3</w:t>
      </w:r>
      <w:r w:rsidR="001066B5" w:rsidRPr="00063C6C">
        <w:rPr>
          <w:rFonts w:ascii="Tahoma" w:cs="Tahoma" w:hAnsi="Tahoma"/>
          <w:b/>
          <w:bCs/>
          <w:sz w:val="20"/>
        </w:rPr>
        <w:t xml:space="preserve"> </w:t>
      </w:r>
      <w:r w:rsidRPr="00063C6C">
        <w:rPr>
          <w:rFonts w:ascii="Tahoma" w:cs="Tahoma" w:hAnsi="Tahoma"/>
          <w:b/>
          <w:bCs/>
          <w:sz w:val="20"/>
        </w:rPr>
        <w:t>%</w:t>
      </w:r>
      <w:r w:rsidRPr="00063C6C">
        <w:rPr>
          <w:rFonts w:ascii="Tahoma" w:cs="Tahoma" w:hAnsi="Tahoma"/>
          <w:bCs/>
          <w:sz w:val="20"/>
        </w:rPr>
        <w:t xml:space="preserve"> de la masse des salaires mensuels bruts de base de l’effectif permanent (présents du 01/01/20</w:t>
      </w:r>
      <w:r w:rsidR="00B665DB" w:rsidRPr="00063C6C">
        <w:rPr>
          <w:rFonts w:ascii="Tahoma" w:cs="Tahoma" w:hAnsi="Tahoma"/>
          <w:bCs/>
          <w:sz w:val="20"/>
        </w:rPr>
        <w:t>2</w:t>
      </w:r>
      <w:r w:rsidR="00565346" w:rsidRPr="00063C6C">
        <w:rPr>
          <w:rFonts w:ascii="Tahoma" w:cs="Tahoma" w:hAnsi="Tahoma"/>
          <w:bCs/>
          <w:sz w:val="20"/>
        </w:rPr>
        <w:t>1</w:t>
      </w:r>
      <w:r w:rsidRPr="00063C6C">
        <w:rPr>
          <w:rFonts w:ascii="Tahoma" w:cs="Tahoma" w:hAnsi="Tahoma"/>
          <w:bCs/>
          <w:sz w:val="20"/>
        </w:rPr>
        <w:t xml:space="preserve"> au 01/01/20</w:t>
      </w:r>
      <w:r w:rsidR="0089699A" w:rsidRPr="00063C6C">
        <w:rPr>
          <w:rFonts w:ascii="Tahoma" w:cs="Tahoma" w:hAnsi="Tahoma"/>
          <w:bCs/>
          <w:sz w:val="20"/>
        </w:rPr>
        <w:t>2</w:t>
      </w:r>
      <w:r w:rsidR="00565346" w:rsidRPr="00063C6C">
        <w:rPr>
          <w:rFonts w:ascii="Tahoma" w:cs="Tahoma" w:hAnsi="Tahoma"/>
          <w:bCs/>
          <w:sz w:val="20"/>
        </w:rPr>
        <w:t>2</w:t>
      </w:r>
      <w:r w:rsidRPr="00063C6C">
        <w:rPr>
          <w:rFonts w:ascii="Tahoma" w:cs="Tahoma" w:hAnsi="Tahoma"/>
          <w:bCs/>
          <w:sz w:val="20"/>
        </w:rPr>
        <w:t>).</w:t>
      </w:r>
      <w:r w:rsidR="002D4A8A" w:rsidRPr="00063C6C">
        <w:rPr>
          <w:rFonts w:ascii="Tahoma" w:cs="Tahoma" w:hAnsi="Tahoma"/>
          <w:bCs/>
          <w:sz w:val="20"/>
        </w:rPr>
        <w:t xml:space="preserve"> </w:t>
      </w:r>
    </w:p>
    <w:p w14:paraId="7C2D2F7D" w14:textId="427DB496" w:rsidP="00401AF1" w:rsidR="001138C3" w:rsidRDefault="00D34A33" w:rsidRPr="00E2675B">
      <w:pPr>
        <w:spacing w:before="120"/>
        <w:rPr>
          <w:rFonts w:ascii="Tahoma" w:cs="Tahoma" w:hAnsi="Tahoma"/>
          <w:bCs/>
          <w:sz w:val="20"/>
        </w:rPr>
      </w:pPr>
      <w:r w:rsidRPr="00063C6C">
        <w:rPr>
          <w:rFonts w:ascii="Tahoma" w:cs="Tahoma" w:hAnsi="Tahoma"/>
          <w:bCs/>
          <w:sz w:val="20"/>
        </w:rPr>
        <w:t xml:space="preserve">Ce budget </w:t>
      </w:r>
      <w:r w:rsidRPr="00063C6C">
        <w:rPr>
          <w:rFonts w:ascii="Tahoma" w:cs="Tahoma" w:hAnsi="Tahoma"/>
          <w:b/>
          <w:sz w:val="20"/>
        </w:rPr>
        <w:t>intégrant l’ensemble des mesures salariales</w:t>
      </w:r>
      <w:r w:rsidRPr="00063C6C">
        <w:rPr>
          <w:rFonts w:ascii="Tahoma" w:cs="Tahoma" w:hAnsi="Tahoma"/>
          <w:bCs/>
          <w:sz w:val="20"/>
        </w:rPr>
        <w:t xml:space="preserve">, </w:t>
      </w:r>
      <w:r w:rsidR="007270B6" w:rsidRPr="00063C6C">
        <w:rPr>
          <w:rFonts w:ascii="Tahoma" w:cs="Tahoma" w:hAnsi="Tahoma"/>
          <w:bCs/>
          <w:sz w:val="20"/>
        </w:rPr>
        <w:t>à l’exclusion  d</w:t>
      </w:r>
      <w:r w:rsidR="00952D60" w:rsidRPr="00063C6C">
        <w:rPr>
          <w:rFonts w:ascii="Tahoma" w:cs="Tahoma" w:hAnsi="Tahoma"/>
          <w:bCs/>
          <w:sz w:val="20"/>
        </w:rPr>
        <w:t>es changements de catégorie socio-professionnel</w:t>
      </w:r>
      <w:r w:rsidR="004C7091" w:rsidRPr="00063C6C">
        <w:rPr>
          <w:rFonts w:ascii="Tahoma" w:cs="Tahoma" w:hAnsi="Tahoma"/>
          <w:bCs/>
          <w:sz w:val="20"/>
        </w:rPr>
        <w:t>le</w:t>
      </w:r>
      <w:r w:rsidR="00952D60" w:rsidRPr="00063C6C">
        <w:rPr>
          <w:rFonts w:ascii="Tahoma" w:cs="Tahoma" w:hAnsi="Tahoma"/>
          <w:bCs/>
          <w:sz w:val="20"/>
        </w:rPr>
        <w:t xml:space="preserve"> </w:t>
      </w:r>
      <w:r w:rsidR="0079215A" w:rsidRPr="00063C6C">
        <w:rPr>
          <w:rFonts w:ascii="Tahoma" w:cs="Tahoma" w:hAnsi="Tahoma"/>
          <w:sz w:val="20"/>
        </w:rPr>
        <w:t>(ouvrier vers ETAM ou ETAM vers cadre</w:t>
      </w:r>
      <w:r w:rsidR="00063C6C">
        <w:rPr>
          <w:rFonts w:ascii="Tahoma" w:cs="Tahoma" w:hAnsi="Tahoma"/>
          <w:sz w:val="20"/>
        </w:rPr>
        <w:t xml:space="preserve">) </w:t>
      </w:r>
      <w:r w:rsidR="00952D60" w:rsidRPr="00063C6C">
        <w:rPr>
          <w:rFonts w:ascii="Tahoma" w:cs="Tahoma" w:hAnsi="Tahoma"/>
          <w:bCs/>
          <w:sz w:val="20"/>
        </w:rPr>
        <w:t xml:space="preserve">et </w:t>
      </w:r>
      <w:r w:rsidR="007270B6" w:rsidRPr="00063C6C">
        <w:rPr>
          <w:rFonts w:ascii="Tahoma" w:cs="Tahoma" w:hAnsi="Tahoma"/>
          <w:bCs/>
          <w:sz w:val="20"/>
        </w:rPr>
        <w:t>d</w:t>
      </w:r>
      <w:r w:rsidR="00952D60" w:rsidRPr="00063C6C">
        <w:rPr>
          <w:rFonts w:ascii="Tahoma" w:cs="Tahoma" w:hAnsi="Tahoma"/>
          <w:bCs/>
          <w:sz w:val="20"/>
        </w:rPr>
        <w:t xml:space="preserve">es effets </w:t>
      </w:r>
      <w:r w:rsidR="007270B6" w:rsidRPr="00063C6C">
        <w:rPr>
          <w:rFonts w:ascii="Tahoma" w:cs="Tahoma" w:hAnsi="Tahoma"/>
          <w:bCs/>
          <w:sz w:val="20"/>
        </w:rPr>
        <w:t xml:space="preserve">de l’application </w:t>
      </w:r>
      <w:r w:rsidR="00952D60" w:rsidRPr="00063C6C">
        <w:rPr>
          <w:rFonts w:ascii="Tahoma" w:cs="Tahoma" w:hAnsi="Tahoma"/>
          <w:bCs/>
          <w:sz w:val="20"/>
        </w:rPr>
        <w:t xml:space="preserve">du salaire </w:t>
      </w:r>
      <w:r w:rsidR="004C7091" w:rsidRPr="00063C6C">
        <w:rPr>
          <w:rFonts w:ascii="Tahoma" w:cs="Tahoma" w:hAnsi="Tahoma"/>
          <w:bCs/>
          <w:sz w:val="20"/>
        </w:rPr>
        <w:t xml:space="preserve">mensuel brut </w:t>
      </w:r>
      <w:r w:rsidR="00952D60" w:rsidRPr="00063C6C">
        <w:rPr>
          <w:rFonts w:ascii="Tahoma" w:cs="Tahoma" w:hAnsi="Tahoma"/>
          <w:bCs/>
          <w:sz w:val="20"/>
        </w:rPr>
        <w:t xml:space="preserve">minimum INEO, </w:t>
      </w:r>
      <w:r w:rsidRPr="00063C6C">
        <w:rPr>
          <w:rFonts w:ascii="Tahoma" w:cs="Tahoma" w:hAnsi="Tahoma"/>
          <w:bCs/>
          <w:sz w:val="20"/>
        </w:rPr>
        <w:t>i</w:t>
      </w:r>
      <w:r w:rsidR="00E54983" w:rsidRPr="00063C6C">
        <w:rPr>
          <w:rFonts w:ascii="Tahoma" w:cs="Tahoma" w:hAnsi="Tahoma"/>
          <w:bCs/>
          <w:sz w:val="20"/>
        </w:rPr>
        <w:t xml:space="preserve">l appartiendra à la négociation locale d’arrêter </w:t>
      </w:r>
      <w:r w:rsidR="00B76ECE" w:rsidRPr="00063C6C">
        <w:rPr>
          <w:rFonts w:ascii="Tahoma" w:cs="Tahoma" w:hAnsi="Tahoma"/>
          <w:bCs/>
          <w:sz w:val="20"/>
        </w:rPr>
        <w:t xml:space="preserve">en sus de </w:t>
      </w:r>
      <w:r w:rsidR="00E54983" w:rsidRPr="00063C6C">
        <w:rPr>
          <w:rFonts w:ascii="Tahoma" w:cs="Tahoma" w:hAnsi="Tahoma"/>
          <w:bCs/>
          <w:sz w:val="20"/>
        </w:rPr>
        <w:t xml:space="preserve">l’enveloppe définitive applicable à son périmètre, la répartition de celle-ci en prenant en compte les éléments spécifiques liés notamment au traitement de populations ciblées (par exemple </w:t>
      </w:r>
      <w:r w:rsidR="004C7091" w:rsidRPr="00063C6C">
        <w:rPr>
          <w:rFonts w:ascii="Tahoma" w:cs="Tahoma" w:hAnsi="Tahoma"/>
          <w:bCs/>
          <w:sz w:val="20"/>
        </w:rPr>
        <w:t xml:space="preserve">effet rétention ou </w:t>
      </w:r>
      <w:r w:rsidR="00E54983" w:rsidRPr="00063C6C">
        <w:rPr>
          <w:rFonts w:ascii="Tahoma" w:cs="Tahoma" w:hAnsi="Tahoma"/>
          <w:bCs/>
          <w:sz w:val="20"/>
        </w:rPr>
        <w:t>nouveaux embauchés ou jeunes diplômés).</w:t>
      </w:r>
      <w:r w:rsidR="00401AF1" w:rsidRPr="00063C6C">
        <w:rPr>
          <w:rFonts w:ascii="Tahoma" w:cs="Tahoma" w:hAnsi="Tahoma"/>
          <w:bCs/>
          <w:sz w:val="20"/>
        </w:rPr>
        <w:t xml:space="preserve"> </w:t>
      </w:r>
      <w:r w:rsidR="001138C3" w:rsidRPr="00063C6C">
        <w:rPr>
          <w:rFonts w:ascii="Tahoma" w:cs="Tahoma" w:hAnsi="Tahoma"/>
          <w:sz w:val="20"/>
          <w:szCs w:val="20"/>
        </w:rPr>
        <w:t>Ainsi, il est précisé que si l’enveloppe dédiée aux révisions salariales sera utilisée en mars pour un effet rétroactif au 1</w:t>
      </w:r>
      <w:r w:rsidR="001138C3" w:rsidRPr="00063C6C">
        <w:rPr>
          <w:rFonts w:ascii="Tahoma" w:cs="Tahoma" w:hAnsi="Tahoma"/>
          <w:sz w:val="20"/>
          <w:szCs w:val="20"/>
          <w:vertAlign w:val="superscript"/>
        </w:rPr>
        <w:t>er</w:t>
      </w:r>
      <w:r w:rsidR="001138C3" w:rsidRPr="00063C6C">
        <w:rPr>
          <w:rFonts w:ascii="Tahoma" w:cs="Tahoma" w:hAnsi="Tahoma"/>
          <w:sz w:val="20"/>
          <w:szCs w:val="20"/>
        </w:rPr>
        <w:t xml:space="preserve"> janvier, </w:t>
      </w:r>
      <w:r w:rsidR="00AD60AE" w:rsidRPr="00063C6C">
        <w:rPr>
          <w:rFonts w:ascii="Tahoma" w:cs="Tahoma" w:hAnsi="Tahoma"/>
          <w:sz w:val="20"/>
          <w:szCs w:val="20"/>
        </w:rPr>
        <w:t>celle propre</w:t>
      </w:r>
      <w:r w:rsidR="001138C3" w:rsidRPr="00063C6C">
        <w:rPr>
          <w:rFonts w:ascii="Tahoma" w:cs="Tahoma" w:hAnsi="Tahoma"/>
          <w:sz w:val="20"/>
          <w:szCs w:val="20"/>
        </w:rPr>
        <w:t xml:space="preserve"> au traitement de populations ciblées pourr</w:t>
      </w:r>
      <w:r w:rsidR="00AD60AE" w:rsidRPr="00063C6C">
        <w:rPr>
          <w:rFonts w:ascii="Tahoma" w:cs="Tahoma" w:hAnsi="Tahoma"/>
          <w:sz w:val="20"/>
          <w:szCs w:val="20"/>
        </w:rPr>
        <w:t>a</w:t>
      </w:r>
      <w:r w:rsidR="001138C3" w:rsidRPr="00063C6C">
        <w:rPr>
          <w:rFonts w:ascii="Tahoma" w:cs="Tahoma" w:hAnsi="Tahoma"/>
          <w:sz w:val="20"/>
          <w:szCs w:val="20"/>
        </w:rPr>
        <w:t xml:space="preserve"> être utilisée tout au long de l’année sans effet rétroactif.  </w:t>
      </w:r>
      <w:r w:rsidR="00AD60AE" w:rsidRPr="00063C6C">
        <w:rPr>
          <w:rFonts w:ascii="Tahoma" w:cs="Tahoma" w:hAnsi="Tahoma"/>
          <w:sz w:val="20"/>
          <w:szCs w:val="20"/>
        </w:rPr>
        <w:t xml:space="preserve">Cette dernière part de l’enveloppe fera </w:t>
      </w:r>
      <w:r w:rsidR="001138C3" w:rsidRPr="00063C6C">
        <w:rPr>
          <w:rFonts w:ascii="Tahoma" w:cs="Tahoma" w:hAnsi="Tahoma"/>
          <w:sz w:val="20"/>
          <w:szCs w:val="20"/>
        </w:rPr>
        <w:t>par ailleurs l’objet d’un suivi spécifique.</w:t>
      </w:r>
    </w:p>
    <w:p w14:paraId="0491CB61" w14:textId="2B79D6AB" w:rsidP="00401AF1" w:rsidR="00401AF1" w:rsidRDefault="00401AF1" w:rsidRPr="00E2675B">
      <w:pPr>
        <w:spacing w:before="120"/>
        <w:rPr>
          <w:rFonts w:ascii="Tahoma" w:cs="Tahoma" w:hAnsi="Tahoma"/>
          <w:bCs/>
          <w:sz w:val="20"/>
        </w:rPr>
      </w:pPr>
      <w:r w:rsidRPr="00E2675B">
        <w:rPr>
          <w:rFonts w:ascii="Tahoma" w:cs="Tahoma" w:hAnsi="Tahoma"/>
          <w:bCs/>
          <w:sz w:val="20"/>
        </w:rPr>
        <w:t xml:space="preserve">Il appartient également à chaque NAO locale </w:t>
      </w:r>
      <w:r w:rsidR="000F2ECD" w:rsidRPr="00E2675B">
        <w:rPr>
          <w:rFonts w:ascii="Tahoma" w:cs="Tahoma" w:hAnsi="Tahoma"/>
          <w:bCs/>
          <w:sz w:val="20"/>
        </w:rPr>
        <w:t>de</w:t>
      </w:r>
      <w:r w:rsidRPr="00E2675B">
        <w:rPr>
          <w:rFonts w:ascii="Tahoma" w:cs="Tahoma" w:hAnsi="Tahoma"/>
          <w:bCs/>
          <w:sz w:val="20"/>
        </w:rPr>
        <w:t xml:space="preserve"> mentionner explicitement les dispositions prises et négociées en matière d’égalité salariale et l’impact attendu sur l’index Egalité Professionnelle.</w:t>
      </w:r>
    </w:p>
    <w:p w14:paraId="24FD513A" w14:textId="172124D6" w:rsidP="00E54983" w:rsidR="00E54983" w:rsidRDefault="00D061C8" w:rsidRPr="00E2675B">
      <w:pPr>
        <w:spacing w:before="120"/>
        <w:rPr>
          <w:rFonts w:ascii="Tahoma" w:cs="Tahoma" w:hAnsi="Tahoma"/>
          <w:bCs/>
          <w:sz w:val="20"/>
        </w:rPr>
      </w:pPr>
      <w:r w:rsidRPr="00E2675B">
        <w:rPr>
          <w:rFonts w:ascii="Tahoma" w:cs="Tahoma" w:hAnsi="Tahoma"/>
          <w:bCs/>
          <w:sz w:val="20"/>
        </w:rPr>
        <w:t>Enfin</w:t>
      </w:r>
      <w:r w:rsidR="00E54983" w:rsidRPr="00E2675B">
        <w:rPr>
          <w:rFonts w:ascii="Tahoma" w:cs="Tahoma" w:hAnsi="Tahoma"/>
          <w:bCs/>
          <w:sz w:val="20"/>
        </w:rPr>
        <w:t>, il est convenu entre les parties que dès lors qu’un salarié bénéficierait d’une revalorisation salariale</w:t>
      </w:r>
      <w:r w:rsidR="00BC7BE4" w:rsidRPr="00E2675B">
        <w:rPr>
          <w:rFonts w:ascii="Tahoma" w:cs="Tahoma" w:hAnsi="Tahoma"/>
          <w:bCs/>
          <w:sz w:val="20"/>
        </w:rPr>
        <w:t xml:space="preserve"> individuelle</w:t>
      </w:r>
      <w:r w:rsidR="00E54983" w:rsidRPr="00E2675B">
        <w:rPr>
          <w:rFonts w:ascii="Tahoma" w:cs="Tahoma" w:hAnsi="Tahoma"/>
          <w:bCs/>
          <w:sz w:val="20"/>
        </w:rPr>
        <w:t>, celle</w:t>
      </w:r>
      <w:r w:rsidR="008F1B71" w:rsidRPr="00E2675B">
        <w:rPr>
          <w:rFonts w:ascii="Tahoma" w:cs="Tahoma" w:hAnsi="Tahoma"/>
          <w:bCs/>
          <w:sz w:val="20"/>
        </w:rPr>
        <w:t>-ci</w:t>
      </w:r>
      <w:r w:rsidR="00E54983" w:rsidRPr="00E2675B">
        <w:rPr>
          <w:rFonts w:ascii="Tahoma" w:cs="Tahoma" w:hAnsi="Tahoma"/>
          <w:bCs/>
          <w:sz w:val="20"/>
        </w:rPr>
        <w:t xml:space="preserve"> ne pourrait être inférieur</w:t>
      </w:r>
      <w:r w:rsidR="008F1B71" w:rsidRPr="00E2675B">
        <w:rPr>
          <w:rFonts w:ascii="Tahoma" w:cs="Tahoma" w:hAnsi="Tahoma"/>
          <w:bCs/>
          <w:sz w:val="20"/>
        </w:rPr>
        <w:t>e</w:t>
      </w:r>
      <w:r w:rsidR="00E54983" w:rsidRPr="00E2675B">
        <w:rPr>
          <w:rFonts w:ascii="Tahoma" w:cs="Tahoma" w:hAnsi="Tahoma"/>
          <w:bCs/>
          <w:sz w:val="20"/>
        </w:rPr>
        <w:t xml:space="preserve"> </w:t>
      </w:r>
      <w:r w:rsidR="00E54983" w:rsidRPr="00063C6C">
        <w:rPr>
          <w:rFonts w:ascii="Tahoma" w:cs="Tahoma" w:hAnsi="Tahoma"/>
          <w:bCs/>
          <w:sz w:val="20"/>
        </w:rPr>
        <w:t xml:space="preserve">à </w:t>
      </w:r>
      <w:r w:rsidR="00952D60" w:rsidRPr="00063C6C">
        <w:rPr>
          <w:rFonts w:ascii="Tahoma" w:cs="Tahoma" w:hAnsi="Tahoma"/>
          <w:b/>
          <w:bCs/>
          <w:sz w:val="20"/>
        </w:rPr>
        <w:t>3</w:t>
      </w:r>
      <w:r w:rsidR="002D4A8A" w:rsidRPr="00063C6C">
        <w:rPr>
          <w:rFonts w:ascii="Tahoma" w:cs="Tahoma" w:hAnsi="Tahoma"/>
          <w:b/>
          <w:bCs/>
          <w:sz w:val="20"/>
        </w:rPr>
        <w:t>5</w:t>
      </w:r>
      <w:r w:rsidR="008F1B71" w:rsidRPr="00063C6C">
        <w:rPr>
          <w:rFonts w:ascii="Tahoma" w:cs="Tahoma" w:hAnsi="Tahoma"/>
          <w:b/>
          <w:bCs/>
          <w:sz w:val="20"/>
        </w:rPr>
        <w:t xml:space="preserve"> € bruts</w:t>
      </w:r>
      <w:r w:rsidR="00155FDF" w:rsidRPr="00063C6C">
        <w:rPr>
          <w:rFonts w:ascii="Tahoma" w:cs="Tahoma" w:hAnsi="Tahoma"/>
          <w:b/>
          <w:bCs/>
          <w:sz w:val="20"/>
        </w:rPr>
        <w:t>,</w:t>
      </w:r>
      <w:r w:rsidR="00522ACF" w:rsidRPr="00063C6C">
        <w:rPr>
          <w:rFonts w:ascii="Tahoma" w:cs="Tahoma" w:hAnsi="Tahoma"/>
          <w:b/>
          <w:bCs/>
          <w:sz w:val="20"/>
        </w:rPr>
        <w:t xml:space="preserve"> pour un </w:t>
      </w:r>
      <w:r w:rsidR="00694CEE" w:rsidRPr="00063C6C">
        <w:rPr>
          <w:rFonts w:ascii="Tahoma" w:cs="Tahoma" w:hAnsi="Tahoma"/>
          <w:b/>
          <w:bCs/>
          <w:sz w:val="20"/>
        </w:rPr>
        <w:t xml:space="preserve">équivalent </w:t>
      </w:r>
      <w:r w:rsidR="00522ACF" w:rsidRPr="00063C6C">
        <w:rPr>
          <w:rFonts w:ascii="Tahoma" w:cs="Tahoma" w:hAnsi="Tahoma"/>
          <w:b/>
          <w:bCs/>
          <w:sz w:val="20"/>
        </w:rPr>
        <w:t>temps plein</w:t>
      </w:r>
      <w:r w:rsidR="008F1B71" w:rsidRPr="00063C6C">
        <w:rPr>
          <w:rFonts w:ascii="Tahoma" w:cs="Tahoma" w:hAnsi="Tahoma"/>
          <w:b/>
          <w:bCs/>
          <w:sz w:val="20"/>
        </w:rPr>
        <w:t>.</w:t>
      </w:r>
      <w:r w:rsidR="00AA3485" w:rsidRPr="00063C6C">
        <w:rPr>
          <w:rFonts w:ascii="Tahoma" w:cs="Tahoma" w:hAnsi="Tahoma"/>
          <w:b/>
          <w:bCs/>
          <w:sz w:val="20"/>
        </w:rPr>
        <w:t xml:space="preserve"> </w:t>
      </w:r>
      <w:r w:rsidR="00AA3485" w:rsidRPr="00063C6C">
        <w:rPr>
          <w:rFonts w:ascii="Tahoma" w:cs="Tahoma" w:hAnsi="Tahoma"/>
          <w:bCs/>
          <w:sz w:val="20"/>
        </w:rPr>
        <w:t>Il est précisé que ce montant minimal d’augmentation</w:t>
      </w:r>
      <w:r w:rsidR="00F14BEF" w:rsidRPr="00063C6C">
        <w:rPr>
          <w:rFonts w:ascii="Tahoma" w:cs="Tahoma" w:hAnsi="Tahoma"/>
          <w:bCs/>
          <w:sz w:val="20"/>
        </w:rPr>
        <w:t xml:space="preserve"> </w:t>
      </w:r>
      <w:r w:rsidR="00AA3485" w:rsidRPr="00063C6C">
        <w:rPr>
          <w:rFonts w:ascii="Tahoma" w:cs="Tahoma" w:hAnsi="Tahoma"/>
          <w:bCs/>
          <w:sz w:val="20"/>
        </w:rPr>
        <w:t>n’aura pas vocation à être renégocié chaque année, mais devra s’intégrer dans le cadre de bonnes pratiques managériales.</w:t>
      </w:r>
    </w:p>
    <w:p w14:paraId="2521F417" w14:textId="0EB51E6A" w:rsidP="00E54983" w:rsidR="00E54983" w:rsidRDefault="00E54983" w:rsidRPr="00E2675B">
      <w:pPr>
        <w:spacing w:before="120"/>
        <w:rPr>
          <w:rFonts w:ascii="Tahoma" w:cs="Tahoma" w:hAnsi="Tahoma"/>
          <w:sz w:val="20"/>
        </w:rPr>
      </w:pPr>
      <w:r w:rsidRPr="00E2675B">
        <w:rPr>
          <w:rFonts w:ascii="Tahoma" w:cs="Tahoma" w:hAnsi="Tahoma"/>
          <w:sz w:val="20"/>
        </w:rPr>
        <w:t>Concernant les promotions, il conviendra de distinguer les éléments suivants</w:t>
      </w:r>
      <w:r w:rsidR="008D23E5" w:rsidRPr="00E2675B">
        <w:rPr>
          <w:rFonts w:ascii="Tahoma" w:cs="Tahoma" w:hAnsi="Tahoma"/>
          <w:sz w:val="20"/>
        </w:rPr>
        <w:t xml:space="preserve"> qui seront tous intégrés dans l’enveloppe négociée</w:t>
      </w:r>
      <w:r w:rsidRPr="00E2675B">
        <w:rPr>
          <w:rFonts w:ascii="Tahoma" w:cs="Tahoma" w:hAnsi="Tahoma"/>
          <w:sz w:val="20"/>
        </w:rPr>
        <w:t> :</w:t>
      </w:r>
    </w:p>
    <w:p w14:paraId="1D571F65" w14:textId="38A9EAC8" w:rsidP="00063C6C" w:rsidR="00E54983" w:rsidRDefault="00E54983" w:rsidRPr="00063C6C">
      <w:pPr>
        <w:numPr>
          <w:ilvl w:val="0"/>
          <w:numId w:val="7"/>
        </w:numPr>
        <w:spacing w:before="60"/>
        <w:ind w:hanging="357" w:left="714"/>
        <w:rPr>
          <w:rFonts w:ascii="Tahoma" w:cs="Tahoma" w:hAnsi="Tahoma"/>
          <w:sz w:val="20"/>
        </w:rPr>
      </w:pPr>
      <w:r w:rsidRPr="00E2675B">
        <w:rPr>
          <w:rFonts w:ascii="Tahoma" w:cs="Tahoma" w:hAnsi="Tahoma"/>
          <w:sz w:val="20"/>
        </w:rPr>
        <w:t>Changement de coefficient à l’intérieur d’une même catégorie socio-professionnelle ;</w:t>
      </w:r>
    </w:p>
    <w:p w14:paraId="325C20D0" w14:textId="33D396A8" w:rsidP="00CE19E7" w:rsidR="00E54983" w:rsidRDefault="00E54983" w:rsidRPr="00E2675B">
      <w:pPr>
        <w:numPr>
          <w:ilvl w:val="0"/>
          <w:numId w:val="7"/>
        </w:numPr>
        <w:ind w:hanging="357" w:left="714"/>
        <w:rPr>
          <w:rFonts w:ascii="Tahoma" w:cs="Tahoma" w:hAnsi="Tahoma"/>
          <w:sz w:val="20"/>
        </w:rPr>
      </w:pPr>
      <w:r w:rsidRPr="00E2675B">
        <w:rPr>
          <w:rFonts w:ascii="Tahoma" w:cs="Tahoma" w:hAnsi="Tahoma"/>
          <w:sz w:val="20"/>
        </w:rPr>
        <w:t>Evolution professionnelle entraînant un changement de poste en cours d’année et justifiant une revalorisation salariale</w:t>
      </w:r>
      <w:r w:rsidR="00066464">
        <w:rPr>
          <w:rFonts w:ascii="Tahoma" w:cs="Tahoma" w:hAnsi="Tahoma"/>
          <w:sz w:val="20"/>
        </w:rPr>
        <w:t xml:space="preserve"> : </w:t>
      </w:r>
      <w:r w:rsidR="00875E3C" w:rsidRPr="005C1CE8">
        <w:rPr>
          <w:rFonts w:ascii="Tahoma" w:cs="Tahoma" w:hAnsi="Tahoma"/>
          <w:sz w:val="20"/>
        </w:rPr>
        <w:t xml:space="preserve">traitement </w:t>
      </w:r>
      <w:r w:rsidR="00066464">
        <w:rPr>
          <w:rFonts w:ascii="Tahoma" w:cs="Tahoma" w:hAnsi="Tahoma"/>
          <w:sz w:val="20"/>
        </w:rPr>
        <w:t>dans l’</w:t>
      </w:r>
      <w:r w:rsidR="00875E3C" w:rsidRPr="005C1CE8">
        <w:rPr>
          <w:rFonts w:ascii="Tahoma" w:cs="Tahoma" w:hAnsi="Tahoma"/>
          <w:sz w:val="20"/>
        </w:rPr>
        <w:t>enveloppe à la date de la prise des nouvelles fonctions</w:t>
      </w:r>
      <w:r w:rsidRPr="00E2675B">
        <w:rPr>
          <w:rFonts w:ascii="Tahoma" w:cs="Tahoma" w:hAnsi="Tahoma"/>
          <w:sz w:val="20"/>
        </w:rPr>
        <w:t>.</w:t>
      </w:r>
    </w:p>
    <w:p w14:paraId="13638B1B" w14:textId="77777777" w:rsidP="00E54983" w:rsidR="00E54983" w:rsidRDefault="00E54983" w:rsidRPr="00E2675B">
      <w:pPr>
        <w:spacing w:before="120"/>
        <w:rPr>
          <w:rFonts w:ascii="Tahoma" w:cs="Tahoma" w:hAnsi="Tahoma"/>
          <w:sz w:val="20"/>
        </w:rPr>
      </w:pPr>
      <w:r w:rsidRPr="00E2675B">
        <w:rPr>
          <w:rFonts w:ascii="Tahoma" w:cs="Tahoma" w:hAnsi="Tahoma"/>
          <w:sz w:val="20"/>
        </w:rPr>
        <w:t>Il est entendu que ces dispositions ne sont pas applicables en cas de congé sabbatique, de congé parental d’éducation et tout autre type de congé sans solde en cours à la date d’application de la revalorisation. La situation des salariés en longue maladie (plus de 90 jours) devra être examinée individuellement lors de la reprise du travail, le salaire de base pouvant ainsi être réactualisé sur la base des mesures d’augmentation généralisée non appliquées du fait de l’absence du salarié.</w:t>
      </w:r>
    </w:p>
    <w:p w14:paraId="02187428" w14:textId="77777777" w:rsidP="00A2641B" w:rsidR="00A2641B" w:rsidRDefault="00E54983" w:rsidRPr="00E2675B">
      <w:pPr>
        <w:spacing w:before="120"/>
        <w:rPr>
          <w:rFonts w:ascii="Tahoma" w:cs="Tahoma" w:hAnsi="Tahoma"/>
          <w:sz w:val="20"/>
          <w:szCs w:val="20"/>
        </w:rPr>
      </w:pPr>
      <w:r w:rsidRPr="00E2675B">
        <w:rPr>
          <w:rFonts w:ascii="Tahoma" w:cs="Tahoma" w:hAnsi="Tahoma"/>
          <w:sz w:val="20"/>
        </w:rPr>
        <w:t xml:space="preserve">La Direction précise </w:t>
      </w:r>
      <w:r w:rsidR="00D82A0B" w:rsidRPr="00E2675B">
        <w:rPr>
          <w:rFonts w:ascii="Tahoma" w:cs="Tahoma" w:hAnsi="Tahoma"/>
          <w:sz w:val="20"/>
        </w:rPr>
        <w:t>qu’à compter du 01/01/2022</w:t>
      </w:r>
      <w:r w:rsidR="00066CAC" w:rsidRPr="00E2675B">
        <w:rPr>
          <w:rFonts w:ascii="Tahoma" w:cs="Tahoma" w:hAnsi="Tahoma"/>
          <w:sz w:val="20"/>
        </w:rPr>
        <w:t>,</w:t>
      </w:r>
      <w:r w:rsidRPr="00E2675B">
        <w:rPr>
          <w:rFonts w:ascii="Tahoma" w:cs="Tahoma" w:hAnsi="Tahoma"/>
          <w:sz w:val="20"/>
        </w:rPr>
        <w:t xml:space="preserve"> aucun salaire mensuel brut de base pour un horaire à temps complet ne sera inférieur à </w:t>
      </w:r>
      <w:r w:rsidRPr="00E2675B">
        <w:rPr>
          <w:rFonts w:ascii="Tahoma" w:cs="Tahoma" w:hAnsi="Tahoma"/>
          <w:b/>
          <w:sz w:val="20"/>
        </w:rPr>
        <w:t xml:space="preserve">1 </w:t>
      </w:r>
      <w:r w:rsidR="00476074" w:rsidRPr="00E2675B">
        <w:rPr>
          <w:rFonts w:ascii="Tahoma" w:cs="Tahoma" w:hAnsi="Tahoma"/>
          <w:b/>
          <w:sz w:val="20"/>
        </w:rPr>
        <w:t>800</w:t>
      </w:r>
      <w:r w:rsidRPr="00E2675B">
        <w:rPr>
          <w:rFonts w:ascii="Tahoma" w:cs="Tahoma" w:hAnsi="Tahoma"/>
          <w:b/>
          <w:sz w:val="20"/>
        </w:rPr>
        <w:t> €</w:t>
      </w:r>
      <w:r w:rsidRPr="00E2675B">
        <w:rPr>
          <w:rFonts w:ascii="Tahoma" w:cs="Tahoma" w:hAnsi="Tahoma"/>
          <w:sz w:val="20"/>
        </w:rPr>
        <w:t>.</w:t>
      </w:r>
      <w:r w:rsidR="00A2641B" w:rsidRPr="00E2675B">
        <w:rPr>
          <w:rFonts w:ascii="Tahoma" w:cs="Tahoma" w:hAnsi="Tahoma"/>
          <w:sz w:val="20"/>
        </w:rPr>
        <w:t xml:space="preserve"> </w:t>
      </w:r>
      <w:r w:rsidR="00A2641B" w:rsidRPr="00E2675B">
        <w:rPr>
          <w:rFonts w:ascii="Tahoma" w:cs="Tahoma" w:hAnsi="Tahoma"/>
          <w:sz w:val="20"/>
          <w:szCs w:val="20"/>
        </w:rPr>
        <w:t>Il est rappelé que les régularisations afférentes interviendront concomitamment aux révisions salariales sur la paie du mois de mars.</w:t>
      </w:r>
    </w:p>
    <w:p w14:paraId="4E9A0992" w14:textId="2B21014A" w:rsidP="00E54983" w:rsidR="00E54983" w:rsidRDefault="00E54983" w:rsidRPr="00E2675B">
      <w:pPr>
        <w:spacing w:before="120"/>
        <w:rPr>
          <w:rFonts w:ascii="Tahoma" w:cs="Tahoma" w:hAnsi="Tahoma"/>
          <w:bCs/>
          <w:sz w:val="20"/>
        </w:rPr>
      </w:pPr>
      <w:r w:rsidRPr="00E2675B">
        <w:rPr>
          <w:rFonts w:ascii="Tahoma" w:cs="Tahoma" w:hAnsi="Tahoma"/>
          <w:bCs/>
          <w:sz w:val="20"/>
        </w:rPr>
        <w:t>Enfin, tout salarié qui n’aurait bénéficié d’aucune revalorisation salariale pendant 3 années consécutives bénéficiera d’un entretien spécifique avec sa hiérarchie, distinct de l’entretien individuel d’appréciation, afin d’évoquer sa situation.</w:t>
      </w:r>
      <w:r w:rsidRPr="00E2675B">
        <w:t xml:space="preserve"> </w:t>
      </w:r>
      <w:r w:rsidRPr="00E2675B">
        <w:rPr>
          <w:rFonts w:ascii="Tahoma" w:cs="Tahoma" w:hAnsi="Tahoma"/>
          <w:bCs/>
          <w:sz w:val="20"/>
        </w:rPr>
        <w:t>Afin d’attester de la tenue de cet entretien et d’apprécier le degré des échanges, ce document devra être cosigné et transmis au service RH. Un état sera dressé pour recenser les personnes concernées.</w:t>
      </w:r>
    </w:p>
    <w:p w14:paraId="362A0CFD" w14:textId="77777777" w:rsidP="00E54983" w:rsidR="00A74E5F" w:rsidRDefault="00A74E5F" w:rsidRPr="00E2675B">
      <w:pPr>
        <w:spacing w:before="120"/>
        <w:rPr>
          <w:rFonts w:ascii="Tahoma" w:cs="Tahoma" w:hAnsi="Tahoma"/>
          <w:bCs/>
          <w:sz w:val="20"/>
        </w:rPr>
      </w:pPr>
    </w:p>
    <w:p w14:paraId="44C78EDE" w14:textId="77777777" w:rsidP="00CE19E7" w:rsidR="002C38F9" w:rsidRDefault="002C38F9" w:rsidRPr="00E2675B">
      <w:pPr>
        <w:numPr>
          <w:ilvl w:val="0"/>
          <w:numId w:val="2"/>
        </w:numPr>
        <w:tabs>
          <w:tab w:pos="1287" w:val="num"/>
        </w:tabs>
        <w:spacing w:before="120"/>
        <w:rPr>
          <w:rFonts w:ascii="Tahoma" w:cs="Tahoma" w:hAnsi="Tahoma"/>
          <w:b/>
          <w:bCs/>
          <w:sz w:val="20"/>
          <w:szCs w:val="20"/>
        </w:rPr>
      </w:pPr>
      <w:r w:rsidRPr="00E2675B">
        <w:rPr>
          <w:rFonts w:ascii="Tahoma" w:cs="Tahoma" w:hAnsi="Tahoma"/>
          <w:b/>
          <w:bCs/>
          <w:sz w:val="20"/>
          <w:szCs w:val="20"/>
        </w:rPr>
        <w:t>MESURES PRISE</w:t>
      </w:r>
      <w:r w:rsidR="009D561D" w:rsidRPr="00E2675B">
        <w:rPr>
          <w:rFonts w:ascii="Tahoma" w:cs="Tahoma" w:hAnsi="Tahoma"/>
          <w:b/>
          <w:bCs/>
          <w:sz w:val="20"/>
          <w:szCs w:val="20"/>
        </w:rPr>
        <w:t>S</w:t>
      </w:r>
      <w:r w:rsidRPr="00E2675B">
        <w:rPr>
          <w:rFonts w:ascii="Tahoma" w:cs="Tahoma" w:hAnsi="Tahoma"/>
          <w:b/>
          <w:bCs/>
          <w:sz w:val="20"/>
          <w:szCs w:val="20"/>
        </w:rPr>
        <w:t xml:space="preserve"> AU NIVEAU DES </w:t>
      </w:r>
      <w:r w:rsidR="009D561D" w:rsidRPr="00E2675B">
        <w:rPr>
          <w:rFonts w:ascii="Tahoma" w:cs="Tahoma" w:hAnsi="Tahoma"/>
          <w:b/>
          <w:bCs/>
          <w:sz w:val="20"/>
          <w:szCs w:val="20"/>
        </w:rPr>
        <w:t>ETABLISSEMENTS DISTINCTS</w:t>
      </w:r>
    </w:p>
    <w:p w14:paraId="36C0B59D" w14:textId="77777777" w:rsidP="002C38F9" w:rsidR="002C38F9" w:rsidRDefault="002C38F9" w:rsidRPr="00E2675B">
      <w:pPr>
        <w:tabs>
          <w:tab w:pos="1770" w:val="num"/>
        </w:tabs>
        <w:spacing w:before="120"/>
        <w:rPr>
          <w:rFonts w:ascii="Tahoma" w:cs="Tahoma" w:hAnsi="Tahoma"/>
          <w:bCs/>
          <w:sz w:val="20"/>
          <w:szCs w:val="20"/>
        </w:rPr>
      </w:pPr>
      <w:r w:rsidRPr="00E2675B">
        <w:rPr>
          <w:rFonts w:ascii="Tahoma" w:cs="Tahoma" w:hAnsi="Tahoma"/>
          <w:bCs/>
          <w:sz w:val="20"/>
          <w:szCs w:val="20"/>
        </w:rPr>
        <w:t>Au-delà des mesures prises au niveau de l’UES, les Organisations Syndicales ont rappelé leur attachement à la poursuite des négociations salariales au sein de leur Direction Déléguée. Elles soulignent qu’il ne serait pas acceptable, sauf à remettre en cause le principe des NAO « locales », que celles-ci se limitent aux seules mesures prises au niveau de l’UES</w:t>
      </w:r>
      <w:r w:rsidR="00C106C7" w:rsidRPr="00E2675B">
        <w:rPr>
          <w:rFonts w:ascii="Tahoma" w:cs="Tahoma" w:hAnsi="Tahoma"/>
          <w:bCs/>
          <w:sz w:val="20"/>
          <w:szCs w:val="20"/>
        </w:rPr>
        <w:t>.</w:t>
      </w:r>
    </w:p>
    <w:p w14:paraId="1A040F25" w14:textId="77777777" w:rsidP="002C38F9" w:rsidR="002C38F9" w:rsidRDefault="002C38F9" w:rsidRPr="00E2675B">
      <w:pPr>
        <w:tabs>
          <w:tab w:pos="1770" w:val="num"/>
        </w:tabs>
        <w:spacing w:before="120"/>
        <w:rPr>
          <w:rFonts w:ascii="Tahoma" w:cs="Tahoma" w:hAnsi="Tahoma"/>
          <w:bCs/>
          <w:sz w:val="20"/>
          <w:szCs w:val="20"/>
        </w:rPr>
      </w:pPr>
      <w:r w:rsidRPr="00E2675B">
        <w:rPr>
          <w:rFonts w:ascii="Tahoma" w:cs="Tahoma" w:hAnsi="Tahoma"/>
          <w:bCs/>
          <w:sz w:val="20"/>
          <w:szCs w:val="20"/>
        </w:rPr>
        <w:t>De son côté la Direction a également rappelé son attachement au principe du double niveau de négociation entre le niveau « central »</w:t>
      </w:r>
      <w:r w:rsidR="009D561D" w:rsidRPr="00E2675B">
        <w:rPr>
          <w:rFonts w:ascii="Tahoma" w:cs="Tahoma" w:hAnsi="Tahoma"/>
          <w:bCs/>
          <w:sz w:val="20"/>
          <w:szCs w:val="20"/>
        </w:rPr>
        <w:t xml:space="preserve"> (UES)</w:t>
      </w:r>
      <w:r w:rsidRPr="00E2675B">
        <w:rPr>
          <w:rFonts w:ascii="Tahoma" w:cs="Tahoma" w:hAnsi="Tahoma"/>
          <w:bCs/>
          <w:sz w:val="20"/>
          <w:szCs w:val="20"/>
        </w:rPr>
        <w:t xml:space="preserve"> et le niveau « local »</w:t>
      </w:r>
      <w:r w:rsidR="009D561D" w:rsidRPr="00E2675B">
        <w:rPr>
          <w:rFonts w:ascii="Tahoma" w:cs="Tahoma" w:hAnsi="Tahoma"/>
          <w:bCs/>
          <w:sz w:val="20"/>
          <w:szCs w:val="20"/>
        </w:rPr>
        <w:t xml:space="preserve"> (Etablissements distincts) </w:t>
      </w:r>
      <w:r w:rsidR="00E431C1" w:rsidRPr="00E2675B">
        <w:rPr>
          <w:rFonts w:ascii="Tahoma" w:cs="Tahoma" w:hAnsi="Tahoma"/>
          <w:bCs/>
          <w:sz w:val="20"/>
          <w:szCs w:val="20"/>
        </w:rPr>
        <w:t>et ce afin de mieux répondre aux situations spécifiques rencontrées par les Directions Déléguées</w:t>
      </w:r>
      <w:r w:rsidR="007B3041" w:rsidRPr="00E2675B">
        <w:rPr>
          <w:rFonts w:ascii="Tahoma" w:cs="Tahoma" w:hAnsi="Tahoma"/>
          <w:bCs/>
          <w:sz w:val="20"/>
          <w:szCs w:val="20"/>
        </w:rPr>
        <w:t xml:space="preserve"> (</w:t>
      </w:r>
      <w:r w:rsidR="00E431C1" w:rsidRPr="00E2675B">
        <w:rPr>
          <w:rFonts w:ascii="Tahoma" w:cs="Tahoma" w:hAnsi="Tahoma"/>
          <w:bCs/>
          <w:sz w:val="20"/>
          <w:szCs w:val="20"/>
        </w:rPr>
        <w:t xml:space="preserve">spécificités métiers </w:t>
      </w:r>
      <w:r w:rsidR="007B3041" w:rsidRPr="00E2675B">
        <w:rPr>
          <w:rFonts w:ascii="Tahoma" w:cs="Tahoma" w:hAnsi="Tahoma"/>
          <w:bCs/>
          <w:sz w:val="20"/>
          <w:szCs w:val="20"/>
        </w:rPr>
        <w:t>et régionales ainsi que le</w:t>
      </w:r>
      <w:r w:rsidR="00E431C1" w:rsidRPr="00E2675B">
        <w:rPr>
          <w:rFonts w:ascii="Tahoma" w:cs="Tahoma" w:hAnsi="Tahoma"/>
          <w:bCs/>
          <w:sz w:val="20"/>
          <w:szCs w:val="20"/>
        </w:rPr>
        <w:t xml:space="preserve"> contexte économique s’</w:t>
      </w:r>
      <w:r w:rsidR="007B3041" w:rsidRPr="00E2675B">
        <w:rPr>
          <w:rFonts w:ascii="Tahoma" w:cs="Tahoma" w:hAnsi="Tahoma"/>
          <w:bCs/>
          <w:sz w:val="20"/>
          <w:szCs w:val="20"/>
        </w:rPr>
        <w:t>y rattachant</w:t>
      </w:r>
      <w:r w:rsidR="00E431C1" w:rsidRPr="00E2675B">
        <w:rPr>
          <w:rFonts w:ascii="Tahoma" w:cs="Tahoma" w:hAnsi="Tahoma"/>
          <w:bCs/>
          <w:sz w:val="20"/>
          <w:szCs w:val="20"/>
        </w:rPr>
        <w:t>)</w:t>
      </w:r>
      <w:r w:rsidRPr="00E2675B">
        <w:rPr>
          <w:rFonts w:ascii="Tahoma" w:cs="Tahoma" w:hAnsi="Tahoma"/>
          <w:bCs/>
          <w:sz w:val="20"/>
          <w:szCs w:val="20"/>
        </w:rPr>
        <w:t xml:space="preserve">. </w:t>
      </w:r>
    </w:p>
    <w:p w14:paraId="28C5C061" w14:textId="77777777" w:rsidP="009D561D" w:rsidR="009D561D" w:rsidRDefault="007B3041" w:rsidRPr="00E2675B">
      <w:pPr>
        <w:tabs>
          <w:tab w:pos="1770" w:val="num"/>
        </w:tabs>
        <w:spacing w:before="120"/>
        <w:rPr>
          <w:rFonts w:ascii="Tahoma" w:cs="Tahoma" w:hAnsi="Tahoma"/>
          <w:bCs/>
          <w:sz w:val="20"/>
          <w:szCs w:val="20"/>
        </w:rPr>
      </w:pPr>
      <w:r w:rsidRPr="00E2675B">
        <w:rPr>
          <w:rFonts w:ascii="Tahoma" w:cs="Tahoma" w:hAnsi="Tahoma"/>
          <w:bCs/>
          <w:sz w:val="20"/>
          <w:szCs w:val="20"/>
        </w:rPr>
        <w:t>L</w:t>
      </w:r>
      <w:r w:rsidR="002C38F9" w:rsidRPr="00E2675B">
        <w:rPr>
          <w:rFonts w:ascii="Tahoma" w:cs="Tahoma" w:hAnsi="Tahoma"/>
          <w:bCs/>
          <w:sz w:val="20"/>
          <w:szCs w:val="20"/>
        </w:rPr>
        <w:t xml:space="preserve">a Direction Générale indique que les NAO traitées au niveau des Directions Déléguées </w:t>
      </w:r>
      <w:r w:rsidR="009D561D" w:rsidRPr="00E2675B">
        <w:rPr>
          <w:rFonts w:ascii="Tahoma" w:cs="Tahoma" w:hAnsi="Tahoma"/>
          <w:bCs/>
          <w:sz w:val="20"/>
          <w:szCs w:val="20"/>
        </w:rPr>
        <w:t>pourront dès lors intégrer les revendications syndicales figurant en annexe et non reprise</w:t>
      </w:r>
      <w:r w:rsidR="00D05779" w:rsidRPr="00E2675B">
        <w:rPr>
          <w:rFonts w:ascii="Tahoma" w:cs="Tahoma" w:hAnsi="Tahoma"/>
          <w:bCs/>
          <w:sz w:val="20"/>
          <w:szCs w:val="20"/>
        </w:rPr>
        <w:t>s</w:t>
      </w:r>
      <w:r w:rsidR="009D561D" w:rsidRPr="00E2675B">
        <w:rPr>
          <w:rFonts w:ascii="Tahoma" w:cs="Tahoma" w:hAnsi="Tahoma"/>
          <w:bCs/>
          <w:sz w:val="20"/>
          <w:szCs w:val="20"/>
        </w:rPr>
        <w:t xml:space="preserve"> par le présent accord.</w:t>
      </w:r>
    </w:p>
    <w:bookmarkEnd w:id="0"/>
    <w:p w14:paraId="45721D15" w14:textId="77777777" w:rsidP="009D561D" w:rsidR="002C38F9" w:rsidRDefault="002C38F9" w:rsidRPr="00E2675B">
      <w:pPr>
        <w:spacing w:before="120"/>
        <w:rPr>
          <w:rFonts w:ascii="Tahoma" w:cs="Tahoma" w:hAnsi="Tahoma"/>
          <w:bCs/>
          <w:i/>
          <w:sz w:val="20"/>
          <w:szCs w:val="20"/>
        </w:rPr>
      </w:pPr>
    </w:p>
    <w:p w14:paraId="45D29249" w14:textId="77777777" w:rsidP="002C38F9" w:rsidR="009D561D" w:rsidRDefault="002C38F9" w:rsidRPr="00E2675B">
      <w:pPr>
        <w:spacing w:before="120"/>
        <w:rPr>
          <w:rFonts w:ascii="Tahoma" w:cs="Tahoma" w:hAnsi="Tahoma"/>
          <w:b/>
          <w:bCs/>
          <w:sz w:val="20"/>
          <w:szCs w:val="20"/>
        </w:rPr>
      </w:pPr>
      <w:r w:rsidRPr="00E2675B">
        <w:rPr>
          <w:rFonts w:ascii="Tahoma" w:cs="Tahoma" w:hAnsi="Tahoma"/>
          <w:b/>
          <w:bCs/>
          <w:sz w:val="20"/>
          <w:szCs w:val="20"/>
        </w:rPr>
        <w:t>Art</w:t>
      </w:r>
      <w:r w:rsidR="00423715" w:rsidRPr="00E2675B">
        <w:rPr>
          <w:rFonts w:ascii="Tahoma" w:cs="Tahoma" w:hAnsi="Tahoma"/>
          <w:b/>
          <w:bCs/>
          <w:sz w:val="20"/>
          <w:szCs w:val="20"/>
        </w:rPr>
        <w:t>icle 5</w:t>
      </w:r>
      <w:r w:rsidRPr="00E2675B">
        <w:rPr>
          <w:rFonts w:ascii="Tahoma" w:cs="Tahoma" w:hAnsi="Tahoma"/>
          <w:b/>
          <w:bCs/>
          <w:sz w:val="20"/>
          <w:szCs w:val="20"/>
        </w:rPr>
        <w:t xml:space="preserve"> – </w:t>
      </w:r>
      <w:r w:rsidR="009D561D" w:rsidRPr="00E2675B">
        <w:rPr>
          <w:rFonts w:ascii="Tahoma" w:cs="Tahoma" w:hAnsi="Tahoma"/>
          <w:b/>
          <w:bCs/>
          <w:sz w:val="20"/>
        </w:rPr>
        <w:t>PROTECTION SOCIALE COMPLEMENTAIRE</w:t>
      </w:r>
    </w:p>
    <w:p w14:paraId="3A42C453" w14:textId="23BB6DEC" w:rsidP="009D561D" w:rsidR="009D561D" w:rsidRDefault="009D561D" w:rsidRPr="00E2675B">
      <w:pPr>
        <w:pStyle w:val="Corpsdetexte3"/>
        <w:spacing w:before="120"/>
        <w:rPr>
          <w:rFonts w:ascii="Tahoma" w:cs="Tahoma" w:hAnsi="Tahoma"/>
          <w:b w:val="0"/>
          <w:bCs w:val="0"/>
          <w:sz w:val="20"/>
          <w:szCs w:val="20"/>
        </w:rPr>
      </w:pPr>
      <w:r w:rsidRPr="00E2675B">
        <w:rPr>
          <w:rFonts w:ascii="Tahoma" w:cs="Tahoma" w:hAnsi="Tahoma"/>
          <w:b w:val="0"/>
          <w:bCs w:val="0"/>
          <w:sz w:val="20"/>
          <w:szCs w:val="20"/>
        </w:rPr>
        <w:t>Un régime de protection social</w:t>
      </w:r>
      <w:r w:rsidR="00847635" w:rsidRPr="00E2675B">
        <w:rPr>
          <w:rFonts w:ascii="Tahoma" w:cs="Tahoma" w:hAnsi="Tahoma"/>
          <w:b w:val="0"/>
          <w:bCs w:val="0"/>
          <w:sz w:val="20"/>
          <w:szCs w:val="20"/>
        </w:rPr>
        <w:t>e</w:t>
      </w:r>
      <w:r w:rsidRPr="00E2675B">
        <w:rPr>
          <w:rFonts w:ascii="Tahoma" w:cs="Tahoma" w:hAnsi="Tahoma"/>
          <w:b w:val="0"/>
          <w:bCs w:val="0"/>
          <w:sz w:val="20"/>
          <w:szCs w:val="20"/>
        </w:rPr>
        <w:t xml:space="preserve"> complémentaire intégrant des dispositifs de retraite complémentaire, de prévoyance et de couverture des frais de santé est en vigueur au sein de l’UES ENGIE Ineo par accord collectif depuis 2003.</w:t>
      </w:r>
    </w:p>
    <w:p w14:paraId="2E727AC5" w14:textId="77777777" w:rsidP="009D561D" w:rsidR="009D561D" w:rsidRDefault="009D561D" w:rsidRPr="00E2675B">
      <w:pPr>
        <w:pStyle w:val="Corpsdetexte3"/>
        <w:spacing w:before="120"/>
        <w:rPr>
          <w:rFonts w:ascii="Tahoma" w:cs="Tahoma" w:hAnsi="Tahoma"/>
          <w:b w:val="0"/>
          <w:bCs w:val="0"/>
          <w:sz w:val="20"/>
          <w:szCs w:val="20"/>
        </w:rPr>
      </w:pPr>
      <w:r w:rsidRPr="00E2675B">
        <w:rPr>
          <w:rFonts w:ascii="Tahoma" w:cs="Tahoma" w:hAnsi="Tahoma"/>
          <w:b w:val="0"/>
          <w:bCs w:val="0"/>
          <w:sz w:val="20"/>
          <w:szCs w:val="20"/>
        </w:rPr>
        <w:t>En dernier lieu, les cotisations frais de santé ont été renégociées en 2014 puis les cotisations prévoyance en 201</w:t>
      </w:r>
      <w:r w:rsidR="00C527BC" w:rsidRPr="00E2675B">
        <w:rPr>
          <w:rFonts w:ascii="Tahoma" w:cs="Tahoma" w:hAnsi="Tahoma"/>
          <w:b w:val="0"/>
          <w:bCs w:val="0"/>
          <w:sz w:val="20"/>
          <w:szCs w:val="20"/>
        </w:rPr>
        <w:t>7 (à effet du premier janvier 2018)</w:t>
      </w:r>
      <w:r w:rsidRPr="00E2675B">
        <w:rPr>
          <w:rFonts w:ascii="Tahoma" w:cs="Tahoma" w:hAnsi="Tahoma"/>
          <w:b w:val="0"/>
          <w:bCs w:val="0"/>
          <w:sz w:val="20"/>
          <w:szCs w:val="20"/>
        </w:rPr>
        <w:t>.</w:t>
      </w:r>
    </w:p>
    <w:p w14:paraId="78DCB081" w14:textId="279390E8" w:rsidP="002D4A8A" w:rsidR="002D4A8A" w:rsidRDefault="002D4A8A">
      <w:pPr>
        <w:pStyle w:val="Corpsdetexte3"/>
        <w:spacing w:before="120"/>
        <w:rPr>
          <w:rFonts w:ascii="Tahoma" w:cs="Tahoma" w:hAnsi="Tahoma"/>
          <w:b w:val="0"/>
          <w:bCs w:val="0"/>
          <w:sz w:val="20"/>
          <w:szCs w:val="20"/>
        </w:rPr>
      </w:pPr>
      <w:r w:rsidRPr="00E2675B">
        <w:rPr>
          <w:rFonts w:ascii="Tahoma" w:cs="Tahoma" w:hAnsi="Tahoma"/>
          <w:b w:val="0"/>
          <w:bCs w:val="0"/>
          <w:sz w:val="20"/>
          <w:szCs w:val="20"/>
        </w:rPr>
        <w:t xml:space="preserve">Un avenant n°11 à l’accord sur la protection sociale complémentaire ENGIE Ineo a par ailleurs été signé le 4 novembre 2019 aux fins d’acter les modifications qui </w:t>
      </w:r>
      <w:r w:rsidR="00537190" w:rsidRPr="00E2675B">
        <w:rPr>
          <w:rFonts w:ascii="Tahoma" w:cs="Tahoma" w:hAnsi="Tahoma"/>
          <w:b w:val="0"/>
          <w:bCs w:val="0"/>
          <w:sz w:val="20"/>
          <w:szCs w:val="20"/>
        </w:rPr>
        <w:t>ont été</w:t>
      </w:r>
      <w:r w:rsidRPr="00E2675B">
        <w:rPr>
          <w:rFonts w:ascii="Tahoma" w:cs="Tahoma" w:hAnsi="Tahoma"/>
          <w:b w:val="0"/>
          <w:bCs w:val="0"/>
          <w:sz w:val="20"/>
          <w:szCs w:val="20"/>
        </w:rPr>
        <w:t xml:space="preserve"> apportées au 1</w:t>
      </w:r>
      <w:r w:rsidRPr="00E2675B">
        <w:rPr>
          <w:rFonts w:ascii="Tahoma" w:cs="Tahoma" w:hAnsi="Tahoma"/>
          <w:b w:val="0"/>
          <w:bCs w:val="0"/>
          <w:sz w:val="20"/>
          <w:szCs w:val="20"/>
          <w:vertAlign w:val="superscript"/>
        </w:rPr>
        <w:t>er</w:t>
      </w:r>
      <w:r w:rsidRPr="00E2675B">
        <w:rPr>
          <w:rFonts w:ascii="Tahoma" w:cs="Tahoma" w:hAnsi="Tahoma"/>
          <w:b w:val="0"/>
          <w:bCs w:val="0"/>
          <w:sz w:val="20"/>
          <w:szCs w:val="20"/>
        </w:rPr>
        <w:t xml:space="preserve"> janvier 2020 au contrat frais de santé suite à la mise en place du « 100% santé » conformément aux dispositions prévues dans la loi santé n°2016-41 du 26 janvier 2016 et dans le décret n°2019-21 du 11 janvier 2019. </w:t>
      </w:r>
    </w:p>
    <w:p w14:paraId="632AD312" w14:textId="7B8FEEB4" w:rsidP="002D4A8A" w:rsidR="00952D60" w:rsidRDefault="00952D60" w:rsidRPr="00E2675B">
      <w:pPr>
        <w:pStyle w:val="Corpsdetexte3"/>
        <w:spacing w:before="120"/>
        <w:rPr>
          <w:rFonts w:ascii="Tahoma" w:cs="Tahoma" w:hAnsi="Tahoma"/>
          <w:b w:val="0"/>
          <w:bCs w:val="0"/>
          <w:sz w:val="20"/>
          <w:szCs w:val="20"/>
        </w:rPr>
      </w:pPr>
      <w:r w:rsidRPr="00063C6C">
        <w:rPr>
          <w:rFonts w:ascii="Tahoma" w:cs="Tahoma" w:hAnsi="Tahoma"/>
          <w:b w:val="0"/>
          <w:bCs w:val="0"/>
          <w:sz w:val="20"/>
          <w:szCs w:val="20"/>
        </w:rPr>
        <w:t>La Direction Générale rappelle qu</w:t>
      </w:r>
      <w:r w:rsidR="0039727D" w:rsidRPr="00063C6C">
        <w:rPr>
          <w:rFonts w:ascii="Tahoma" w:cs="Tahoma" w:hAnsi="Tahoma"/>
          <w:b w:val="0"/>
          <w:bCs w:val="0"/>
          <w:sz w:val="20"/>
          <w:szCs w:val="20"/>
        </w:rPr>
        <w:t xml:space="preserve">’à la suite de la présentation des comptes de la protection sociale </w:t>
      </w:r>
      <w:r w:rsidRPr="00063C6C">
        <w:rPr>
          <w:rFonts w:ascii="Tahoma" w:cs="Tahoma" w:hAnsi="Tahoma"/>
          <w:b w:val="0"/>
          <w:bCs w:val="0"/>
          <w:sz w:val="20"/>
          <w:szCs w:val="20"/>
        </w:rPr>
        <w:t xml:space="preserve"> 202</w:t>
      </w:r>
      <w:r w:rsidR="00BD4E50" w:rsidRPr="00063C6C">
        <w:rPr>
          <w:rFonts w:ascii="Tahoma" w:cs="Tahoma" w:hAnsi="Tahoma"/>
          <w:b w:val="0"/>
          <w:bCs w:val="0"/>
          <w:sz w:val="20"/>
          <w:szCs w:val="20"/>
        </w:rPr>
        <w:t>1</w:t>
      </w:r>
      <w:r w:rsidRPr="00063C6C">
        <w:rPr>
          <w:rFonts w:ascii="Tahoma" w:cs="Tahoma" w:hAnsi="Tahoma"/>
          <w:b w:val="0"/>
          <w:bCs w:val="0"/>
          <w:sz w:val="20"/>
          <w:szCs w:val="20"/>
        </w:rPr>
        <w:t xml:space="preserve">, des </w:t>
      </w:r>
      <w:r w:rsidR="003D4AF9" w:rsidRPr="00063C6C">
        <w:rPr>
          <w:rFonts w:ascii="Tahoma" w:cs="Tahoma" w:hAnsi="Tahoma"/>
          <w:b w:val="0"/>
          <w:bCs w:val="0"/>
          <w:sz w:val="20"/>
          <w:szCs w:val="20"/>
        </w:rPr>
        <w:t xml:space="preserve">discussions </w:t>
      </w:r>
      <w:r w:rsidRPr="00063C6C">
        <w:rPr>
          <w:rFonts w:ascii="Tahoma" w:cs="Tahoma" w:hAnsi="Tahoma"/>
          <w:b w:val="0"/>
          <w:bCs w:val="0"/>
          <w:sz w:val="20"/>
          <w:szCs w:val="20"/>
        </w:rPr>
        <w:t xml:space="preserve">devront </w:t>
      </w:r>
      <w:r w:rsidR="00BD4E50" w:rsidRPr="00063C6C">
        <w:rPr>
          <w:rFonts w:ascii="Tahoma" w:cs="Tahoma" w:hAnsi="Tahoma"/>
          <w:b w:val="0"/>
          <w:bCs w:val="0"/>
          <w:sz w:val="20"/>
          <w:szCs w:val="20"/>
        </w:rPr>
        <w:t>être ouvertes</w:t>
      </w:r>
      <w:r w:rsidRPr="00063C6C">
        <w:rPr>
          <w:rFonts w:ascii="Tahoma" w:cs="Tahoma" w:hAnsi="Tahoma"/>
          <w:b w:val="0"/>
          <w:bCs w:val="0"/>
          <w:sz w:val="20"/>
          <w:szCs w:val="20"/>
        </w:rPr>
        <w:t xml:space="preserve"> avec les organisations syndicales représentatives </w:t>
      </w:r>
      <w:r w:rsidR="00116097" w:rsidRPr="00063C6C">
        <w:rPr>
          <w:rFonts w:ascii="Tahoma" w:cs="Tahoma" w:hAnsi="Tahoma"/>
          <w:b w:val="0"/>
          <w:bCs w:val="0"/>
          <w:sz w:val="20"/>
          <w:szCs w:val="20"/>
        </w:rPr>
        <w:t>en vue de réadapter</w:t>
      </w:r>
      <w:r w:rsidR="00BD4E50" w:rsidRPr="00063C6C">
        <w:rPr>
          <w:rFonts w:ascii="Tahoma" w:cs="Tahoma" w:hAnsi="Tahoma"/>
          <w:b w:val="0"/>
          <w:bCs w:val="0"/>
          <w:sz w:val="20"/>
          <w:szCs w:val="20"/>
        </w:rPr>
        <w:t xml:space="preserve"> </w:t>
      </w:r>
      <w:r w:rsidR="00116097" w:rsidRPr="00063C6C">
        <w:rPr>
          <w:rFonts w:ascii="Tahoma" w:cs="Tahoma" w:hAnsi="Tahoma"/>
          <w:b w:val="0"/>
          <w:bCs w:val="0"/>
          <w:sz w:val="20"/>
          <w:szCs w:val="20"/>
        </w:rPr>
        <w:t>le</w:t>
      </w:r>
      <w:r w:rsidRPr="00063C6C">
        <w:rPr>
          <w:rFonts w:ascii="Tahoma" w:cs="Tahoma" w:hAnsi="Tahoma"/>
          <w:b w:val="0"/>
          <w:bCs w:val="0"/>
          <w:sz w:val="20"/>
          <w:szCs w:val="20"/>
        </w:rPr>
        <w:t xml:space="preserve"> financement du régime de </w:t>
      </w:r>
      <w:r w:rsidR="00891FC0" w:rsidRPr="00063C6C">
        <w:rPr>
          <w:rFonts w:ascii="Tahoma" w:cs="Tahoma" w:hAnsi="Tahoma"/>
          <w:b w:val="0"/>
          <w:bCs w:val="0"/>
          <w:sz w:val="20"/>
          <w:szCs w:val="20"/>
        </w:rPr>
        <w:t>frais de santé</w:t>
      </w:r>
      <w:r w:rsidRPr="00063C6C">
        <w:rPr>
          <w:rFonts w:ascii="Tahoma" w:cs="Tahoma" w:hAnsi="Tahoma"/>
          <w:b w:val="0"/>
          <w:bCs w:val="0"/>
          <w:sz w:val="20"/>
          <w:szCs w:val="20"/>
        </w:rPr>
        <w:t>.</w:t>
      </w:r>
    </w:p>
    <w:p w14:paraId="456C3601" w14:textId="77777777" w:rsidP="002D4A8A" w:rsidR="002D4A8A" w:rsidRDefault="002D4A8A" w:rsidRPr="00E2675B">
      <w:pPr>
        <w:pStyle w:val="Corpsdetexte3"/>
        <w:spacing w:before="120"/>
        <w:rPr>
          <w:rFonts w:ascii="Tahoma" w:cs="Tahoma" w:hAnsi="Tahoma"/>
          <w:b w:val="0"/>
          <w:bCs w:val="0"/>
          <w:sz w:val="20"/>
          <w:szCs w:val="20"/>
        </w:rPr>
      </w:pPr>
    </w:p>
    <w:p w14:paraId="6360A8FD" w14:textId="77777777" w:rsidP="009D561D" w:rsidR="009D561D" w:rsidRDefault="009D561D" w:rsidRPr="00E2675B">
      <w:pPr>
        <w:spacing w:before="120"/>
        <w:rPr>
          <w:rFonts w:ascii="Tahoma" w:cs="Tahoma" w:hAnsi="Tahoma"/>
          <w:b/>
          <w:bCs/>
          <w:sz w:val="20"/>
        </w:rPr>
      </w:pPr>
      <w:r w:rsidRPr="00E2675B">
        <w:rPr>
          <w:rFonts w:ascii="Tahoma" w:cs="Tahoma" w:hAnsi="Tahoma"/>
          <w:b/>
          <w:bCs/>
          <w:sz w:val="20"/>
        </w:rPr>
        <w:t>Art</w:t>
      </w:r>
      <w:r w:rsidR="00423715" w:rsidRPr="00E2675B">
        <w:rPr>
          <w:rFonts w:ascii="Tahoma" w:cs="Tahoma" w:hAnsi="Tahoma"/>
          <w:b/>
          <w:bCs/>
          <w:sz w:val="20"/>
        </w:rPr>
        <w:t>icle</w:t>
      </w:r>
      <w:r w:rsidRPr="00E2675B">
        <w:rPr>
          <w:rFonts w:ascii="Tahoma" w:cs="Tahoma" w:hAnsi="Tahoma"/>
          <w:b/>
          <w:bCs/>
          <w:sz w:val="20"/>
        </w:rPr>
        <w:t xml:space="preserve"> 6 – ORGANISATION DU TEMPS DE TRAVAIL</w:t>
      </w:r>
    </w:p>
    <w:p w14:paraId="0E3FEFF1" w14:textId="77777777" w:rsidP="009D561D" w:rsidR="009D561D" w:rsidRDefault="009D561D" w:rsidRPr="00E2675B">
      <w:pPr>
        <w:spacing w:before="120"/>
        <w:rPr>
          <w:rFonts w:ascii="Tahoma" w:cs="Tahoma" w:hAnsi="Tahoma"/>
          <w:sz w:val="20"/>
        </w:rPr>
      </w:pPr>
      <w:r w:rsidRPr="00E2675B">
        <w:rPr>
          <w:rFonts w:ascii="Tahoma" w:cs="Tahoma" w:hAnsi="Tahoma"/>
          <w:sz w:val="20"/>
        </w:rPr>
        <w:t xml:space="preserve">S’agissant de l’organisation du temps de travail et plus particulièrement des « 35 heures », </w:t>
      </w:r>
      <w:smartTag w:element="PersonName" w:uri="urn:schemas-microsoft-com:office:smarttags">
        <w:smartTagPr>
          <w:attr w:name="ProductID" w:val="La Direction"/>
        </w:smartTagPr>
        <w:r w:rsidRPr="00E2675B">
          <w:rPr>
            <w:rFonts w:ascii="Tahoma" w:cs="Tahoma" w:hAnsi="Tahoma"/>
            <w:sz w:val="20"/>
          </w:rPr>
          <w:t>la Direction</w:t>
        </w:r>
      </w:smartTag>
      <w:r w:rsidRPr="00E2675B">
        <w:rPr>
          <w:rFonts w:ascii="Tahoma" w:cs="Tahoma" w:hAnsi="Tahoma"/>
          <w:sz w:val="20"/>
        </w:rPr>
        <w:t xml:space="preserve"> rappelle que les accords d’aménagement du temps de travail sont négociés au niveau des entités concernées.</w:t>
      </w:r>
    </w:p>
    <w:p w14:paraId="45E4B7F5" w14:textId="77777777" w:rsidP="009D561D" w:rsidR="009D561D" w:rsidRDefault="009D561D" w:rsidRPr="00E2675B">
      <w:pPr>
        <w:spacing w:before="120"/>
        <w:rPr>
          <w:rFonts w:ascii="Tahoma" w:cs="Tahoma" w:hAnsi="Tahoma"/>
          <w:sz w:val="20"/>
        </w:rPr>
      </w:pPr>
      <w:r w:rsidRPr="00E2675B">
        <w:rPr>
          <w:rFonts w:ascii="Tahoma" w:cs="Tahoma" w:hAnsi="Tahoma"/>
          <w:sz w:val="20"/>
        </w:rPr>
        <w:t>En effet, au regard de la diversité des activités de spécialité (communication d’entreprise, systèmes de communication secteur militaire et civil, aéronautique, nucléaire, postes et lignes, ferroviaire, audio-visuel, externali</w:t>
      </w:r>
      <w:r w:rsidR="00A85A3D" w:rsidRPr="00E2675B">
        <w:rPr>
          <w:rFonts w:ascii="Tahoma" w:cs="Tahoma" w:hAnsi="Tahoma"/>
          <w:sz w:val="20"/>
        </w:rPr>
        <w:t>sation, etc.) et de proximité (</w:t>
      </w:r>
      <w:r w:rsidRPr="00E2675B">
        <w:rPr>
          <w:rFonts w:ascii="Tahoma" w:cs="Tahoma" w:hAnsi="Tahoma"/>
          <w:sz w:val="20"/>
        </w:rPr>
        <w:t xml:space="preserve">réseaux, éclairage public , tertiaire, industrie, infrastructures, etc.) au sein de </w:t>
      </w:r>
      <w:r w:rsidR="00C527BC" w:rsidRPr="00E2675B">
        <w:rPr>
          <w:rFonts w:ascii="Tahoma" w:cs="Tahoma" w:hAnsi="Tahoma"/>
          <w:sz w:val="20"/>
        </w:rPr>
        <w:t>ENGIE</w:t>
      </w:r>
      <w:r w:rsidRPr="00E2675B">
        <w:rPr>
          <w:rFonts w:ascii="Tahoma" w:cs="Tahoma" w:hAnsi="Tahoma"/>
          <w:sz w:val="20"/>
        </w:rPr>
        <w:t xml:space="preserve"> Ineo, l’évolution tant des accords d’aménagement du temps de travail, liée notamment aux opérations juridiques, que des processus d’harmonisation sociale ne peut être dissociée de l’exploitation des sociétés concernées.</w:t>
      </w:r>
    </w:p>
    <w:p w14:paraId="72720FD0" w14:textId="12C53759" w:rsidP="009D561D" w:rsidR="009D561D" w:rsidRDefault="009D561D">
      <w:pPr>
        <w:spacing w:before="120"/>
        <w:rPr>
          <w:rFonts w:ascii="Tahoma" w:cs="Tahoma" w:hAnsi="Tahoma"/>
          <w:sz w:val="20"/>
        </w:rPr>
      </w:pPr>
      <w:r w:rsidRPr="00E2675B">
        <w:rPr>
          <w:rFonts w:ascii="Tahoma" w:cs="Tahoma" w:hAnsi="Tahoma"/>
          <w:sz w:val="20"/>
        </w:rPr>
        <w:t xml:space="preserve">Un jour de RTT </w:t>
      </w:r>
      <w:r w:rsidR="006334ED" w:rsidRPr="00E2675B">
        <w:rPr>
          <w:rFonts w:ascii="Tahoma" w:cs="Tahoma" w:hAnsi="Tahoma"/>
          <w:sz w:val="20"/>
        </w:rPr>
        <w:t>supplémentaire, parmi ceux fixés</w:t>
      </w:r>
      <w:r w:rsidRPr="00E2675B">
        <w:rPr>
          <w:rFonts w:ascii="Tahoma" w:cs="Tahoma" w:hAnsi="Tahoma"/>
          <w:sz w:val="20"/>
        </w:rPr>
        <w:t xml:space="preserve"> à l’initiative de l’employeur</w:t>
      </w:r>
      <w:r w:rsidR="006334ED" w:rsidRPr="00E2675B">
        <w:rPr>
          <w:rFonts w:ascii="Tahoma" w:cs="Tahoma" w:hAnsi="Tahoma"/>
          <w:sz w:val="20"/>
        </w:rPr>
        <w:t>,</w:t>
      </w:r>
      <w:r w:rsidRPr="00E2675B">
        <w:rPr>
          <w:rFonts w:ascii="Tahoma" w:cs="Tahoma" w:hAnsi="Tahoma"/>
          <w:sz w:val="20"/>
        </w:rPr>
        <w:t xml:space="preserve"> sera octroyé en raison de la journée de solidarité.</w:t>
      </w:r>
    </w:p>
    <w:p w14:paraId="32E90E53" w14:textId="77777777" w:rsidP="009D561D" w:rsidR="007E01D6" w:rsidRDefault="007E01D6" w:rsidRPr="00E2675B">
      <w:pPr>
        <w:spacing w:before="120"/>
        <w:rPr>
          <w:rFonts w:ascii="Tahoma" w:cs="Tahoma" w:hAnsi="Tahoma"/>
          <w:sz w:val="20"/>
        </w:rPr>
      </w:pPr>
    </w:p>
    <w:p w14:paraId="46DA3DBF" w14:textId="77777777" w:rsidP="002C38F9" w:rsidR="002C38F9" w:rsidRDefault="009D561D" w:rsidRPr="00E2675B">
      <w:pPr>
        <w:spacing w:before="120"/>
        <w:rPr>
          <w:rFonts w:ascii="Tahoma" w:cs="Tahoma" w:hAnsi="Tahoma"/>
          <w:b/>
          <w:bCs/>
          <w:sz w:val="20"/>
          <w:szCs w:val="20"/>
        </w:rPr>
      </w:pPr>
      <w:r w:rsidRPr="00E2675B">
        <w:rPr>
          <w:rFonts w:ascii="Tahoma" w:cs="Tahoma" w:hAnsi="Tahoma"/>
          <w:b/>
          <w:bCs/>
          <w:sz w:val="20"/>
          <w:szCs w:val="20"/>
        </w:rPr>
        <w:t>Art</w:t>
      </w:r>
      <w:r w:rsidR="00423715" w:rsidRPr="00E2675B">
        <w:rPr>
          <w:rFonts w:ascii="Tahoma" w:cs="Tahoma" w:hAnsi="Tahoma"/>
          <w:b/>
          <w:bCs/>
          <w:sz w:val="20"/>
          <w:szCs w:val="20"/>
        </w:rPr>
        <w:t>icle</w:t>
      </w:r>
      <w:r w:rsidRPr="00E2675B">
        <w:rPr>
          <w:rFonts w:ascii="Tahoma" w:cs="Tahoma" w:hAnsi="Tahoma"/>
          <w:b/>
          <w:bCs/>
          <w:sz w:val="20"/>
          <w:szCs w:val="20"/>
        </w:rPr>
        <w:t xml:space="preserve"> 7</w:t>
      </w:r>
      <w:r w:rsidR="002C38F9" w:rsidRPr="00E2675B">
        <w:rPr>
          <w:rFonts w:ascii="Tahoma" w:cs="Tahoma" w:hAnsi="Tahoma"/>
          <w:b/>
          <w:bCs/>
          <w:sz w:val="20"/>
          <w:szCs w:val="20"/>
        </w:rPr>
        <w:t xml:space="preserve"> – EPARGNE SALARIALE </w:t>
      </w:r>
    </w:p>
    <w:p w14:paraId="3D7FB170" w14:textId="77777777" w:rsidP="009D561D" w:rsidR="009D561D" w:rsidRDefault="009D561D" w:rsidRPr="00E2675B">
      <w:pPr>
        <w:spacing w:before="120"/>
        <w:rPr>
          <w:rFonts w:ascii="Tahoma" w:cs="Tahoma" w:hAnsi="Tahoma"/>
          <w:sz w:val="20"/>
        </w:rPr>
      </w:pPr>
      <w:r w:rsidRPr="00E2675B">
        <w:rPr>
          <w:rFonts w:ascii="Tahoma" w:cs="Tahoma" w:hAnsi="Tahoma"/>
          <w:sz w:val="20"/>
        </w:rPr>
        <w:t>Suite à l’engagement pris dans le cadre de la NAO pour 2017, un accord de méthodologie relatif à l’intéressement collectif au sein de l’UES, contenant une partie liée aux résultats consolidés afin que le modèle de mutualisation des frais transverses de l’Entreprise ne pénalise pas les salariés des entités locales, a été conclu le 14 juin 2017</w:t>
      </w:r>
      <w:r w:rsidR="006334ED" w:rsidRPr="00E2675B">
        <w:rPr>
          <w:rFonts w:ascii="Tahoma" w:cs="Tahoma" w:hAnsi="Tahoma"/>
          <w:sz w:val="20"/>
        </w:rPr>
        <w:t>, puis révisé</w:t>
      </w:r>
      <w:r w:rsidR="0096394B" w:rsidRPr="00E2675B">
        <w:rPr>
          <w:rFonts w:ascii="Tahoma" w:cs="Tahoma" w:hAnsi="Tahoma"/>
          <w:sz w:val="20"/>
        </w:rPr>
        <w:t xml:space="preserve"> le 11 décembre 2017, </w:t>
      </w:r>
      <w:r w:rsidR="006334ED" w:rsidRPr="00E2675B">
        <w:rPr>
          <w:rFonts w:ascii="Tahoma" w:cs="Tahoma" w:hAnsi="Tahoma"/>
          <w:sz w:val="20"/>
        </w:rPr>
        <w:t xml:space="preserve"> le 27 avril 2018</w:t>
      </w:r>
      <w:r w:rsidR="00323181" w:rsidRPr="00E2675B">
        <w:rPr>
          <w:rFonts w:ascii="Tahoma" w:cs="Tahoma" w:hAnsi="Tahoma"/>
          <w:sz w:val="20"/>
        </w:rPr>
        <w:t xml:space="preserve"> et le 18 avril 2019</w:t>
      </w:r>
      <w:r w:rsidRPr="00E2675B">
        <w:rPr>
          <w:rFonts w:ascii="Tahoma" w:cs="Tahoma" w:hAnsi="Tahoma"/>
          <w:sz w:val="20"/>
        </w:rPr>
        <w:t xml:space="preserve">. </w:t>
      </w:r>
    </w:p>
    <w:p w14:paraId="66C6E27D" w14:textId="23E92CC0" w:rsidP="009D561D" w:rsidR="00323181" w:rsidRDefault="00323181" w:rsidRPr="00E2675B">
      <w:pPr>
        <w:spacing w:before="120"/>
        <w:rPr>
          <w:rFonts w:ascii="Tahoma" w:cs="Tahoma" w:hAnsi="Tahoma"/>
          <w:sz w:val="20"/>
        </w:rPr>
      </w:pPr>
      <w:r w:rsidRPr="00E2675B">
        <w:rPr>
          <w:rFonts w:ascii="Tahoma" w:cs="Tahoma" w:hAnsi="Tahoma"/>
          <w:sz w:val="20"/>
        </w:rPr>
        <w:t>Au titre de</w:t>
      </w:r>
      <w:r w:rsidR="003529C7" w:rsidRPr="00E2675B">
        <w:rPr>
          <w:rFonts w:ascii="Tahoma" w:cs="Tahoma" w:hAnsi="Tahoma"/>
          <w:sz w:val="20"/>
        </w:rPr>
        <w:t xml:space="preserve">s </w:t>
      </w:r>
      <w:r w:rsidRPr="00E2675B">
        <w:rPr>
          <w:rFonts w:ascii="Tahoma" w:cs="Tahoma" w:hAnsi="Tahoma"/>
          <w:sz w:val="20"/>
        </w:rPr>
        <w:t>exercice</w:t>
      </w:r>
      <w:r w:rsidR="003529C7" w:rsidRPr="00E2675B">
        <w:rPr>
          <w:rFonts w:ascii="Tahoma" w:cs="Tahoma" w:hAnsi="Tahoma"/>
          <w:sz w:val="20"/>
        </w:rPr>
        <w:t>s</w:t>
      </w:r>
      <w:r w:rsidRPr="00E2675B">
        <w:rPr>
          <w:rFonts w:ascii="Tahoma" w:cs="Tahoma" w:hAnsi="Tahoma"/>
          <w:sz w:val="20"/>
        </w:rPr>
        <w:t xml:space="preserve"> 2020</w:t>
      </w:r>
      <w:r w:rsidR="003529C7" w:rsidRPr="00E2675B">
        <w:rPr>
          <w:rFonts w:ascii="Tahoma" w:cs="Tahoma" w:hAnsi="Tahoma"/>
          <w:sz w:val="20"/>
        </w:rPr>
        <w:t xml:space="preserve"> et 2021</w:t>
      </w:r>
      <w:r w:rsidRPr="00E2675B">
        <w:rPr>
          <w:rFonts w:ascii="Tahoma" w:cs="Tahoma" w:hAnsi="Tahoma"/>
          <w:sz w:val="20"/>
        </w:rPr>
        <w:t>, les parties à l’accord susvisé ne sont pas parvenues à conclure un nouvel avenant révisant les objectifs de la part centrale.  Ainsi, l</w:t>
      </w:r>
      <w:r w:rsidR="0096394B" w:rsidRPr="00E2675B">
        <w:rPr>
          <w:rFonts w:ascii="Tahoma" w:cs="Tahoma" w:hAnsi="Tahoma"/>
          <w:sz w:val="20"/>
        </w:rPr>
        <w:t>es objectifs fixés aux termes de l’avenant n°3 du 18 avril 2019</w:t>
      </w:r>
      <w:r w:rsidR="003F7A7F" w:rsidRPr="00E2675B">
        <w:rPr>
          <w:rFonts w:ascii="Tahoma" w:cs="Tahoma" w:hAnsi="Tahoma"/>
          <w:sz w:val="20"/>
        </w:rPr>
        <w:t xml:space="preserve"> trouvent application </w:t>
      </w:r>
      <w:r w:rsidR="00995DF8" w:rsidRPr="00E2675B">
        <w:rPr>
          <w:rFonts w:ascii="Tahoma" w:cs="Tahoma" w:hAnsi="Tahoma"/>
          <w:sz w:val="20"/>
        </w:rPr>
        <w:t>jusqu’à</w:t>
      </w:r>
      <w:r w:rsidR="003F7A7F" w:rsidRPr="00E2675B">
        <w:rPr>
          <w:rFonts w:ascii="Tahoma" w:cs="Tahoma" w:hAnsi="Tahoma"/>
          <w:sz w:val="20"/>
        </w:rPr>
        <w:t xml:space="preserve"> l’exercice </w:t>
      </w:r>
      <w:r w:rsidR="00325D82" w:rsidRPr="00E2675B">
        <w:rPr>
          <w:rFonts w:ascii="Tahoma" w:cs="Tahoma" w:hAnsi="Tahoma"/>
          <w:sz w:val="20"/>
        </w:rPr>
        <w:t>202</w:t>
      </w:r>
      <w:r w:rsidR="00995DF8" w:rsidRPr="00E2675B">
        <w:rPr>
          <w:rFonts w:ascii="Tahoma" w:cs="Tahoma" w:hAnsi="Tahoma"/>
          <w:sz w:val="20"/>
        </w:rPr>
        <w:t>1</w:t>
      </w:r>
      <w:r w:rsidR="0096394B" w:rsidRPr="00E2675B">
        <w:rPr>
          <w:rFonts w:ascii="Tahoma" w:cs="Tahoma" w:hAnsi="Tahoma"/>
          <w:sz w:val="20"/>
        </w:rPr>
        <w:t>.</w:t>
      </w:r>
      <w:r w:rsidR="002E5DEE" w:rsidRPr="00E2675B">
        <w:rPr>
          <w:rFonts w:ascii="Tahoma" w:cs="Tahoma" w:hAnsi="Tahoma"/>
          <w:sz w:val="20"/>
        </w:rPr>
        <w:t xml:space="preserve"> </w:t>
      </w:r>
      <w:r w:rsidR="00CD20EC" w:rsidRPr="00E2675B">
        <w:rPr>
          <w:rFonts w:ascii="Tahoma" w:cs="Tahoma" w:hAnsi="Tahoma"/>
          <w:sz w:val="20"/>
        </w:rPr>
        <w:t>De nouvelles négociations seront ouvertes sur cette thématique au cours du premier semestre 2022.</w:t>
      </w:r>
    </w:p>
    <w:p w14:paraId="76EBB637" w14:textId="77777777" w:rsidP="009D561D" w:rsidR="009D561D" w:rsidRDefault="009D561D" w:rsidRPr="00E2675B">
      <w:pPr>
        <w:pStyle w:val="texte"/>
        <w:spacing w:before="120"/>
        <w:rPr>
          <w:rFonts w:ascii="Tahoma" w:cs="Tahoma" w:hAnsi="Tahoma"/>
          <w:sz w:val="20"/>
        </w:rPr>
      </w:pPr>
      <w:r w:rsidRPr="00E2675B">
        <w:rPr>
          <w:rFonts w:ascii="Tahoma" w:cs="Tahoma" w:hAnsi="Tahoma"/>
          <w:sz w:val="20"/>
        </w:rPr>
        <w:t xml:space="preserve">Par ailleurs, </w:t>
      </w:r>
      <w:r w:rsidR="0096394B" w:rsidRPr="00E2675B">
        <w:rPr>
          <w:rFonts w:ascii="Tahoma" w:cs="Tahoma" w:hAnsi="Tahoma"/>
          <w:sz w:val="20"/>
        </w:rPr>
        <w:t>un accord</w:t>
      </w:r>
      <w:r w:rsidRPr="00E2675B">
        <w:rPr>
          <w:rFonts w:ascii="Tahoma" w:cs="Tahoma" w:hAnsi="Tahoma"/>
          <w:sz w:val="20"/>
        </w:rPr>
        <w:t xml:space="preserve"> portant sur la mise en place d’un dispositif de compte épargne temps (CET) au niveau de l’UES pour les entités qui n’auraient pas déjà mis en place cet outil, </w:t>
      </w:r>
      <w:r w:rsidR="00A70892" w:rsidRPr="00E2675B">
        <w:rPr>
          <w:rFonts w:ascii="Tahoma" w:cs="Tahoma" w:hAnsi="Tahoma"/>
          <w:sz w:val="20"/>
        </w:rPr>
        <w:t>est en vigueur depuis le</w:t>
      </w:r>
      <w:r w:rsidR="006334ED" w:rsidRPr="00E2675B">
        <w:rPr>
          <w:rFonts w:ascii="Tahoma" w:cs="Tahoma" w:hAnsi="Tahoma"/>
          <w:sz w:val="20"/>
        </w:rPr>
        <w:t xml:space="preserve"> 1</w:t>
      </w:r>
      <w:r w:rsidR="006334ED" w:rsidRPr="00E2675B">
        <w:rPr>
          <w:rFonts w:ascii="Tahoma" w:cs="Tahoma" w:hAnsi="Tahoma"/>
          <w:sz w:val="20"/>
          <w:vertAlign w:val="superscript"/>
        </w:rPr>
        <w:t>er</w:t>
      </w:r>
      <w:r w:rsidR="006334ED" w:rsidRPr="00E2675B">
        <w:rPr>
          <w:rFonts w:ascii="Tahoma" w:cs="Tahoma" w:hAnsi="Tahoma"/>
          <w:sz w:val="20"/>
        </w:rPr>
        <w:t xml:space="preserve"> décembre 2017 pour une mise en œuvre à compter de l’exercice 2018 pour les périmètres de l’UES ne disposant pas déjà d’un CET</w:t>
      </w:r>
      <w:r w:rsidRPr="00E2675B">
        <w:rPr>
          <w:rFonts w:ascii="Tahoma" w:cs="Tahoma" w:hAnsi="Tahoma"/>
          <w:sz w:val="20"/>
        </w:rPr>
        <w:t>.</w:t>
      </w:r>
    </w:p>
    <w:p w14:paraId="4BBA4FE5" w14:textId="430615B3" w:rsidP="009D561D" w:rsidR="009D561D" w:rsidRDefault="009D561D" w:rsidRPr="00E2675B">
      <w:pPr>
        <w:pStyle w:val="texte"/>
        <w:spacing w:before="120"/>
        <w:rPr>
          <w:rFonts w:ascii="Tahoma" w:cs="Tahoma" w:hAnsi="Tahoma"/>
          <w:sz w:val="20"/>
        </w:rPr>
      </w:pPr>
    </w:p>
    <w:p w14:paraId="4597DE08" w14:textId="77777777" w:rsidP="009D561D" w:rsidR="009D561D" w:rsidRDefault="009D561D" w:rsidRPr="00E2675B">
      <w:pPr>
        <w:spacing w:before="120"/>
        <w:rPr>
          <w:rFonts w:ascii="Tahoma" w:cs="Tahoma" w:hAnsi="Tahoma"/>
          <w:b/>
          <w:bCs/>
          <w:sz w:val="20"/>
        </w:rPr>
      </w:pPr>
      <w:r w:rsidRPr="00E2675B">
        <w:rPr>
          <w:rFonts w:ascii="Tahoma" w:cs="Tahoma" w:hAnsi="Tahoma"/>
          <w:b/>
          <w:bCs/>
          <w:sz w:val="20"/>
        </w:rPr>
        <w:t>Art</w:t>
      </w:r>
      <w:r w:rsidR="00423715" w:rsidRPr="00E2675B">
        <w:rPr>
          <w:rFonts w:ascii="Tahoma" w:cs="Tahoma" w:hAnsi="Tahoma"/>
          <w:b/>
          <w:bCs/>
          <w:sz w:val="20"/>
        </w:rPr>
        <w:t>icle</w:t>
      </w:r>
      <w:r w:rsidRPr="00E2675B">
        <w:rPr>
          <w:rFonts w:ascii="Tahoma" w:cs="Tahoma" w:hAnsi="Tahoma"/>
          <w:b/>
          <w:bCs/>
          <w:sz w:val="20"/>
        </w:rPr>
        <w:t xml:space="preserve"> 8 – JOURNEE DE SOLIDARITE </w:t>
      </w:r>
    </w:p>
    <w:p w14:paraId="6E2DAA93" w14:textId="77777777" w:rsidP="009D561D" w:rsidR="009D561D" w:rsidRDefault="009D561D" w:rsidRPr="00E2675B">
      <w:pPr>
        <w:spacing w:before="120"/>
        <w:rPr>
          <w:rFonts w:ascii="Tahoma" w:cs="Tahoma" w:hAnsi="Tahoma"/>
          <w:sz w:val="20"/>
        </w:rPr>
      </w:pPr>
      <w:r w:rsidRPr="00E2675B">
        <w:rPr>
          <w:rFonts w:ascii="Tahoma" w:cs="Tahoma" w:hAnsi="Tahoma"/>
          <w:sz w:val="20"/>
        </w:rPr>
        <w:t>La date retenue pour la journée de solidarité sera par principe le lundi de Pentecôte.</w:t>
      </w:r>
    </w:p>
    <w:p w14:paraId="68F5C927" w14:textId="77777777" w:rsidP="009D561D" w:rsidR="009D561D" w:rsidRDefault="009D561D" w:rsidRPr="00E2675B">
      <w:pPr>
        <w:spacing w:before="120"/>
        <w:rPr>
          <w:rFonts w:ascii="Tahoma" w:cs="Tahoma" w:hAnsi="Tahoma"/>
          <w:sz w:val="20"/>
        </w:rPr>
      </w:pPr>
      <w:r w:rsidRPr="00E2675B">
        <w:rPr>
          <w:rFonts w:ascii="Tahoma" w:cs="Tahoma" w:hAnsi="Tahoma"/>
          <w:sz w:val="20"/>
        </w:rPr>
        <w:t xml:space="preserve">Il est précisé par ailleurs que cette journée ne sera pas travaillée et qu’une journée sera déduite du contingent annuel des jours de RTT attribués aux salariés </w:t>
      </w:r>
      <w:r w:rsidR="006334ED" w:rsidRPr="00E2675B">
        <w:rPr>
          <w:rFonts w:ascii="Tahoma" w:cs="Tahoma" w:hAnsi="Tahoma"/>
          <w:sz w:val="20"/>
        </w:rPr>
        <w:t xml:space="preserve">parmi ceux </w:t>
      </w:r>
      <w:r w:rsidRPr="00E2675B">
        <w:rPr>
          <w:rFonts w:ascii="Tahoma" w:cs="Tahoma" w:hAnsi="Tahoma"/>
          <w:sz w:val="20"/>
        </w:rPr>
        <w:t>fixé</w:t>
      </w:r>
      <w:r w:rsidR="006334ED" w:rsidRPr="00E2675B">
        <w:rPr>
          <w:rFonts w:ascii="Tahoma" w:cs="Tahoma" w:hAnsi="Tahoma"/>
          <w:sz w:val="20"/>
        </w:rPr>
        <w:t>s</w:t>
      </w:r>
      <w:r w:rsidRPr="00E2675B">
        <w:rPr>
          <w:rFonts w:ascii="Tahoma" w:cs="Tahoma" w:hAnsi="Tahoma"/>
          <w:sz w:val="20"/>
        </w:rPr>
        <w:t xml:space="preserve"> à l’initiative de l’employeur.</w:t>
      </w:r>
    </w:p>
    <w:p w14:paraId="3832D1D5" w14:textId="247196FE" w:rsidP="009D561D" w:rsidR="009D561D" w:rsidRDefault="009D561D" w:rsidRPr="00E2675B">
      <w:pPr>
        <w:spacing w:before="120"/>
        <w:rPr>
          <w:rFonts w:ascii="Tahoma" w:cs="Tahoma" w:hAnsi="Tahoma"/>
          <w:sz w:val="20"/>
        </w:rPr>
      </w:pPr>
      <w:r w:rsidRPr="00E2675B">
        <w:rPr>
          <w:rFonts w:ascii="Tahoma" w:cs="Tahoma" w:hAnsi="Tahoma"/>
          <w:sz w:val="20"/>
        </w:rPr>
        <w:t xml:space="preserve">Au cas où certains salariés seraient amenés pour des motifs de service ou d’organisation à travailler ce jour, un droit à récupération leur sera </w:t>
      </w:r>
      <w:r w:rsidR="008158A0" w:rsidRPr="00E2675B">
        <w:rPr>
          <w:rFonts w:ascii="Tahoma" w:cs="Tahoma" w:hAnsi="Tahoma"/>
          <w:sz w:val="20"/>
        </w:rPr>
        <w:t xml:space="preserve">le cas échéant </w:t>
      </w:r>
      <w:r w:rsidRPr="00E2675B">
        <w:rPr>
          <w:rFonts w:ascii="Tahoma" w:cs="Tahoma" w:hAnsi="Tahoma"/>
          <w:sz w:val="20"/>
        </w:rPr>
        <w:t>ouvert.</w:t>
      </w:r>
    </w:p>
    <w:p w14:paraId="10A8AB1A" w14:textId="77777777" w:rsidP="009D561D" w:rsidR="009D561D" w:rsidRDefault="009D561D" w:rsidRPr="00E2675B">
      <w:pPr>
        <w:pStyle w:val="texte"/>
        <w:spacing w:before="120"/>
        <w:rPr>
          <w:rFonts w:ascii="Tahoma" w:cs="Tahoma" w:hAnsi="Tahoma"/>
          <w:sz w:val="20"/>
        </w:rPr>
      </w:pPr>
    </w:p>
    <w:p w14:paraId="31B8CC4E" w14:textId="77777777" w:rsidP="002C38F9" w:rsidR="002C38F9" w:rsidRDefault="00581E01" w:rsidRPr="00E2675B">
      <w:pPr>
        <w:spacing w:before="120"/>
        <w:rPr>
          <w:rFonts w:ascii="Tahoma" w:cs="Tahoma" w:hAnsi="Tahoma"/>
          <w:b/>
          <w:bCs/>
          <w:sz w:val="20"/>
          <w:szCs w:val="20"/>
        </w:rPr>
      </w:pPr>
      <w:r w:rsidRPr="00E2675B">
        <w:rPr>
          <w:rFonts w:ascii="Tahoma" w:cs="Tahoma" w:hAnsi="Tahoma"/>
          <w:b/>
          <w:bCs/>
          <w:sz w:val="20"/>
          <w:szCs w:val="20"/>
        </w:rPr>
        <w:t>Art</w:t>
      </w:r>
      <w:r w:rsidR="00423715" w:rsidRPr="00E2675B">
        <w:rPr>
          <w:rFonts w:ascii="Tahoma" w:cs="Tahoma" w:hAnsi="Tahoma"/>
          <w:b/>
          <w:bCs/>
          <w:sz w:val="20"/>
          <w:szCs w:val="20"/>
        </w:rPr>
        <w:t>icle</w:t>
      </w:r>
      <w:r w:rsidRPr="00E2675B">
        <w:rPr>
          <w:rFonts w:ascii="Tahoma" w:cs="Tahoma" w:hAnsi="Tahoma"/>
          <w:b/>
          <w:bCs/>
          <w:sz w:val="20"/>
          <w:szCs w:val="20"/>
        </w:rPr>
        <w:t xml:space="preserve"> 9</w:t>
      </w:r>
      <w:r w:rsidR="002C38F9" w:rsidRPr="00E2675B">
        <w:rPr>
          <w:rFonts w:ascii="Tahoma" w:cs="Tahoma" w:hAnsi="Tahoma"/>
          <w:b/>
          <w:bCs/>
          <w:sz w:val="20"/>
          <w:szCs w:val="20"/>
        </w:rPr>
        <w:t xml:space="preserve"> – GESTION PREVISIONNELLE DE L’EMPLOI ET DES COMPETENCES</w:t>
      </w:r>
    </w:p>
    <w:p w14:paraId="1982873B" w14:textId="09243E12" w:rsidP="00F719A9" w:rsidR="00F719A9" w:rsidRDefault="00F719A9" w:rsidRPr="00E2675B">
      <w:pPr>
        <w:pStyle w:val="texte"/>
        <w:spacing w:before="120"/>
        <w:rPr>
          <w:rFonts w:ascii="Tahoma" w:cs="Tahoma" w:hAnsi="Tahoma"/>
          <w:sz w:val="20"/>
        </w:rPr>
      </w:pPr>
      <w:r w:rsidRPr="00E2675B">
        <w:rPr>
          <w:rFonts w:ascii="Tahoma" w:cs="Tahoma" w:hAnsi="Tahoma"/>
          <w:sz w:val="20"/>
        </w:rPr>
        <w:t xml:space="preserve">L’accord relatif à la Gestion Anticipative des Emplois et des Compétences (GAEC) signé à </w:t>
      </w:r>
      <w:r w:rsidR="00C5494D" w:rsidRPr="00E2675B">
        <w:rPr>
          <w:rFonts w:ascii="Tahoma" w:cs="Tahoma" w:hAnsi="Tahoma"/>
          <w:sz w:val="20"/>
        </w:rPr>
        <w:t>la majorité</w:t>
      </w:r>
      <w:r w:rsidRPr="00E2675B">
        <w:rPr>
          <w:rFonts w:ascii="Tahoma" w:cs="Tahoma" w:hAnsi="Tahoma"/>
          <w:sz w:val="20"/>
        </w:rPr>
        <w:t xml:space="preserve"> </w:t>
      </w:r>
      <w:r w:rsidR="004D7A3B" w:rsidRPr="00E2675B">
        <w:rPr>
          <w:rFonts w:ascii="Tahoma" w:cs="Tahoma" w:hAnsi="Tahoma"/>
          <w:sz w:val="20"/>
        </w:rPr>
        <w:t>d</w:t>
      </w:r>
      <w:r w:rsidRPr="00E2675B">
        <w:rPr>
          <w:rFonts w:ascii="Tahoma" w:cs="Tahoma" w:hAnsi="Tahoma"/>
          <w:sz w:val="20"/>
        </w:rPr>
        <w:t xml:space="preserve">es Organisations syndicales représentatives au niveau de l’UES le </w:t>
      </w:r>
      <w:r w:rsidR="00C5494D" w:rsidRPr="00E2675B">
        <w:rPr>
          <w:rFonts w:ascii="Tahoma" w:cs="Tahoma" w:hAnsi="Tahoma"/>
          <w:sz w:val="20"/>
        </w:rPr>
        <w:t>7 juillet 2019</w:t>
      </w:r>
      <w:r w:rsidRPr="00E2675B">
        <w:rPr>
          <w:rFonts w:ascii="Tahoma" w:cs="Tahoma" w:hAnsi="Tahoma"/>
          <w:sz w:val="20"/>
        </w:rPr>
        <w:t xml:space="preserve"> </w:t>
      </w:r>
      <w:r w:rsidR="00C5494D" w:rsidRPr="00E2675B">
        <w:rPr>
          <w:rFonts w:ascii="Tahoma" w:cs="Tahoma" w:hAnsi="Tahoma"/>
          <w:sz w:val="20"/>
        </w:rPr>
        <w:t>arrivera</w:t>
      </w:r>
      <w:r w:rsidRPr="00E2675B">
        <w:rPr>
          <w:rFonts w:ascii="Tahoma" w:cs="Tahoma" w:hAnsi="Tahoma"/>
          <w:sz w:val="20"/>
        </w:rPr>
        <w:t xml:space="preserve"> à échéance en </w:t>
      </w:r>
      <w:r w:rsidR="00C5494D" w:rsidRPr="00E2675B">
        <w:rPr>
          <w:rFonts w:ascii="Tahoma" w:cs="Tahoma" w:hAnsi="Tahoma"/>
          <w:sz w:val="20"/>
        </w:rPr>
        <w:t>2022</w:t>
      </w:r>
      <w:r w:rsidRPr="00E2675B">
        <w:rPr>
          <w:rFonts w:ascii="Tahoma" w:cs="Tahoma" w:hAnsi="Tahoma"/>
          <w:sz w:val="20"/>
        </w:rPr>
        <w:t>.</w:t>
      </w:r>
    </w:p>
    <w:p w14:paraId="3F8AB36E" w14:textId="56312BFE" w:rsidP="00F719A9" w:rsidR="00F719A9" w:rsidRDefault="00F719A9" w:rsidRPr="00E2675B">
      <w:pPr>
        <w:pStyle w:val="texte"/>
        <w:spacing w:before="120"/>
        <w:rPr>
          <w:rFonts w:ascii="Tahoma" w:cs="Tahoma" w:hAnsi="Tahoma"/>
          <w:sz w:val="20"/>
        </w:rPr>
      </w:pPr>
      <w:r w:rsidRPr="00E2675B">
        <w:rPr>
          <w:rFonts w:ascii="Tahoma" w:cs="Tahoma" w:hAnsi="Tahoma"/>
          <w:sz w:val="20"/>
        </w:rPr>
        <w:t xml:space="preserve">Une négociation relative à son renouvellement </w:t>
      </w:r>
      <w:r w:rsidR="00C5494D" w:rsidRPr="00E2675B">
        <w:rPr>
          <w:rFonts w:ascii="Tahoma" w:cs="Tahoma" w:hAnsi="Tahoma"/>
          <w:sz w:val="20"/>
        </w:rPr>
        <w:t xml:space="preserve">sera ainsi initiée sur le premier </w:t>
      </w:r>
      <w:r w:rsidR="00E56D7C" w:rsidRPr="00E2675B">
        <w:rPr>
          <w:rFonts w:ascii="Tahoma" w:cs="Tahoma" w:hAnsi="Tahoma"/>
          <w:sz w:val="20"/>
        </w:rPr>
        <w:t>semestre</w:t>
      </w:r>
      <w:r w:rsidR="00C5494D" w:rsidRPr="00E2675B">
        <w:rPr>
          <w:rFonts w:ascii="Tahoma" w:cs="Tahoma" w:hAnsi="Tahoma"/>
          <w:sz w:val="20"/>
        </w:rPr>
        <w:t xml:space="preserve"> 2022</w:t>
      </w:r>
      <w:r w:rsidRPr="00E2675B">
        <w:rPr>
          <w:rFonts w:ascii="Tahoma" w:cs="Tahoma" w:hAnsi="Tahoma"/>
          <w:sz w:val="20"/>
        </w:rPr>
        <w:t xml:space="preserve">. </w:t>
      </w:r>
    </w:p>
    <w:p w14:paraId="47126A5D" w14:textId="77777777" w:rsidP="002C38F9" w:rsidR="008A037A" w:rsidRDefault="008A037A" w:rsidRPr="00E2675B">
      <w:pPr>
        <w:pStyle w:val="texte"/>
        <w:spacing w:before="120"/>
        <w:rPr>
          <w:rFonts w:ascii="Tahoma" w:cs="Tahoma" w:hAnsi="Tahoma"/>
          <w:sz w:val="20"/>
        </w:rPr>
      </w:pPr>
    </w:p>
    <w:p w14:paraId="28873EBD" w14:textId="77777777" w:rsidP="00581E01" w:rsidR="00581E01" w:rsidRDefault="00581E01" w:rsidRPr="00E2675B">
      <w:pPr>
        <w:spacing w:before="120"/>
        <w:rPr>
          <w:rFonts w:ascii="Tahoma" w:cs="Tahoma" w:hAnsi="Tahoma"/>
          <w:b/>
          <w:bCs/>
          <w:sz w:val="20"/>
        </w:rPr>
      </w:pPr>
      <w:r w:rsidRPr="00E2675B">
        <w:rPr>
          <w:rFonts w:ascii="Tahoma" w:cs="Tahoma" w:hAnsi="Tahoma"/>
          <w:b/>
          <w:bCs/>
          <w:sz w:val="20"/>
        </w:rPr>
        <w:t>Art</w:t>
      </w:r>
      <w:r w:rsidR="00423715" w:rsidRPr="00E2675B">
        <w:rPr>
          <w:rFonts w:ascii="Tahoma" w:cs="Tahoma" w:hAnsi="Tahoma"/>
          <w:b/>
          <w:bCs/>
          <w:sz w:val="20"/>
        </w:rPr>
        <w:t>icle</w:t>
      </w:r>
      <w:r w:rsidRPr="00E2675B">
        <w:rPr>
          <w:rFonts w:ascii="Tahoma" w:cs="Tahoma" w:hAnsi="Tahoma"/>
          <w:b/>
          <w:bCs/>
          <w:sz w:val="20"/>
        </w:rPr>
        <w:t xml:space="preserve"> 10 – EGALITE PROFESSIONNELLE ENTRE LES FEMMES ET LES HOMMES</w:t>
      </w:r>
    </w:p>
    <w:p w14:paraId="677EA10A" w14:textId="510F371A" w:rsidP="00325D9F" w:rsidR="00325D9F" w:rsidRDefault="00325D9F" w:rsidRPr="00E2675B">
      <w:pPr>
        <w:spacing w:before="120"/>
        <w:rPr>
          <w:rFonts w:ascii="Tahoma" w:cs="Tahoma" w:hAnsi="Tahoma"/>
          <w:sz w:val="20"/>
        </w:rPr>
      </w:pPr>
      <w:r w:rsidRPr="00E2675B">
        <w:rPr>
          <w:rFonts w:ascii="Tahoma" w:cs="Tahoma" w:hAnsi="Tahoma"/>
          <w:sz w:val="20"/>
        </w:rPr>
        <w:t xml:space="preserve">L’accord sur </w:t>
      </w:r>
      <w:r w:rsidR="006F4545" w:rsidRPr="00E2675B">
        <w:rPr>
          <w:rFonts w:ascii="Tahoma" w:cs="Tahoma" w:hAnsi="Tahoma"/>
          <w:sz w:val="20"/>
        </w:rPr>
        <w:t>l’égalité professionnelle</w:t>
      </w:r>
      <w:r w:rsidRPr="00E2675B">
        <w:rPr>
          <w:rFonts w:ascii="Tahoma" w:cs="Tahoma" w:hAnsi="Tahoma"/>
          <w:sz w:val="20"/>
        </w:rPr>
        <w:t xml:space="preserve"> conclu à l’unanimité avec les Organisations syndicales représentatives au niveau de l’UES le 23 décembre 2015 est arrivé à échéance en fin d’année 2018.</w:t>
      </w:r>
    </w:p>
    <w:p w14:paraId="7FF4E84D" w14:textId="0C57E90A" w:rsidP="00325D9F" w:rsidR="004B7053" w:rsidRDefault="00325D9F" w:rsidRPr="00E2675B">
      <w:pPr>
        <w:pStyle w:val="texte"/>
        <w:spacing w:before="120"/>
        <w:rPr>
          <w:rFonts w:ascii="Tahoma" w:cs="Tahoma" w:hAnsi="Tahoma"/>
          <w:sz w:val="20"/>
        </w:rPr>
      </w:pPr>
      <w:r w:rsidRPr="00E2675B">
        <w:rPr>
          <w:rFonts w:ascii="Tahoma" w:cs="Tahoma" w:hAnsi="Tahoma"/>
          <w:sz w:val="20"/>
        </w:rPr>
        <w:t xml:space="preserve">Un nouvel accord unanime a été signé le 28 mai 2019, réaffirmant les engagements pris par ENGIE Ineo en matière notamment de recrutement, de formation, de rémunération. </w:t>
      </w:r>
    </w:p>
    <w:p w14:paraId="2CBE569B" w14:textId="2C6DE0F0" w:rsidP="00325D9F" w:rsidR="007D7B28" w:rsidRDefault="002E1EB8" w:rsidRPr="00E2675B">
      <w:pPr>
        <w:pStyle w:val="texte"/>
        <w:spacing w:before="120"/>
        <w:rPr>
          <w:rFonts w:ascii="Tahoma" w:cs="Tahoma" w:hAnsi="Tahoma"/>
          <w:sz w:val="20"/>
        </w:rPr>
      </w:pPr>
      <w:r w:rsidRPr="00E2675B">
        <w:rPr>
          <w:rFonts w:ascii="Tahoma" w:cs="Tahoma" w:hAnsi="Tahoma"/>
          <w:sz w:val="20"/>
        </w:rPr>
        <w:t xml:space="preserve">Cet accord arrivant à échéance au 31 décembre 2022, une nouvelle négociation devrait s’ouvrir </w:t>
      </w:r>
      <w:r w:rsidR="00251145" w:rsidRPr="00E2675B">
        <w:rPr>
          <w:rFonts w:ascii="Tahoma" w:cs="Tahoma" w:hAnsi="Tahoma"/>
          <w:sz w:val="20"/>
        </w:rPr>
        <w:t>sur le 2</w:t>
      </w:r>
      <w:r w:rsidR="00251145" w:rsidRPr="00E2675B">
        <w:rPr>
          <w:rFonts w:ascii="Tahoma" w:cs="Tahoma" w:hAnsi="Tahoma"/>
          <w:sz w:val="20"/>
          <w:vertAlign w:val="superscript"/>
        </w:rPr>
        <w:t>nd</w:t>
      </w:r>
      <w:r w:rsidR="00251145" w:rsidRPr="00E2675B">
        <w:rPr>
          <w:rFonts w:ascii="Tahoma" w:cs="Tahoma" w:hAnsi="Tahoma"/>
          <w:sz w:val="20"/>
        </w:rPr>
        <w:t xml:space="preserve"> semestre 2022.</w:t>
      </w:r>
    </w:p>
    <w:p w14:paraId="24AB5C8F" w14:textId="655FB14B" w:rsidP="00063C6C" w:rsidR="007E01D6" w:rsidRDefault="00325D9F">
      <w:pPr>
        <w:pStyle w:val="texte"/>
        <w:spacing w:before="120"/>
        <w:rPr>
          <w:rFonts w:ascii="Tahoma" w:cs="Tahoma" w:eastAsia="Times" w:hAnsi="Tahoma"/>
          <w:sz w:val="20"/>
        </w:rPr>
      </w:pPr>
      <w:r w:rsidRPr="00E2675B">
        <w:rPr>
          <w:rFonts w:ascii="Tahoma" w:cs="Tahoma" w:eastAsia="Times" w:hAnsi="Tahoma"/>
          <w:sz w:val="20"/>
        </w:rPr>
        <w:t xml:space="preserve">Par ailleurs, en matière d’égalité salariale, </w:t>
      </w:r>
      <w:r w:rsidR="00251145" w:rsidRPr="00E2675B">
        <w:rPr>
          <w:rFonts w:ascii="Tahoma" w:cs="Tahoma" w:eastAsia="Times" w:hAnsi="Tahoma"/>
          <w:sz w:val="20"/>
        </w:rPr>
        <w:t>l’UES</w:t>
      </w:r>
      <w:r w:rsidRPr="00E2675B">
        <w:rPr>
          <w:rFonts w:ascii="Tahoma" w:cs="Tahoma" w:eastAsia="Times" w:hAnsi="Tahoma"/>
          <w:sz w:val="20"/>
        </w:rPr>
        <w:t xml:space="preserve"> Ineo </w:t>
      </w:r>
      <w:r w:rsidR="00251145" w:rsidRPr="00E2675B">
        <w:rPr>
          <w:rFonts w:ascii="Tahoma" w:cs="Tahoma" w:eastAsia="Times" w:hAnsi="Tahoma"/>
          <w:sz w:val="20"/>
        </w:rPr>
        <w:t>a atteint au titre de l’année 2020</w:t>
      </w:r>
      <w:r w:rsidRPr="00E2675B">
        <w:rPr>
          <w:rFonts w:ascii="Tahoma" w:cs="Tahoma" w:eastAsia="Times" w:hAnsi="Tahoma"/>
          <w:sz w:val="20"/>
        </w:rPr>
        <w:t xml:space="preserve"> </w:t>
      </w:r>
      <w:r w:rsidR="00034056" w:rsidRPr="00E2675B">
        <w:rPr>
          <w:rFonts w:ascii="Tahoma" w:cs="Tahoma" w:eastAsia="Times" w:hAnsi="Tahoma"/>
          <w:sz w:val="20"/>
        </w:rPr>
        <w:t>89</w:t>
      </w:r>
      <w:r w:rsidRPr="00E2675B">
        <w:rPr>
          <w:rFonts w:ascii="Tahoma" w:cs="Tahoma" w:eastAsia="Times" w:hAnsi="Tahoma"/>
          <w:sz w:val="20"/>
        </w:rPr>
        <w:t xml:space="preserve"> points en application de l’index « Ega pro »</w:t>
      </w:r>
      <w:r w:rsidR="00034056" w:rsidRPr="00E2675B">
        <w:rPr>
          <w:rFonts w:ascii="Tahoma" w:cs="Tahoma" w:eastAsia="Times" w:hAnsi="Tahoma"/>
          <w:sz w:val="20"/>
        </w:rPr>
        <w:t xml:space="preserve">, </w:t>
      </w:r>
      <w:r w:rsidR="00BA47CF" w:rsidRPr="00E2675B">
        <w:rPr>
          <w:rFonts w:ascii="Tahoma" w:cs="Tahoma" w:eastAsia="Times" w:hAnsi="Tahoma"/>
          <w:sz w:val="20"/>
        </w:rPr>
        <w:t>soit un résultat supérieur à ses objectifs fixés à hauteur de 85 points</w:t>
      </w:r>
      <w:r w:rsidRPr="00E2675B">
        <w:rPr>
          <w:rFonts w:ascii="Tahoma" w:cs="Tahoma" w:eastAsia="Times" w:hAnsi="Tahoma"/>
          <w:sz w:val="20"/>
        </w:rPr>
        <w:t>.</w:t>
      </w:r>
    </w:p>
    <w:p w14:paraId="232173F9" w14:textId="77777777" w:rsidP="00063C6C" w:rsidR="00063C6C" w:rsidRDefault="00063C6C" w:rsidRPr="00063C6C">
      <w:pPr>
        <w:pStyle w:val="texte"/>
        <w:spacing w:before="120"/>
        <w:rPr>
          <w:rFonts w:ascii="Tahoma" w:cs="Tahoma" w:eastAsia="Times" w:hAnsi="Tahoma"/>
          <w:sz w:val="20"/>
        </w:rPr>
      </w:pPr>
    </w:p>
    <w:p w14:paraId="2031844D" w14:textId="2DF4D565" w:rsidP="00581E01" w:rsidR="00581E01" w:rsidRDefault="00581E01" w:rsidRPr="00E2675B">
      <w:pPr>
        <w:spacing w:before="120"/>
        <w:rPr>
          <w:rFonts w:ascii="Tahoma" w:cs="Tahoma" w:hAnsi="Tahoma"/>
          <w:b/>
          <w:bCs/>
          <w:sz w:val="20"/>
        </w:rPr>
      </w:pPr>
      <w:r w:rsidRPr="00E2675B">
        <w:rPr>
          <w:rFonts w:ascii="Tahoma" w:cs="Tahoma" w:hAnsi="Tahoma"/>
          <w:b/>
          <w:bCs/>
          <w:sz w:val="20"/>
        </w:rPr>
        <w:t>Art</w:t>
      </w:r>
      <w:r w:rsidR="00423715" w:rsidRPr="00E2675B">
        <w:rPr>
          <w:rFonts w:ascii="Tahoma" w:cs="Tahoma" w:hAnsi="Tahoma"/>
          <w:b/>
          <w:bCs/>
          <w:sz w:val="20"/>
        </w:rPr>
        <w:t>icle</w:t>
      </w:r>
      <w:r w:rsidRPr="00E2675B">
        <w:rPr>
          <w:rFonts w:ascii="Tahoma" w:cs="Tahoma" w:hAnsi="Tahoma"/>
          <w:b/>
          <w:bCs/>
          <w:sz w:val="20"/>
        </w:rPr>
        <w:t xml:space="preserve"> 11 – RSE</w:t>
      </w:r>
    </w:p>
    <w:p w14:paraId="26AD3040" w14:textId="218BC460" w:rsidP="00EB335D" w:rsidR="004B7053" w:rsidRDefault="006334ED" w:rsidRPr="00E2675B">
      <w:pPr>
        <w:pStyle w:val="Corpsdetexte3"/>
        <w:spacing w:before="120"/>
        <w:rPr>
          <w:rFonts w:ascii="Tahoma" w:cs="Tahoma" w:hAnsi="Tahoma"/>
          <w:bCs w:val="0"/>
        </w:rPr>
      </w:pPr>
      <w:r w:rsidRPr="00E2675B">
        <w:rPr>
          <w:rFonts w:ascii="Tahoma" w:cs="Tahoma" w:hAnsi="Tahoma"/>
          <w:b w:val="0"/>
          <w:bCs w:val="0"/>
          <w:sz w:val="20"/>
          <w:szCs w:val="20"/>
        </w:rPr>
        <w:t xml:space="preserve">Un nouvel accord en faveur des personnes en situation de Handicap au sein de l’UES ENGIE a été signé </w:t>
      </w:r>
      <w:r w:rsidRPr="00E2675B">
        <w:rPr>
          <w:rFonts w:ascii="Tahoma" w:cs="Tahoma" w:hAnsi="Tahoma"/>
          <w:b w:val="0"/>
          <w:sz w:val="20"/>
        </w:rPr>
        <w:t>à l’unanimité avec les Organisations syndicales représentatives au niveau de l’UES</w:t>
      </w:r>
      <w:r w:rsidRPr="00E2675B">
        <w:rPr>
          <w:rFonts w:ascii="Tahoma" w:cs="Tahoma" w:hAnsi="Tahoma"/>
          <w:b w:val="0"/>
          <w:bCs w:val="0"/>
          <w:sz w:val="20"/>
          <w:szCs w:val="20"/>
        </w:rPr>
        <w:t xml:space="preserve"> le </w:t>
      </w:r>
      <w:r w:rsidR="0096394B" w:rsidRPr="00E2675B">
        <w:rPr>
          <w:rFonts w:ascii="Tahoma" w:cs="Tahoma" w:hAnsi="Tahoma"/>
          <w:b w:val="0"/>
          <w:bCs w:val="0"/>
          <w:sz w:val="20"/>
          <w:szCs w:val="20"/>
        </w:rPr>
        <w:t>4 février 2020</w:t>
      </w:r>
      <w:r w:rsidRPr="00E2675B">
        <w:rPr>
          <w:rFonts w:ascii="Tahoma" w:cs="Tahoma" w:hAnsi="Tahoma"/>
          <w:b w:val="0"/>
          <w:bCs w:val="0"/>
          <w:sz w:val="20"/>
          <w:szCs w:val="20"/>
        </w:rPr>
        <w:t xml:space="preserve"> pour une période de 3 ans </w:t>
      </w:r>
      <w:r w:rsidR="00DE17D6" w:rsidRPr="00E2675B">
        <w:rPr>
          <w:rFonts w:ascii="Tahoma" w:cs="Tahoma" w:hAnsi="Tahoma"/>
          <w:b w:val="0"/>
          <w:bCs w:val="0"/>
          <w:sz w:val="20"/>
          <w:szCs w:val="20"/>
        </w:rPr>
        <w:t>avec</w:t>
      </w:r>
      <w:r w:rsidRPr="00E2675B">
        <w:rPr>
          <w:rFonts w:ascii="Tahoma" w:cs="Tahoma" w:hAnsi="Tahoma"/>
          <w:b w:val="0"/>
          <w:bCs w:val="0"/>
          <w:sz w:val="20"/>
          <w:szCs w:val="20"/>
        </w:rPr>
        <w:t xml:space="preserve"> effet rétroactif au 1</w:t>
      </w:r>
      <w:r w:rsidRPr="00E2675B">
        <w:rPr>
          <w:rFonts w:ascii="Tahoma" w:cs="Tahoma" w:hAnsi="Tahoma"/>
          <w:b w:val="0"/>
          <w:bCs w:val="0"/>
          <w:sz w:val="20"/>
          <w:szCs w:val="20"/>
          <w:vertAlign w:val="superscript"/>
        </w:rPr>
        <w:t>er</w:t>
      </w:r>
      <w:r w:rsidRPr="00E2675B">
        <w:rPr>
          <w:rFonts w:ascii="Tahoma" w:cs="Tahoma" w:hAnsi="Tahoma"/>
          <w:b w:val="0"/>
          <w:bCs w:val="0"/>
          <w:sz w:val="20"/>
          <w:szCs w:val="20"/>
        </w:rPr>
        <w:t xml:space="preserve"> janvier </w:t>
      </w:r>
      <w:r w:rsidR="0096394B" w:rsidRPr="00E2675B">
        <w:rPr>
          <w:rFonts w:ascii="Tahoma" w:cs="Tahoma" w:hAnsi="Tahoma"/>
          <w:b w:val="0"/>
          <w:bCs w:val="0"/>
          <w:sz w:val="20"/>
          <w:szCs w:val="20"/>
        </w:rPr>
        <w:t>2020</w:t>
      </w:r>
      <w:r w:rsidRPr="00E2675B">
        <w:rPr>
          <w:rFonts w:ascii="Tahoma" w:cs="Tahoma" w:hAnsi="Tahoma"/>
          <w:b w:val="0"/>
          <w:bCs w:val="0"/>
          <w:sz w:val="20"/>
          <w:szCs w:val="20"/>
        </w:rPr>
        <w:t>. Cet accord a fait l’objet d’un agrément par l’Administration du travail.</w:t>
      </w:r>
      <w:r w:rsidR="00EB335D" w:rsidRPr="00E2675B">
        <w:rPr>
          <w:rFonts w:ascii="Tahoma" w:cs="Tahoma" w:hAnsi="Tahoma"/>
          <w:bCs w:val="0"/>
        </w:rPr>
        <w:t xml:space="preserve"> </w:t>
      </w:r>
    </w:p>
    <w:p w14:paraId="50B8A8EA" w14:textId="77777777" w:rsidP="006334ED" w:rsidR="006334ED" w:rsidRDefault="006334ED" w:rsidRPr="00E2675B">
      <w:pPr>
        <w:pStyle w:val="Corpsdetexte3"/>
        <w:spacing w:before="120"/>
        <w:rPr>
          <w:rFonts w:ascii="Tahoma" w:cs="Tahoma" w:hAnsi="Tahoma"/>
          <w:b w:val="0"/>
          <w:bCs w:val="0"/>
          <w:sz w:val="20"/>
          <w:szCs w:val="20"/>
        </w:rPr>
      </w:pPr>
      <w:r w:rsidRPr="00E2675B">
        <w:rPr>
          <w:rFonts w:ascii="Tahoma" w:cs="Tahoma" w:hAnsi="Tahoma"/>
          <w:b w:val="0"/>
          <w:bCs w:val="0"/>
          <w:sz w:val="20"/>
          <w:szCs w:val="20"/>
        </w:rPr>
        <w:t>Par ailleurs, ENGIE Ineo a activement participé au renouvellement du « Label Diversité » par le Groupe ENGIE en mars 2017 pour une durée de 4 ans, l’audit conduit par l’organisme de certification (l’AFNOR) ayant permis d’attester de la poursuite de la dynamique engagée au sein de l’UES.</w:t>
      </w:r>
    </w:p>
    <w:p w14:paraId="5735079A" w14:textId="43D7B35B" w:rsidP="008A037A" w:rsidR="00E14056" w:rsidRDefault="006334ED" w:rsidRPr="00E2675B">
      <w:pPr>
        <w:spacing w:before="120"/>
        <w:rPr>
          <w:rFonts w:ascii="Tahoma" w:cs="Tahoma" w:hAnsi="Tahoma"/>
          <w:b/>
          <w:bCs/>
          <w:sz w:val="20"/>
        </w:rPr>
      </w:pPr>
      <w:r w:rsidRPr="00E2675B">
        <w:rPr>
          <w:rFonts w:ascii="Tahoma" w:cs="Tahoma" w:hAnsi="Tahoma"/>
          <w:sz w:val="20"/>
        </w:rPr>
        <w:t>En outre, dans le cadre de la dynamique de performance sociale initiée au sein d’ENGIE Ineo, et conformément aux engagements pris dans le cadre de la NAO pour 2018, deux accords traitant respectivement du télétravail et du droit à la déconnexion ont été conclus le 15 mai 2018.</w:t>
      </w:r>
      <w:r w:rsidR="008A037A" w:rsidRPr="00E2675B">
        <w:rPr>
          <w:rFonts w:ascii="Tahoma" w:cs="Tahoma" w:hAnsi="Tahoma"/>
          <w:sz w:val="20"/>
        </w:rPr>
        <w:t xml:space="preserve">  </w:t>
      </w:r>
      <w:r w:rsidR="0073788D" w:rsidRPr="00E2675B">
        <w:rPr>
          <w:rFonts w:ascii="Tahoma" w:cs="Tahoma" w:hAnsi="Tahoma"/>
          <w:sz w:val="20"/>
        </w:rPr>
        <w:t xml:space="preserve">L’accord relatif au télétravail ayant été conclu pour une durée déterminée de </w:t>
      </w:r>
      <w:r w:rsidR="00A70892" w:rsidRPr="00E2675B">
        <w:rPr>
          <w:rFonts w:ascii="Tahoma" w:cs="Tahoma" w:hAnsi="Tahoma"/>
          <w:sz w:val="20"/>
        </w:rPr>
        <w:t xml:space="preserve">trois ans, </w:t>
      </w:r>
      <w:r w:rsidR="005F4CEB" w:rsidRPr="00E2675B">
        <w:rPr>
          <w:rFonts w:ascii="Tahoma" w:cs="Tahoma" w:hAnsi="Tahoma"/>
          <w:sz w:val="20"/>
        </w:rPr>
        <w:t>arrivant</w:t>
      </w:r>
      <w:r w:rsidR="0073788D" w:rsidRPr="00E2675B">
        <w:rPr>
          <w:rFonts w:ascii="Tahoma" w:cs="Tahoma" w:hAnsi="Tahoma"/>
          <w:sz w:val="20"/>
        </w:rPr>
        <w:t xml:space="preserve"> </w:t>
      </w:r>
      <w:r w:rsidR="00A70892" w:rsidRPr="00E2675B">
        <w:rPr>
          <w:rFonts w:ascii="Tahoma" w:cs="Tahoma" w:hAnsi="Tahoma"/>
          <w:sz w:val="20"/>
        </w:rPr>
        <w:t>à échéance en mai 2021</w:t>
      </w:r>
      <w:r w:rsidR="005F4CEB" w:rsidRPr="00E2675B">
        <w:rPr>
          <w:rFonts w:ascii="Tahoma" w:cs="Tahoma" w:hAnsi="Tahoma"/>
          <w:sz w:val="20"/>
        </w:rPr>
        <w:t xml:space="preserve">, </w:t>
      </w:r>
      <w:r w:rsidR="005F4CEB" w:rsidRPr="00E2675B">
        <w:rPr>
          <w:rFonts w:ascii="Tahoma" w:cs="Tahoma" w:hAnsi="Tahoma"/>
          <w:b/>
          <w:bCs/>
          <w:sz w:val="20"/>
        </w:rPr>
        <w:t>un nouvel accord a été conclu le 24 septembre 2021 pour une nouvelle durée de trois ans</w:t>
      </w:r>
      <w:r w:rsidR="00AB34B5" w:rsidRPr="00E2675B">
        <w:rPr>
          <w:rFonts w:ascii="Tahoma" w:cs="Tahoma" w:hAnsi="Tahoma"/>
          <w:b/>
          <w:bCs/>
          <w:sz w:val="20"/>
        </w:rPr>
        <w:t>.</w:t>
      </w:r>
    </w:p>
    <w:p w14:paraId="28717CAF" w14:textId="77777777" w:rsidP="00EB335D" w:rsidR="00EB335D" w:rsidRDefault="00EB335D" w:rsidRPr="00E2675B">
      <w:pPr>
        <w:pStyle w:val="Corpsdetexte3"/>
        <w:spacing w:before="120"/>
        <w:rPr>
          <w:rFonts w:ascii="Tahoma" w:cs="Tahoma" w:hAnsi="Tahoma"/>
          <w:b w:val="0"/>
          <w:bCs w:val="0"/>
          <w:i/>
          <w:sz w:val="20"/>
          <w:szCs w:val="20"/>
        </w:rPr>
      </w:pPr>
    </w:p>
    <w:p w14:paraId="24C901F8" w14:textId="77777777" w:rsidP="00EB335D" w:rsidR="00EB335D" w:rsidRDefault="00EB335D" w:rsidRPr="00E2675B">
      <w:pPr>
        <w:spacing w:before="120"/>
        <w:rPr>
          <w:rFonts w:ascii="Tahoma" w:cs="Tahoma" w:hAnsi="Tahoma"/>
          <w:b/>
          <w:bCs/>
          <w:sz w:val="20"/>
        </w:rPr>
      </w:pPr>
      <w:r w:rsidRPr="00E2675B">
        <w:rPr>
          <w:rFonts w:ascii="Tahoma" w:cs="Tahoma" w:hAnsi="Tahoma"/>
          <w:b/>
          <w:bCs/>
          <w:sz w:val="20"/>
        </w:rPr>
        <w:t xml:space="preserve">Article 12 – </w:t>
      </w:r>
      <w:r w:rsidRPr="00E2675B">
        <w:rPr>
          <w:rFonts w:ascii="Tahoma" w:cs="Tahoma" w:hAnsi="Tahoma"/>
          <w:b/>
          <w:bCs/>
          <w:caps/>
          <w:sz w:val="20"/>
        </w:rPr>
        <w:t>Tutorat</w:t>
      </w:r>
    </w:p>
    <w:p w14:paraId="4E5D4A01" w14:textId="77777777" w:rsidP="00EB335D" w:rsidR="00EB335D" w:rsidRDefault="00EB335D" w:rsidRPr="00E2675B">
      <w:pPr>
        <w:pStyle w:val="Corpsdetexte3"/>
        <w:spacing w:before="120"/>
        <w:rPr>
          <w:rFonts w:ascii="Tahoma" w:cs="Tahoma" w:hAnsi="Tahoma"/>
          <w:b w:val="0"/>
          <w:bCs w:val="0"/>
          <w:sz w:val="20"/>
          <w:szCs w:val="20"/>
        </w:rPr>
      </w:pPr>
      <w:r w:rsidRPr="00E2675B">
        <w:rPr>
          <w:rFonts w:ascii="Tahoma" w:cs="Tahoma" w:hAnsi="Tahoma"/>
          <w:b w:val="0"/>
          <w:bCs w:val="0"/>
          <w:sz w:val="20"/>
          <w:szCs w:val="20"/>
        </w:rPr>
        <w:t xml:space="preserve">Conformément à l’engagement pris lors de la NAO 2019, il </w:t>
      </w:r>
      <w:r w:rsidR="00E611B9" w:rsidRPr="00E2675B">
        <w:rPr>
          <w:rFonts w:ascii="Tahoma" w:cs="Tahoma" w:hAnsi="Tahoma"/>
          <w:b w:val="0"/>
          <w:bCs w:val="0"/>
          <w:sz w:val="20"/>
          <w:szCs w:val="20"/>
        </w:rPr>
        <w:t>avait été</w:t>
      </w:r>
      <w:r w:rsidRPr="00E2675B">
        <w:rPr>
          <w:rFonts w:ascii="Tahoma" w:cs="Tahoma" w:hAnsi="Tahoma"/>
          <w:b w:val="0"/>
          <w:bCs w:val="0"/>
          <w:sz w:val="20"/>
          <w:szCs w:val="20"/>
        </w:rPr>
        <w:t xml:space="preserve"> posé </w:t>
      </w:r>
      <w:r w:rsidR="00E611B9" w:rsidRPr="00E2675B">
        <w:rPr>
          <w:rFonts w:ascii="Tahoma" w:cs="Tahoma" w:hAnsi="Tahoma"/>
          <w:b w:val="0"/>
          <w:bCs w:val="0"/>
          <w:sz w:val="20"/>
          <w:szCs w:val="20"/>
        </w:rPr>
        <w:t xml:space="preserve">en 2020 </w:t>
      </w:r>
      <w:r w:rsidRPr="00E2675B">
        <w:rPr>
          <w:rFonts w:ascii="Tahoma" w:cs="Tahoma" w:hAnsi="Tahoma"/>
          <w:b w:val="0"/>
          <w:bCs w:val="0"/>
          <w:sz w:val="20"/>
          <w:szCs w:val="20"/>
        </w:rPr>
        <w:t xml:space="preserve">le principe que tout tuteur doit bénéficier d’une prime annuelle dont le montant ne peut être inférieur à 150 € bruts. Il devra également </w:t>
      </w:r>
      <w:r w:rsidR="004B7053" w:rsidRPr="00E2675B">
        <w:rPr>
          <w:rFonts w:ascii="Tahoma" w:cs="Tahoma" w:hAnsi="Tahoma"/>
          <w:b w:val="0"/>
          <w:bCs w:val="0"/>
          <w:sz w:val="20"/>
          <w:szCs w:val="20"/>
        </w:rPr>
        <w:t>bénéficier d’</w:t>
      </w:r>
      <w:r w:rsidRPr="00E2675B">
        <w:rPr>
          <w:rFonts w:ascii="Tahoma" w:cs="Tahoma" w:hAnsi="Tahoma"/>
          <w:b w:val="0"/>
          <w:bCs w:val="0"/>
          <w:sz w:val="20"/>
          <w:szCs w:val="20"/>
        </w:rPr>
        <w:t xml:space="preserve">une formation </w:t>
      </w:r>
      <w:r w:rsidR="004B7053" w:rsidRPr="00E2675B">
        <w:rPr>
          <w:rFonts w:ascii="Tahoma" w:cs="Tahoma" w:hAnsi="Tahoma"/>
          <w:b w:val="0"/>
          <w:bCs w:val="0"/>
          <w:sz w:val="20"/>
          <w:szCs w:val="20"/>
        </w:rPr>
        <w:t xml:space="preserve">dont les modalités de mise en place seront définies </w:t>
      </w:r>
      <w:r w:rsidRPr="00E2675B">
        <w:rPr>
          <w:rFonts w:ascii="Tahoma" w:cs="Tahoma" w:hAnsi="Tahoma"/>
          <w:b w:val="0"/>
          <w:bCs w:val="0"/>
          <w:sz w:val="20"/>
          <w:szCs w:val="20"/>
        </w:rPr>
        <w:t xml:space="preserve">au sein de son entité. </w:t>
      </w:r>
    </w:p>
    <w:p w14:paraId="6BECEA11" w14:textId="77777777" w:rsidP="00EB335D" w:rsidR="00EB335D" w:rsidRDefault="00EB335D" w:rsidRPr="00E2675B">
      <w:pPr>
        <w:pStyle w:val="Corpsdetexte3"/>
        <w:spacing w:before="120"/>
        <w:rPr>
          <w:rFonts w:ascii="Tahoma" w:cs="Tahoma" w:hAnsi="Tahoma"/>
          <w:b w:val="0"/>
          <w:bCs w:val="0"/>
          <w:sz w:val="20"/>
          <w:szCs w:val="20"/>
        </w:rPr>
      </w:pPr>
      <w:r w:rsidRPr="00E2675B">
        <w:rPr>
          <w:rFonts w:ascii="Tahoma" w:cs="Tahoma" w:hAnsi="Tahoma"/>
          <w:b w:val="0"/>
          <w:bCs w:val="0"/>
          <w:sz w:val="20"/>
          <w:szCs w:val="20"/>
        </w:rPr>
        <w:t xml:space="preserve">Cette mesure </w:t>
      </w:r>
      <w:r w:rsidR="00E611B9" w:rsidRPr="00E2675B">
        <w:rPr>
          <w:rFonts w:ascii="Tahoma" w:cs="Tahoma" w:hAnsi="Tahoma"/>
          <w:b w:val="0"/>
          <w:bCs w:val="0"/>
          <w:sz w:val="20"/>
          <w:szCs w:val="20"/>
        </w:rPr>
        <w:t>était entrée</w:t>
      </w:r>
      <w:r w:rsidRPr="00E2675B">
        <w:rPr>
          <w:rFonts w:ascii="Tahoma" w:cs="Tahoma" w:hAnsi="Tahoma"/>
          <w:b w:val="0"/>
          <w:bCs w:val="0"/>
          <w:sz w:val="20"/>
          <w:szCs w:val="20"/>
        </w:rPr>
        <w:t xml:space="preserve"> en vigueur au 1</w:t>
      </w:r>
      <w:r w:rsidRPr="00E2675B">
        <w:rPr>
          <w:rFonts w:ascii="Tahoma" w:cs="Tahoma" w:hAnsi="Tahoma"/>
          <w:b w:val="0"/>
          <w:bCs w:val="0"/>
          <w:sz w:val="20"/>
          <w:szCs w:val="20"/>
          <w:vertAlign w:val="superscript"/>
        </w:rPr>
        <w:t>er</w:t>
      </w:r>
      <w:r w:rsidRPr="00E2675B">
        <w:rPr>
          <w:rFonts w:ascii="Tahoma" w:cs="Tahoma" w:hAnsi="Tahoma"/>
          <w:b w:val="0"/>
          <w:bCs w:val="0"/>
          <w:sz w:val="20"/>
          <w:szCs w:val="20"/>
        </w:rPr>
        <w:t xml:space="preserve"> janvier 2020 pour les tutorats en cours.</w:t>
      </w:r>
    </w:p>
    <w:p w14:paraId="7ADC88FB" w14:textId="2E9DA011" w:rsidP="00EB335D" w:rsidR="00E611B9" w:rsidRDefault="00E611B9" w:rsidRPr="00E2675B">
      <w:pPr>
        <w:pStyle w:val="Corpsdetexte3"/>
        <w:spacing w:before="120"/>
        <w:rPr>
          <w:rFonts w:ascii="Tahoma" w:cs="Tahoma" w:hAnsi="Tahoma"/>
          <w:b w:val="0"/>
          <w:bCs w:val="0"/>
          <w:sz w:val="20"/>
          <w:szCs w:val="20"/>
        </w:rPr>
      </w:pPr>
      <w:r w:rsidRPr="00E2675B">
        <w:rPr>
          <w:rFonts w:ascii="Tahoma" w:cs="Tahoma" w:hAnsi="Tahoma"/>
          <w:b w:val="0"/>
          <w:bCs w:val="0"/>
          <w:sz w:val="20"/>
          <w:szCs w:val="20"/>
        </w:rPr>
        <w:t xml:space="preserve">Dans le cadre du présent accord, il est convenu de </w:t>
      </w:r>
      <w:r w:rsidR="00A352C2" w:rsidRPr="00E2675B">
        <w:rPr>
          <w:rFonts w:ascii="Tahoma" w:cs="Tahoma" w:hAnsi="Tahoma"/>
          <w:sz w:val="20"/>
          <w:szCs w:val="20"/>
        </w:rPr>
        <w:t>maintenir la revalorisation de</w:t>
      </w:r>
      <w:r w:rsidRPr="00E2675B">
        <w:rPr>
          <w:rFonts w:ascii="Tahoma" w:cs="Tahoma" w:hAnsi="Tahoma"/>
          <w:sz w:val="20"/>
          <w:szCs w:val="20"/>
        </w:rPr>
        <w:t xml:space="preserve"> la prime annuelle à hauteur de 300 € bruts pour chaque tuteur quel que soit le nombre d’alternants suivis</w:t>
      </w:r>
      <w:r w:rsidR="00BF6135" w:rsidRPr="00E2675B">
        <w:rPr>
          <w:rFonts w:ascii="Tahoma" w:cs="Tahoma" w:hAnsi="Tahoma"/>
          <w:sz w:val="20"/>
          <w:szCs w:val="20"/>
        </w:rPr>
        <w:t xml:space="preserve"> mise en place pour 2021</w:t>
      </w:r>
      <w:r w:rsidRPr="00E2675B">
        <w:rPr>
          <w:rFonts w:ascii="Tahoma" w:cs="Tahoma" w:hAnsi="Tahoma"/>
          <w:b w:val="0"/>
          <w:bCs w:val="0"/>
          <w:sz w:val="20"/>
          <w:szCs w:val="20"/>
        </w:rPr>
        <w:t xml:space="preserve">. </w:t>
      </w:r>
      <w:r w:rsidR="00BE1188" w:rsidRPr="00E2675B">
        <w:rPr>
          <w:rFonts w:ascii="Tahoma" w:cs="Tahoma" w:hAnsi="Tahoma"/>
          <w:b w:val="0"/>
          <w:bCs w:val="0"/>
          <w:sz w:val="20"/>
          <w:szCs w:val="20"/>
        </w:rPr>
        <w:t xml:space="preserve"> Cette mesure </w:t>
      </w:r>
      <w:r w:rsidR="00AF2E29" w:rsidRPr="00E2675B">
        <w:rPr>
          <w:rFonts w:ascii="Tahoma" w:cs="Tahoma" w:hAnsi="Tahoma"/>
          <w:b w:val="0"/>
          <w:bCs w:val="0"/>
          <w:sz w:val="20"/>
          <w:szCs w:val="20"/>
        </w:rPr>
        <w:t>rentrera en vigueur au 1</w:t>
      </w:r>
      <w:r w:rsidR="00AF2E29" w:rsidRPr="00E2675B">
        <w:rPr>
          <w:rFonts w:ascii="Tahoma" w:cs="Tahoma" w:hAnsi="Tahoma"/>
          <w:b w:val="0"/>
          <w:bCs w:val="0"/>
          <w:sz w:val="20"/>
          <w:szCs w:val="20"/>
          <w:vertAlign w:val="superscript"/>
        </w:rPr>
        <w:t>er</w:t>
      </w:r>
      <w:r w:rsidR="00AF2E29" w:rsidRPr="00E2675B">
        <w:rPr>
          <w:rFonts w:ascii="Tahoma" w:cs="Tahoma" w:hAnsi="Tahoma"/>
          <w:b w:val="0"/>
          <w:bCs w:val="0"/>
          <w:sz w:val="20"/>
          <w:szCs w:val="20"/>
        </w:rPr>
        <w:t xml:space="preserve"> janvier 202</w:t>
      </w:r>
      <w:r w:rsidR="00A352C2" w:rsidRPr="00E2675B">
        <w:rPr>
          <w:rFonts w:ascii="Tahoma" w:cs="Tahoma" w:hAnsi="Tahoma"/>
          <w:b w:val="0"/>
          <w:bCs w:val="0"/>
          <w:sz w:val="20"/>
          <w:szCs w:val="20"/>
        </w:rPr>
        <w:t>2</w:t>
      </w:r>
      <w:r w:rsidR="00AF2E29" w:rsidRPr="00E2675B">
        <w:rPr>
          <w:rFonts w:ascii="Tahoma" w:cs="Tahoma" w:hAnsi="Tahoma"/>
          <w:b w:val="0"/>
          <w:bCs w:val="0"/>
          <w:sz w:val="20"/>
          <w:szCs w:val="20"/>
        </w:rPr>
        <w:t xml:space="preserve"> pour les tutorats en cours.</w:t>
      </w:r>
    </w:p>
    <w:p w14:paraId="797FFA4B" w14:textId="77777777" w:rsidP="00EB335D" w:rsidR="00347CC7" w:rsidRDefault="00347CC7" w:rsidRPr="00E2675B">
      <w:pPr>
        <w:pStyle w:val="Corpsdetexte3"/>
        <w:spacing w:before="120"/>
        <w:rPr>
          <w:rFonts w:ascii="Tahoma" w:cs="Tahoma" w:hAnsi="Tahoma"/>
          <w:b w:val="0"/>
          <w:bCs w:val="0"/>
          <w:sz w:val="20"/>
          <w:szCs w:val="20"/>
        </w:rPr>
      </w:pPr>
    </w:p>
    <w:p w14:paraId="3DB20BDA" w14:textId="77777777" w:rsidP="00347CC7" w:rsidR="00347CC7" w:rsidRDefault="00347CC7" w:rsidRPr="00E2675B">
      <w:pPr>
        <w:pStyle w:val="texte"/>
        <w:spacing w:before="120"/>
        <w:rPr>
          <w:rFonts w:ascii="Tahoma" w:cs="Tahoma" w:hAnsi="Tahoma"/>
          <w:b/>
          <w:sz w:val="20"/>
        </w:rPr>
      </w:pPr>
      <w:r w:rsidRPr="00E2675B">
        <w:rPr>
          <w:rFonts w:ascii="Tahoma" w:cs="Tahoma" w:hAnsi="Tahoma"/>
          <w:b/>
          <w:bCs/>
          <w:sz w:val="20"/>
        </w:rPr>
        <w:t>Article 1</w:t>
      </w:r>
      <w:r w:rsidR="004B7053" w:rsidRPr="00E2675B">
        <w:rPr>
          <w:rFonts w:ascii="Tahoma" w:cs="Tahoma" w:hAnsi="Tahoma"/>
          <w:b/>
          <w:bCs/>
          <w:sz w:val="20"/>
        </w:rPr>
        <w:t>3</w:t>
      </w:r>
      <w:r w:rsidRPr="00E2675B">
        <w:rPr>
          <w:rFonts w:ascii="Tahoma" w:cs="Tahoma" w:hAnsi="Tahoma"/>
          <w:b/>
          <w:bCs/>
          <w:sz w:val="20"/>
        </w:rPr>
        <w:t xml:space="preserve"> –</w:t>
      </w:r>
      <w:r w:rsidRPr="00E2675B">
        <w:rPr>
          <w:rFonts w:ascii="Tahoma" w:cs="Tahoma" w:hAnsi="Tahoma"/>
          <w:b/>
          <w:sz w:val="20"/>
        </w:rPr>
        <w:t xml:space="preserve"> </w:t>
      </w:r>
      <w:r w:rsidR="00E611B9" w:rsidRPr="00E2675B">
        <w:rPr>
          <w:rFonts w:ascii="Tahoma" w:cs="Tahoma" w:hAnsi="Tahoma"/>
          <w:b/>
          <w:caps/>
          <w:sz w:val="20"/>
        </w:rPr>
        <w:t>Mobilité des salariés</w:t>
      </w:r>
    </w:p>
    <w:p w14:paraId="54A69A49" w14:textId="72D1B861" w:rsidP="005343BF" w:rsidR="00E611B9" w:rsidRDefault="005343BF" w:rsidRPr="00E2675B">
      <w:pPr>
        <w:pStyle w:val="Corpsdetexte3"/>
        <w:spacing w:before="120"/>
        <w:rPr>
          <w:rFonts w:ascii="Tahoma" w:cs="Tahoma" w:hAnsi="Tahoma"/>
          <w:b w:val="0"/>
          <w:bCs w:val="0"/>
          <w:sz w:val="20"/>
          <w:szCs w:val="20"/>
        </w:rPr>
      </w:pPr>
      <w:r w:rsidRPr="00E2675B">
        <w:rPr>
          <w:rFonts w:ascii="Tahoma" w:cs="Tahoma" w:hAnsi="Tahoma"/>
          <w:b w:val="0"/>
          <w:bCs w:val="0"/>
          <w:sz w:val="20"/>
          <w:szCs w:val="20"/>
        </w:rPr>
        <w:t xml:space="preserve">La loi Orientations des Mobilités, entrée en vigueur le 1er janvier 2020, </w:t>
      </w:r>
      <w:r w:rsidR="00712EDC" w:rsidRPr="00E2675B">
        <w:rPr>
          <w:rFonts w:ascii="Tahoma" w:cs="Tahoma" w:hAnsi="Tahoma"/>
          <w:b w:val="0"/>
          <w:bCs w:val="0"/>
          <w:sz w:val="20"/>
          <w:szCs w:val="20"/>
        </w:rPr>
        <w:t>invite les entreprise</w:t>
      </w:r>
      <w:r w:rsidR="00AB34B5" w:rsidRPr="00E2675B">
        <w:rPr>
          <w:rFonts w:ascii="Tahoma" w:cs="Tahoma" w:hAnsi="Tahoma"/>
          <w:b w:val="0"/>
          <w:bCs w:val="0"/>
          <w:sz w:val="20"/>
          <w:szCs w:val="20"/>
        </w:rPr>
        <w:t>s</w:t>
      </w:r>
      <w:r w:rsidR="00712EDC" w:rsidRPr="00E2675B">
        <w:rPr>
          <w:rFonts w:ascii="Tahoma" w:cs="Tahoma" w:hAnsi="Tahoma"/>
          <w:b w:val="0"/>
          <w:bCs w:val="0"/>
          <w:sz w:val="20"/>
          <w:szCs w:val="20"/>
        </w:rPr>
        <w:t xml:space="preserve"> à négocier d</w:t>
      </w:r>
      <w:r w:rsidR="00E611B9" w:rsidRPr="00E2675B">
        <w:rPr>
          <w:rFonts w:ascii="Tahoma" w:cs="Tahoma" w:hAnsi="Tahoma"/>
          <w:b w:val="0"/>
          <w:bCs w:val="0"/>
          <w:sz w:val="20"/>
          <w:szCs w:val="20"/>
        </w:rPr>
        <w:t>es mesures visant</w:t>
      </w:r>
      <w:r w:rsidR="00712EDC" w:rsidRPr="00E2675B">
        <w:rPr>
          <w:rFonts w:ascii="Tahoma" w:cs="Tahoma" w:hAnsi="Tahoma"/>
          <w:b w:val="0"/>
          <w:bCs w:val="0"/>
          <w:sz w:val="20"/>
          <w:szCs w:val="20"/>
        </w:rPr>
        <w:t xml:space="preserve"> </w:t>
      </w:r>
      <w:r w:rsidR="00E611B9" w:rsidRPr="00E2675B">
        <w:rPr>
          <w:rFonts w:ascii="Tahoma" w:cs="Tahoma" w:hAnsi="Tahoma"/>
          <w:b w:val="0"/>
          <w:bCs w:val="0"/>
          <w:sz w:val="20"/>
          <w:szCs w:val="20"/>
        </w:rPr>
        <w:t>à améliorer la </w:t>
      </w:r>
      <w:bookmarkStart w:id="1" w:name="JVHIT_2"/>
      <w:bookmarkEnd w:id="1"/>
      <w:r w:rsidR="00E611B9" w:rsidRPr="00E2675B">
        <w:rPr>
          <w:rFonts w:ascii="Tahoma" w:cs="Tahoma" w:hAnsi="Tahoma"/>
          <w:b w:val="0"/>
          <w:bCs w:val="0"/>
          <w:sz w:val="20"/>
          <w:szCs w:val="20"/>
        </w:rPr>
        <w:t>mobilité des salariés entre leur lieu de résidence habituelle et leur lieu de travail, notamment en réduisant le coût de la </w:t>
      </w:r>
      <w:bookmarkStart w:id="2" w:name="JVHIT_3"/>
      <w:bookmarkEnd w:id="2"/>
      <w:r w:rsidR="00E611B9" w:rsidRPr="00E2675B">
        <w:rPr>
          <w:rFonts w:ascii="Tahoma" w:cs="Tahoma" w:hAnsi="Tahoma"/>
          <w:b w:val="0"/>
          <w:bCs w:val="0"/>
          <w:sz w:val="20"/>
          <w:szCs w:val="20"/>
        </w:rPr>
        <w:t>mobilité, en incitant à l'usage des modes de transport vertueux ainsi que par la prise en charge des frais de transports personnels, lorsqu'au moins 50 salariés sont employés sur un même site.</w:t>
      </w:r>
      <w:r w:rsidR="00712EDC" w:rsidRPr="00E2675B">
        <w:rPr>
          <w:rFonts w:ascii="Tahoma" w:cs="Tahoma" w:hAnsi="Tahoma"/>
          <w:b w:val="0"/>
          <w:bCs w:val="0"/>
          <w:sz w:val="20"/>
          <w:szCs w:val="20"/>
        </w:rPr>
        <w:t xml:space="preserve">  Ces mesures ont vocation à se substituer à d’autres mesures précédemment existantes comme les indemnités kilométriques vélo par exemple.</w:t>
      </w:r>
    </w:p>
    <w:p w14:paraId="729B6017" w14:textId="153FD8DE" w:rsidP="005343BF" w:rsidR="008B74EB" w:rsidRDefault="008B74EB">
      <w:pPr>
        <w:pStyle w:val="Corpsdetexte3"/>
        <w:spacing w:before="120"/>
        <w:rPr>
          <w:rFonts w:ascii="Tahoma" w:cs="Tahoma" w:hAnsi="Tahoma"/>
          <w:b w:val="0"/>
          <w:bCs w:val="0"/>
          <w:sz w:val="20"/>
          <w:szCs w:val="20"/>
        </w:rPr>
      </w:pPr>
      <w:r w:rsidRPr="001C3B36">
        <w:rPr>
          <w:rFonts w:ascii="Tahoma" w:cs="Tahoma" w:hAnsi="Tahoma"/>
          <w:sz w:val="20"/>
          <w:szCs w:val="20"/>
        </w:rPr>
        <w:t>Les parties aux négociations locales étudieront les mesures adaptées à leur environnement</w:t>
      </w:r>
      <w:r w:rsidR="00151932" w:rsidRPr="001C3B36">
        <w:rPr>
          <w:rFonts w:ascii="Tahoma" w:cs="Tahoma" w:hAnsi="Tahoma"/>
          <w:sz w:val="20"/>
          <w:szCs w:val="20"/>
        </w:rPr>
        <w:t xml:space="preserve"> afin de les mettre le cas échéant en place</w:t>
      </w:r>
      <w:r w:rsidR="00151932" w:rsidRPr="00E2675B">
        <w:rPr>
          <w:rFonts w:ascii="Tahoma" w:cs="Tahoma" w:hAnsi="Tahoma"/>
          <w:b w:val="0"/>
          <w:bCs w:val="0"/>
          <w:sz w:val="20"/>
          <w:szCs w:val="20"/>
        </w:rPr>
        <w:t>.</w:t>
      </w:r>
    </w:p>
    <w:p w14:paraId="4D6F7D63" w14:textId="61B70222" w:rsidP="005343BF" w:rsidR="00D66790" w:rsidRDefault="00D66790">
      <w:pPr>
        <w:pStyle w:val="Corpsdetexte3"/>
        <w:spacing w:before="120"/>
        <w:rPr>
          <w:rFonts w:ascii="Tahoma" w:cs="Tahoma" w:hAnsi="Tahoma"/>
          <w:b w:val="0"/>
          <w:bCs w:val="0"/>
          <w:sz w:val="20"/>
          <w:szCs w:val="20"/>
        </w:rPr>
      </w:pPr>
    </w:p>
    <w:p w14:paraId="44D9B75B" w14:textId="186DEEAD" w:rsidP="00063C6C" w:rsidR="00D66790" w:rsidRDefault="00D66790">
      <w:pPr>
        <w:pStyle w:val="texte"/>
        <w:spacing w:before="120"/>
        <w:rPr>
          <w:rFonts w:ascii="Tahoma" w:cs="Tahoma" w:hAnsi="Tahoma"/>
          <w:sz w:val="20"/>
        </w:rPr>
      </w:pPr>
      <w:r>
        <w:rPr>
          <w:rFonts w:ascii="Tahoma" w:cs="Tahoma" w:hAnsi="Tahoma"/>
          <w:b/>
          <w:bCs/>
          <w:sz w:val="20"/>
        </w:rPr>
        <w:t>Article 14 – ENGAGEMENT DE DISCUSSIONS SUR LA METHODE DE LA NAO</w:t>
      </w:r>
    </w:p>
    <w:p w14:paraId="1D01CA5D" w14:textId="4A999C15" w:rsidP="005343BF" w:rsidR="00D66790" w:rsidRDefault="00D66790">
      <w:pPr>
        <w:pStyle w:val="Corpsdetexte3"/>
        <w:spacing w:before="120"/>
        <w:rPr>
          <w:rFonts w:ascii="Tahoma" w:cs="Tahoma" w:hAnsi="Tahoma"/>
          <w:b w:val="0"/>
          <w:bCs w:val="0"/>
          <w:sz w:val="20"/>
          <w:szCs w:val="20"/>
        </w:rPr>
      </w:pPr>
      <w:r>
        <w:rPr>
          <w:rFonts w:ascii="Tahoma" w:cs="Tahoma" w:hAnsi="Tahoma"/>
          <w:b w:val="0"/>
          <w:bCs w:val="0"/>
          <w:sz w:val="20"/>
          <w:szCs w:val="20"/>
        </w:rPr>
        <w:t xml:space="preserve">Les parties à l’accord conviennent de la nécessité de se rencontrer </w:t>
      </w:r>
      <w:r w:rsidR="003C1D40">
        <w:rPr>
          <w:rFonts w:ascii="Tahoma" w:cs="Tahoma" w:hAnsi="Tahoma"/>
          <w:b w:val="0"/>
          <w:bCs w:val="0"/>
          <w:sz w:val="20"/>
          <w:szCs w:val="20"/>
        </w:rPr>
        <w:t>au cours du</w:t>
      </w:r>
      <w:r>
        <w:rPr>
          <w:rFonts w:ascii="Tahoma" w:cs="Tahoma" w:hAnsi="Tahoma"/>
          <w:b w:val="0"/>
          <w:bCs w:val="0"/>
          <w:sz w:val="20"/>
          <w:szCs w:val="20"/>
        </w:rPr>
        <w:t xml:space="preserve"> 1</w:t>
      </w:r>
      <w:r w:rsidRPr="00063C6C">
        <w:rPr>
          <w:rFonts w:ascii="Tahoma" w:cs="Tahoma" w:hAnsi="Tahoma"/>
          <w:b w:val="0"/>
          <w:bCs w:val="0"/>
          <w:sz w:val="20"/>
          <w:szCs w:val="20"/>
          <w:vertAlign w:val="superscript"/>
        </w:rPr>
        <w:t>er</w:t>
      </w:r>
      <w:r>
        <w:rPr>
          <w:rFonts w:ascii="Tahoma" w:cs="Tahoma" w:hAnsi="Tahoma"/>
          <w:b w:val="0"/>
          <w:bCs w:val="0"/>
          <w:sz w:val="20"/>
          <w:szCs w:val="20"/>
        </w:rPr>
        <w:t xml:space="preserve"> semestre 2022 aux fins de</w:t>
      </w:r>
      <w:r w:rsidR="00AE34BD">
        <w:rPr>
          <w:rFonts w:ascii="Tahoma" w:cs="Tahoma" w:hAnsi="Tahoma"/>
          <w:b w:val="0"/>
          <w:bCs w:val="0"/>
          <w:sz w:val="20"/>
          <w:szCs w:val="20"/>
        </w:rPr>
        <w:t xml:space="preserve"> discuter de la méthodologie de la </w:t>
      </w:r>
      <w:r w:rsidR="003C1D40">
        <w:rPr>
          <w:rFonts w:ascii="Tahoma" w:cs="Tahoma" w:hAnsi="Tahoma"/>
          <w:b w:val="0"/>
          <w:bCs w:val="0"/>
          <w:sz w:val="20"/>
          <w:szCs w:val="20"/>
        </w:rPr>
        <w:t>négociation annuelle obligatoire pour les prochains exercices.</w:t>
      </w:r>
    </w:p>
    <w:p w14:paraId="58EEFD34" w14:textId="556AD63F" w:rsidP="005343BF" w:rsidR="00D66790" w:rsidRDefault="00D66790">
      <w:pPr>
        <w:pStyle w:val="Corpsdetexte3"/>
        <w:spacing w:before="120"/>
        <w:rPr>
          <w:rFonts w:ascii="Tahoma" w:cs="Tahoma" w:hAnsi="Tahoma"/>
          <w:b w:val="0"/>
          <w:bCs w:val="0"/>
          <w:sz w:val="20"/>
          <w:szCs w:val="20"/>
        </w:rPr>
      </w:pPr>
    </w:p>
    <w:p w14:paraId="72B0B4A2" w14:textId="77777777" w:rsidP="0056630C" w:rsidR="001A315C" w:rsidRDefault="001A315C">
      <w:pPr>
        <w:pStyle w:val="texte"/>
        <w:spacing w:before="120"/>
        <w:rPr>
          <w:rFonts w:ascii="Tahoma" w:cs="Tahoma" w:hAnsi="Tahoma"/>
          <w:b/>
          <w:bCs/>
          <w:sz w:val="20"/>
        </w:rPr>
      </w:pPr>
    </w:p>
    <w:p w14:paraId="41B7D61C" w14:textId="5CC452FE" w:rsidP="0056630C" w:rsidR="008805A4" w:rsidRDefault="008805A4">
      <w:pPr>
        <w:pStyle w:val="texte"/>
        <w:spacing w:before="120"/>
        <w:rPr>
          <w:rFonts w:ascii="Tahoma" w:cs="Tahoma" w:hAnsi="Tahoma"/>
          <w:b/>
          <w:sz w:val="20"/>
        </w:rPr>
      </w:pPr>
      <w:r w:rsidRPr="005C1CE8">
        <w:rPr>
          <w:rFonts w:ascii="Tahoma" w:cs="Tahoma" w:hAnsi="Tahoma"/>
          <w:b/>
          <w:bCs/>
          <w:sz w:val="20"/>
        </w:rPr>
        <w:t>Art</w:t>
      </w:r>
      <w:r w:rsidR="001C0619" w:rsidRPr="005C1CE8">
        <w:rPr>
          <w:rFonts w:ascii="Tahoma" w:cs="Tahoma" w:hAnsi="Tahoma"/>
          <w:b/>
          <w:bCs/>
          <w:sz w:val="20"/>
        </w:rPr>
        <w:t>icle</w:t>
      </w:r>
      <w:r w:rsidRPr="005C1CE8">
        <w:rPr>
          <w:rFonts w:ascii="Tahoma" w:cs="Tahoma" w:hAnsi="Tahoma"/>
          <w:b/>
          <w:bCs/>
          <w:sz w:val="20"/>
        </w:rPr>
        <w:t xml:space="preserve"> </w:t>
      </w:r>
      <w:r w:rsidR="00E30042">
        <w:rPr>
          <w:rFonts w:ascii="Tahoma" w:cs="Tahoma" w:hAnsi="Tahoma"/>
          <w:b/>
          <w:bCs/>
          <w:sz w:val="20"/>
        </w:rPr>
        <w:t>15</w:t>
      </w:r>
      <w:r w:rsidR="00E30042" w:rsidRPr="005C1CE8">
        <w:rPr>
          <w:rFonts w:ascii="Tahoma" w:cs="Tahoma" w:hAnsi="Tahoma"/>
          <w:b/>
          <w:bCs/>
          <w:sz w:val="20"/>
        </w:rPr>
        <w:t xml:space="preserve"> </w:t>
      </w:r>
      <w:r w:rsidRPr="005C1CE8">
        <w:rPr>
          <w:rFonts w:ascii="Tahoma" w:cs="Tahoma" w:hAnsi="Tahoma"/>
          <w:b/>
          <w:bCs/>
          <w:sz w:val="20"/>
        </w:rPr>
        <w:t>–</w:t>
      </w:r>
      <w:r w:rsidRPr="005C1CE8">
        <w:rPr>
          <w:rFonts w:ascii="Tahoma" w:cs="Tahoma" w:hAnsi="Tahoma"/>
          <w:b/>
          <w:sz w:val="20"/>
        </w:rPr>
        <w:t xml:space="preserve"> DEPOT</w:t>
      </w:r>
    </w:p>
    <w:p w14:paraId="6F192EB4" w14:textId="0D844D44" w:rsidP="00032983" w:rsidR="007E1A56" w:rsidRDefault="001A315C" w:rsidRPr="00032983">
      <w:pPr>
        <w:pStyle w:val="Corpsdetexte3"/>
        <w:spacing w:before="120"/>
        <w:rPr>
          <w:rFonts w:ascii="Tahoma" w:cs="Tahoma" w:hAnsi="Tahoma"/>
          <w:b w:val="0"/>
          <w:bCs w:val="0"/>
          <w:sz w:val="20"/>
          <w:szCs w:val="20"/>
        </w:rPr>
      </w:pPr>
      <w:r>
        <w:rPr>
          <w:rFonts w:ascii="Tahoma" w:cs="Tahoma" w:hAnsi="Tahoma"/>
          <w:b w:val="0"/>
          <w:bCs w:val="0"/>
          <w:sz w:val="20"/>
          <w:szCs w:val="20"/>
        </w:rPr>
        <w:t>L</w:t>
      </w:r>
      <w:r w:rsidR="00A83E3A" w:rsidRPr="00032983">
        <w:rPr>
          <w:rFonts w:ascii="Tahoma" w:cs="Tahoma" w:hAnsi="Tahoma"/>
          <w:b w:val="0"/>
          <w:bCs w:val="0"/>
          <w:sz w:val="20"/>
          <w:szCs w:val="20"/>
        </w:rPr>
        <w:t xml:space="preserve">e présent accord sera adressé </w:t>
      </w:r>
      <w:r w:rsidR="00032983" w:rsidRPr="00032983">
        <w:rPr>
          <w:rFonts w:ascii="Tahoma" w:cs="Tahoma" w:hAnsi="Tahoma"/>
          <w:b w:val="0"/>
          <w:bCs w:val="0"/>
          <w:sz w:val="20"/>
          <w:szCs w:val="20"/>
        </w:rPr>
        <w:t xml:space="preserve">dans les meilleurs délais </w:t>
      </w:r>
      <w:r w:rsidR="009A55D0" w:rsidRPr="00032983">
        <w:rPr>
          <w:rFonts w:ascii="Tahoma" w:cs="Tahoma" w:hAnsi="Tahoma"/>
          <w:b w:val="0"/>
          <w:bCs w:val="0"/>
          <w:sz w:val="20"/>
          <w:szCs w:val="20"/>
        </w:rPr>
        <w:t>sur la plateforme «</w:t>
      </w:r>
      <w:r w:rsidR="00E167D3" w:rsidRPr="00032983">
        <w:rPr>
          <w:rFonts w:ascii="Tahoma" w:cs="Tahoma" w:hAnsi="Tahoma"/>
          <w:b w:val="0"/>
          <w:bCs w:val="0"/>
          <w:sz w:val="20"/>
          <w:szCs w:val="20"/>
        </w:rPr>
        <w:t> </w:t>
      </w:r>
      <w:proofErr w:type="spellStart"/>
      <w:r w:rsidR="009A55D0" w:rsidRPr="00032983">
        <w:rPr>
          <w:rFonts w:ascii="Tahoma" w:cs="Tahoma" w:hAnsi="Tahoma"/>
          <w:b w:val="0"/>
          <w:bCs w:val="0"/>
          <w:sz w:val="20"/>
          <w:szCs w:val="20"/>
        </w:rPr>
        <w:t>TéléAccords</w:t>
      </w:r>
      <w:proofErr w:type="spellEnd"/>
      <w:r w:rsidR="009A55D0" w:rsidRPr="00032983">
        <w:rPr>
          <w:rFonts w:ascii="Tahoma" w:cs="Tahoma" w:hAnsi="Tahoma"/>
          <w:b w:val="0"/>
          <w:bCs w:val="0"/>
          <w:sz w:val="20"/>
          <w:szCs w:val="20"/>
        </w:rPr>
        <w:t> » accessible depuis le site accompagné des pièces prévues à l'article D. 2231-7 du Code du travail.</w:t>
      </w:r>
    </w:p>
    <w:p w14:paraId="0B2F0DD6" w14:textId="1DC0A7A4" w:rsidP="00032983" w:rsidR="007E1A56" w:rsidRDefault="007E1A56" w:rsidRPr="00032983">
      <w:pPr>
        <w:pStyle w:val="Corpsdetexte3"/>
        <w:spacing w:before="120"/>
        <w:rPr>
          <w:rFonts w:ascii="Tahoma" w:cs="Tahoma" w:hAnsi="Tahoma"/>
          <w:b w:val="0"/>
          <w:bCs w:val="0"/>
          <w:sz w:val="20"/>
          <w:szCs w:val="20"/>
        </w:rPr>
      </w:pPr>
      <w:r w:rsidRPr="00032983">
        <w:rPr>
          <w:rFonts w:ascii="Tahoma" w:cs="Tahoma" w:hAnsi="Tahoma"/>
          <w:b w:val="0"/>
          <w:bCs w:val="0"/>
          <w:sz w:val="20"/>
          <w:szCs w:val="20"/>
        </w:rPr>
        <w:t>Conformément à l'article D. 2231-2 du Code du travail, un exemplaire de l'accord sera également remis au greffe du Conseil de Prud'hommes de Nanterre.</w:t>
      </w:r>
    </w:p>
    <w:p w14:paraId="27326EDC" w14:textId="77777777" w:rsidP="00032983" w:rsidR="007E1A56" w:rsidRDefault="007E1A56" w:rsidRPr="00032983">
      <w:pPr>
        <w:pStyle w:val="Corpsdetexte3"/>
        <w:spacing w:before="120"/>
        <w:rPr>
          <w:rFonts w:ascii="Tahoma" w:cs="Tahoma" w:hAnsi="Tahoma"/>
          <w:b w:val="0"/>
          <w:bCs w:val="0"/>
          <w:sz w:val="20"/>
          <w:szCs w:val="20"/>
        </w:rPr>
      </w:pPr>
      <w:r w:rsidRPr="00032983">
        <w:rPr>
          <w:rFonts w:ascii="Tahoma" w:cs="Tahoma" w:hAnsi="Tahoma"/>
          <w:b w:val="0"/>
          <w:bCs w:val="0"/>
          <w:sz w:val="20"/>
          <w:szCs w:val="20"/>
        </w:rPr>
        <w:t>Les éventuels avenants de révision du présent accord feront l'objet des mêmes mesures de dépôt et de publicité.</w:t>
      </w:r>
    </w:p>
    <w:p w14:paraId="6C8A4566" w14:textId="351D9D6E" w:rsidP="00032983" w:rsidR="007E1A56" w:rsidRDefault="007E1A56" w:rsidRPr="00032983">
      <w:pPr>
        <w:pStyle w:val="Corpsdetexte3"/>
        <w:spacing w:before="120"/>
        <w:rPr>
          <w:rFonts w:ascii="Tahoma" w:cs="Tahoma" w:hAnsi="Tahoma"/>
          <w:b w:val="0"/>
          <w:bCs w:val="0"/>
          <w:sz w:val="20"/>
          <w:szCs w:val="20"/>
        </w:rPr>
      </w:pPr>
      <w:r w:rsidRPr="00032983">
        <w:rPr>
          <w:rFonts w:ascii="Tahoma" w:cs="Tahoma" w:hAnsi="Tahoma"/>
          <w:b w:val="0"/>
          <w:bCs w:val="0"/>
          <w:sz w:val="20"/>
          <w:szCs w:val="20"/>
        </w:rPr>
        <w:t xml:space="preserve">Enfin, la Direction de la société notifiera, sans délai, par courriel, le présent accord à l'ensemble des Organisations Syndicales représentatives au niveau de l'UES Ineo. Un exemplaire papier sera également remis à chaque </w:t>
      </w:r>
      <w:r w:rsidR="005629BF" w:rsidRPr="00032983">
        <w:rPr>
          <w:rFonts w:ascii="Tahoma" w:cs="Tahoma" w:hAnsi="Tahoma"/>
          <w:b w:val="0"/>
          <w:bCs w:val="0"/>
          <w:sz w:val="20"/>
          <w:szCs w:val="20"/>
        </w:rPr>
        <w:t>organisation syndicale</w:t>
      </w:r>
      <w:r w:rsidRPr="00032983">
        <w:rPr>
          <w:rFonts w:ascii="Tahoma" w:cs="Tahoma" w:hAnsi="Tahoma"/>
          <w:b w:val="0"/>
          <w:bCs w:val="0"/>
          <w:sz w:val="20"/>
          <w:szCs w:val="20"/>
        </w:rPr>
        <w:t xml:space="preserve"> contre récépissé de remise</w:t>
      </w:r>
      <w:r w:rsidR="009609B6" w:rsidRPr="00032983">
        <w:rPr>
          <w:rFonts w:ascii="Tahoma" w:cs="Tahoma" w:hAnsi="Tahoma"/>
          <w:b w:val="0"/>
          <w:bCs w:val="0"/>
          <w:sz w:val="20"/>
          <w:szCs w:val="20"/>
        </w:rPr>
        <w:t xml:space="preserve"> ainsi qu’au secrétaire du CSE-C</w:t>
      </w:r>
      <w:r w:rsidRPr="00032983">
        <w:rPr>
          <w:rFonts w:ascii="Tahoma" w:cs="Tahoma" w:hAnsi="Tahoma"/>
          <w:b w:val="0"/>
          <w:bCs w:val="0"/>
          <w:sz w:val="20"/>
          <w:szCs w:val="20"/>
        </w:rPr>
        <w:t>.</w:t>
      </w:r>
    </w:p>
    <w:p w14:paraId="61B27301" w14:textId="77777777" w:rsidP="00032983" w:rsidR="007E01D6" w:rsidRDefault="00A83E3A">
      <w:pPr>
        <w:pStyle w:val="Corpsdetexte3"/>
        <w:spacing w:before="120"/>
        <w:rPr>
          <w:rFonts w:ascii="Tahoma" w:cs="Tahoma" w:hAnsi="Tahoma"/>
          <w:b w:val="0"/>
          <w:bCs w:val="0"/>
          <w:sz w:val="20"/>
          <w:szCs w:val="20"/>
        </w:rPr>
      </w:pPr>
      <w:r w:rsidRPr="00032983">
        <w:rPr>
          <w:rFonts w:ascii="Tahoma" w:cs="Tahoma" w:hAnsi="Tahoma"/>
          <w:b w:val="0"/>
          <w:bCs w:val="0"/>
          <w:sz w:val="20"/>
          <w:szCs w:val="20"/>
        </w:rPr>
        <w:t>Mention de son existence sera faite sur le tableau d'affichage de la Direction.</w:t>
      </w:r>
    </w:p>
    <w:p w14:paraId="226E5269" w14:textId="77777777" w:rsidP="00032983" w:rsidR="007E01D6" w:rsidRDefault="007E01D6">
      <w:pPr>
        <w:pStyle w:val="Corpsdetexte3"/>
        <w:spacing w:before="120"/>
        <w:rPr>
          <w:rFonts w:ascii="Tahoma" w:cs="Tahoma" w:hAnsi="Tahoma"/>
          <w:b w:val="0"/>
          <w:bCs w:val="0"/>
          <w:sz w:val="20"/>
          <w:szCs w:val="20"/>
        </w:rPr>
      </w:pPr>
    </w:p>
    <w:p w14:paraId="0E7BA031" w14:textId="137DD898" w:rsidP="00032983" w:rsidR="00581E01" w:rsidRDefault="00581E01" w:rsidRPr="005C1CE8">
      <w:pPr>
        <w:pStyle w:val="Corpsdetexte3"/>
        <w:spacing w:before="120"/>
        <w:rPr>
          <w:rFonts w:ascii="Tahoma" w:cs="Tahoma" w:hAnsi="Tahoma"/>
          <w:sz w:val="20"/>
        </w:rPr>
      </w:pPr>
      <w:r w:rsidRPr="005C1CE8">
        <w:rPr>
          <w:rFonts w:ascii="Tahoma" w:cs="Tahoma" w:hAnsi="Tahoma"/>
          <w:sz w:val="20"/>
        </w:rPr>
        <w:t xml:space="preserve">Fait en </w:t>
      </w:r>
      <w:r w:rsidR="00533529">
        <w:rPr>
          <w:rFonts w:ascii="Tahoma" w:cs="Tahoma" w:hAnsi="Tahoma"/>
          <w:sz w:val="20"/>
        </w:rPr>
        <w:t>6</w:t>
      </w:r>
      <w:r w:rsidRPr="005C1CE8">
        <w:rPr>
          <w:rFonts w:ascii="Tahoma" w:cs="Tahoma" w:hAnsi="Tahoma"/>
          <w:sz w:val="20"/>
        </w:rPr>
        <w:t xml:space="preserve"> exemplaires à Paris La Défense, l</w:t>
      </w:r>
      <w:r w:rsidR="00FC7A5F" w:rsidRPr="005C1CE8">
        <w:rPr>
          <w:rFonts w:ascii="Tahoma" w:cs="Tahoma" w:hAnsi="Tahoma"/>
          <w:sz w:val="20"/>
        </w:rPr>
        <w:t xml:space="preserve">e </w:t>
      </w:r>
      <w:r w:rsidR="007F596B">
        <w:rPr>
          <w:rFonts w:ascii="Tahoma" w:cs="Tahoma" w:hAnsi="Tahoma"/>
          <w:sz w:val="20"/>
        </w:rPr>
        <w:t>2 février</w:t>
      </w:r>
      <w:r w:rsidR="00533529">
        <w:rPr>
          <w:rFonts w:ascii="Tahoma" w:cs="Tahoma" w:hAnsi="Tahoma"/>
          <w:sz w:val="20"/>
        </w:rPr>
        <w:t xml:space="preserve"> 2022</w:t>
      </w:r>
    </w:p>
    <w:p w14:paraId="3A81EA1F" w14:textId="77777777" w:rsidP="00581E01" w:rsidR="00C917DA" w:rsidRDefault="00C917DA">
      <w:pPr>
        <w:pStyle w:val="texte"/>
        <w:spacing w:before="120"/>
        <w:rPr>
          <w:rFonts w:ascii="Tahoma" w:cs="Tahoma" w:hAnsi="Tahoma"/>
          <w:sz w:val="20"/>
        </w:rPr>
      </w:pPr>
    </w:p>
    <w:p w14:paraId="7554244A" w14:textId="3EED8E89" w:rsidP="00581E01" w:rsidR="001A315C" w:rsidRDefault="00581E01">
      <w:pPr>
        <w:pStyle w:val="texte"/>
        <w:spacing w:before="120"/>
        <w:rPr>
          <w:rFonts w:ascii="Tahoma" w:cs="Tahoma" w:hAnsi="Tahoma"/>
          <w:sz w:val="20"/>
        </w:rPr>
      </w:pPr>
      <w:r w:rsidRPr="005C1CE8">
        <w:rPr>
          <w:rFonts w:ascii="Tahoma" w:cs="Tahoma" w:hAnsi="Tahoma"/>
          <w:sz w:val="20"/>
        </w:rPr>
        <w:t>Pour la Direction,</w:t>
      </w:r>
      <w:r w:rsidRPr="005C1CE8">
        <w:rPr>
          <w:rFonts w:ascii="Tahoma" w:cs="Tahoma" w:hAnsi="Tahoma"/>
          <w:sz w:val="20"/>
        </w:rPr>
        <w:tab/>
      </w:r>
      <w:r w:rsidRPr="005C1CE8">
        <w:rPr>
          <w:rFonts w:ascii="Tahoma" w:cs="Tahoma" w:hAnsi="Tahoma"/>
          <w:sz w:val="20"/>
        </w:rPr>
        <w:tab/>
      </w:r>
      <w:r w:rsidRPr="005C1CE8">
        <w:rPr>
          <w:rFonts w:ascii="Tahoma" w:cs="Tahoma" w:hAnsi="Tahoma"/>
          <w:sz w:val="20"/>
        </w:rPr>
        <w:tab/>
      </w:r>
      <w:r w:rsidRPr="005C1CE8">
        <w:rPr>
          <w:rFonts w:ascii="Tahoma" w:cs="Tahoma" w:hAnsi="Tahoma"/>
          <w:sz w:val="20"/>
        </w:rPr>
        <w:tab/>
        <w:t xml:space="preserve">          </w:t>
      </w:r>
    </w:p>
    <w:p w14:paraId="1E15B13B" w14:textId="77777777" w:rsidP="00581E01" w:rsidR="001A315C" w:rsidRDefault="001A315C">
      <w:pPr>
        <w:pStyle w:val="texte"/>
        <w:spacing w:before="120"/>
        <w:rPr>
          <w:rFonts w:ascii="Tahoma" w:cs="Tahoma" w:hAnsi="Tahoma"/>
          <w:sz w:val="20"/>
        </w:rPr>
      </w:pPr>
    </w:p>
    <w:p w14:paraId="45E5AC81" w14:textId="77777777" w:rsidP="00581E01" w:rsidR="00581E01" w:rsidRDefault="00581E01" w:rsidRPr="005C1CE8">
      <w:pPr>
        <w:pStyle w:val="texte"/>
        <w:spacing w:before="120"/>
        <w:rPr>
          <w:rFonts w:ascii="Tahoma" w:cs="Tahoma" w:hAnsi="Tahoma"/>
          <w:sz w:val="20"/>
        </w:rPr>
      </w:pPr>
      <w:r w:rsidRPr="005C1CE8">
        <w:rPr>
          <w:rFonts w:ascii="Tahoma" w:cs="Tahoma" w:hAnsi="Tahoma"/>
          <w:sz w:val="20"/>
        </w:rPr>
        <w:tab/>
      </w:r>
      <w:r w:rsidRPr="005C1CE8">
        <w:rPr>
          <w:rFonts w:ascii="Tahoma" w:cs="Tahoma" w:hAnsi="Tahoma"/>
          <w:sz w:val="20"/>
        </w:rPr>
        <w:tab/>
      </w:r>
      <w:r w:rsidRPr="005C1CE8">
        <w:rPr>
          <w:rFonts w:ascii="Tahoma" w:cs="Tahoma" w:hAnsi="Tahoma"/>
          <w:sz w:val="20"/>
        </w:rPr>
        <w:tab/>
      </w:r>
      <w:r w:rsidRPr="005C1CE8">
        <w:rPr>
          <w:rFonts w:ascii="Tahoma" w:cs="Tahoma" w:hAnsi="Tahoma"/>
          <w:sz w:val="20"/>
        </w:rPr>
        <w:tab/>
      </w:r>
      <w:r w:rsidRPr="005C1CE8">
        <w:rPr>
          <w:rFonts w:ascii="Tahoma" w:cs="Tahoma" w:hAnsi="Tahoma"/>
          <w:sz w:val="20"/>
        </w:rPr>
        <w:tab/>
      </w:r>
      <w:r w:rsidRPr="005C1CE8">
        <w:rPr>
          <w:rFonts w:ascii="Tahoma" w:cs="Tahoma" w:hAnsi="Tahoma"/>
          <w:sz w:val="20"/>
        </w:rPr>
        <w:tab/>
        <w:t>Directeur des Ressources Humaines</w:t>
      </w:r>
    </w:p>
    <w:p w14:paraId="3FABDDA4" w14:textId="21511816" w:rsidP="00581E01" w:rsidR="00FC7A5F" w:rsidRDefault="00581E01" w:rsidRPr="005C1CE8">
      <w:pPr>
        <w:pStyle w:val="texte"/>
        <w:spacing w:before="120"/>
        <w:rPr>
          <w:rFonts w:ascii="Tahoma" w:cs="Tahoma" w:hAnsi="Tahoma"/>
          <w:sz w:val="20"/>
        </w:rPr>
      </w:pPr>
      <w:r w:rsidRPr="005C1CE8">
        <w:rPr>
          <w:rFonts w:ascii="Tahoma" w:cs="Tahoma" w:hAnsi="Tahoma"/>
          <w:sz w:val="20"/>
        </w:rPr>
        <w:t>Pour l'organisation syndicale C.F.D.T.,</w:t>
      </w:r>
      <w:r w:rsidRPr="005C1CE8">
        <w:rPr>
          <w:rFonts w:ascii="Tahoma" w:cs="Tahoma" w:hAnsi="Tahoma"/>
          <w:sz w:val="20"/>
        </w:rPr>
        <w:tab/>
        <w:t xml:space="preserve">    </w:t>
      </w:r>
    </w:p>
    <w:tbl>
      <w:tblPr>
        <w:tblW w:type="auto" w:w="0"/>
        <w:jc w:val="center"/>
        <w:tblLook w:firstColumn="1" w:firstRow="1" w:lastColumn="0" w:lastRow="0" w:noHBand="0" w:noVBand="1" w:val="04A0"/>
      </w:tblPr>
      <w:tblGrid>
        <w:gridCol w:w="4393"/>
        <w:gridCol w:w="4394"/>
      </w:tblGrid>
      <w:tr w14:paraId="6034B5BE" w14:textId="77777777" w:rsidR="001C0619" w:rsidRPr="000962FD" w:rsidTr="000962FD">
        <w:trPr>
          <w:jc w:val="center"/>
        </w:trPr>
        <w:tc>
          <w:tcPr>
            <w:tcW w:type="dxa" w:w="4463"/>
            <w:shd w:color="auto" w:fill="auto" w:val="clear"/>
            <w:vAlign w:val="center"/>
          </w:tcPr>
          <w:p w14:paraId="3FC7E78B" w14:textId="77777777" w:rsidP="000962FD" w:rsidR="001A315C" w:rsidRDefault="001A315C">
            <w:pPr>
              <w:pStyle w:val="texte"/>
              <w:widowControl w:val="0"/>
              <w:spacing w:before="120"/>
              <w:jc w:val="center"/>
              <w:rPr>
                <w:rFonts w:ascii="Tahoma" w:cs="Tahoma" w:hAnsi="Tahoma"/>
                <w:sz w:val="20"/>
              </w:rPr>
            </w:pPr>
          </w:p>
          <w:p w14:paraId="460EBA4C" w14:textId="77777777" w:rsidP="000962FD" w:rsidR="001C0619" w:rsidRDefault="001C0619" w:rsidRPr="005C1CE8">
            <w:pPr>
              <w:pStyle w:val="texte"/>
              <w:widowControl w:val="0"/>
              <w:spacing w:before="120"/>
              <w:jc w:val="center"/>
              <w:rPr>
                <w:rFonts w:ascii="Tahoma" w:cs="Tahoma" w:hAnsi="Tahoma"/>
                <w:sz w:val="20"/>
              </w:rPr>
            </w:pPr>
            <w:r w:rsidRPr="005C1CE8">
              <w:rPr>
                <w:rFonts w:ascii="Tahoma" w:cs="Tahoma" w:hAnsi="Tahoma"/>
                <w:sz w:val="20"/>
              </w:rPr>
              <w:t>Délégué syndical central</w:t>
            </w:r>
          </w:p>
        </w:tc>
        <w:tc>
          <w:tcPr>
            <w:tcW w:type="dxa" w:w="4464"/>
            <w:shd w:color="auto" w:fill="auto" w:val="clear"/>
            <w:vAlign w:val="center"/>
          </w:tcPr>
          <w:p w14:paraId="4276C91A" w14:textId="77777777" w:rsidP="000962FD" w:rsidR="001A315C" w:rsidRDefault="001A315C">
            <w:pPr>
              <w:pStyle w:val="texte"/>
              <w:widowControl w:val="0"/>
              <w:spacing w:before="120"/>
              <w:jc w:val="center"/>
              <w:rPr>
                <w:rFonts w:ascii="Tahoma" w:cs="Tahoma" w:hAnsi="Tahoma"/>
                <w:sz w:val="20"/>
              </w:rPr>
            </w:pPr>
          </w:p>
          <w:p w14:paraId="33019EC5" w14:textId="77777777" w:rsidP="000962FD" w:rsidR="001C0619" w:rsidRDefault="001C0619" w:rsidRPr="005C1CE8">
            <w:pPr>
              <w:pStyle w:val="texte"/>
              <w:widowControl w:val="0"/>
              <w:spacing w:before="120"/>
              <w:jc w:val="center"/>
              <w:rPr>
                <w:rFonts w:ascii="Tahoma" w:cs="Tahoma" w:hAnsi="Tahoma"/>
                <w:sz w:val="20"/>
              </w:rPr>
            </w:pPr>
            <w:r w:rsidRPr="005C1CE8">
              <w:rPr>
                <w:rFonts w:ascii="Tahoma" w:cs="Tahoma" w:hAnsi="Tahoma"/>
                <w:sz w:val="20"/>
              </w:rPr>
              <w:t>Délégué syndical central</w:t>
            </w:r>
          </w:p>
        </w:tc>
      </w:tr>
    </w:tbl>
    <w:p w14:paraId="61C1C5A2" w14:textId="77777777" w:rsidP="00581E01" w:rsidR="00FC7A5F" w:rsidRDefault="00581E01">
      <w:pPr>
        <w:pStyle w:val="texte"/>
        <w:spacing w:before="120"/>
        <w:rPr>
          <w:rFonts w:ascii="Tahoma" w:cs="Tahoma" w:hAnsi="Tahoma"/>
          <w:sz w:val="20"/>
        </w:rPr>
      </w:pPr>
      <w:r w:rsidRPr="002B5C92">
        <w:rPr>
          <w:rFonts w:ascii="Tahoma" w:cs="Tahoma" w:hAnsi="Tahoma"/>
          <w:sz w:val="20"/>
        </w:rPr>
        <w:t>Pour l'organis</w:t>
      </w:r>
      <w:r>
        <w:rPr>
          <w:rFonts w:ascii="Tahoma" w:cs="Tahoma" w:hAnsi="Tahoma"/>
          <w:sz w:val="20"/>
        </w:rPr>
        <w:t xml:space="preserve">ation syndicale C.F.E.-C.G.C.,  </w:t>
      </w:r>
    </w:p>
    <w:tbl>
      <w:tblPr>
        <w:tblW w:type="auto" w:w="0"/>
        <w:tblLook w:firstColumn="1" w:firstRow="1" w:lastColumn="0" w:lastRow="0" w:noHBand="0" w:noVBand="1" w:val="04A0"/>
      </w:tblPr>
      <w:tblGrid>
        <w:gridCol w:w="4394"/>
        <w:gridCol w:w="4393"/>
      </w:tblGrid>
      <w:tr w14:paraId="4F88BC95" w14:textId="77777777" w:rsidR="001C0619" w:rsidRPr="000962FD" w:rsidTr="000962FD">
        <w:tc>
          <w:tcPr>
            <w:tcW w:type="dxa" w:w="4463"/>
            <w:shd w:color="auto" w:fill="auto" w:val="clear"/>
            <w:vAlign w:val="center"/>
          </w:tcPr>
          <w:p w14:paraId="296EFC0B" w14:textId="77777777" w:rsidP="000962FD" w:rsidR="009F3996" w:rsidRDefault="009F3996">
            <w:pPr>
              <w:pStyle w:val="texte"/>
              <w:widowControl w:val="0"/>
              <w:spacing w:before="120"/>
              <w:jc w:val="center"/>
              <w:rPr>
                <w:rFonts w:ascii="Tahoma" w:cs="Tahoma" w:hAnsi="Tahoma"/>
                <w:sz w:val="20"/>
              </w:rPr>
            </w:pPr>
          </w:p>
          <w:p w14:paraId="474BAA34" w14:textId="2824DE40" w:rsidP="000962FD" w:rsidR="001C0619" w:rsidRDefault="009F3996" w:rsidRPr="000962FD">
            <w:pPr>
              <w:pStyle w:val="texte"/>
              <w:widowControl w:val="0"/>
              <w:spacing w:before="120"/>
              <w:jc w:val="center"/>
              <w:rPr>
                <w:rFonts w:ascii="Tahoma" w:cs="Tahoma" w:hAnsi="Tahoma"/>
                <w:sz w:val="20"/>
              </w:rPr>
            </w:pPr>
            <w:r>
              <w:rPr>
                <w:rFonts w:ascii="Tahoma" w:cs="Tahoma" w:hAnsi="Tahoma"/>
                <w:sz w:val="20"/>
              </w:rPr>
              <w:t>D</w:t>
            </w:r>
            <w:r w:rsidR="001C0619" w:rsidRPr="000962FD">
              <w:rPr>
                <w:rFonts w:ascii="Tahoma" w:cs="Tahoma" w:hAnsi="Tahoma"/>
                <w:sz w:val="20"/>
              </w:rPr>
              <w:t>éléguée syndicale centrale</w:t>
            </w:r>
          </w:p>
        </w:tc>
        <w:tc>
          <w:tcPr>
            <w:tcW w:type="dxa" w:w="4464"/>
            <w:shd w:color="auto" w:fill="auto" w:val="clear"/>
            <w:vAlign w:val="center"/>
          </w:tcPr>
          <w:p w14:paraId="0DF75668" w14:textId="77777777" w:rsidP="000962FD" w:rsidR="009F3996" w:rsidRDefault="009F3996">
            <w:pPr>
              <w:pStyle w:val="texte"/>
              <w:widowControl w:val="0"/>
              <w:spacing w:before="120"/>
              <w:jc w:val="center"/>
              <w:rPr>
                <w:rFonts w:ascii="Tahoma" w:cs="Tahoma" w:hAnsi="Tahoma"/>
                <w:sz w:val="20"/>
              </w:rPr>
            </w:pPr>
          </w:p>
          <w:p w14:paraId="2D7DD608" w14:textId="21C7EDB7" w:rsidP="000962FD" w:rsidR="001C0619" w:rsidRDefault="001C0619" w:rsidRPr="000962FD">
            <w:pPr>
              <w:pStyle w:val="texte"/>
              <w:widowControl w:val="0"/>
              <w:spacing w:before="120"/>
              <w:jc w:val="center"/>
              <w:rPr>
                <w:rFonts w:ascii="Tahoma" w:cs="Tahoma" w:hAnsi="Tahoma"/>
                <w:sz w:val="20"/>
              </w:rPr>
            </w:pPr>
            <w:r w:rsidRPr="000962FD">
              <w:rPr>
                <w:rFonts w:ascii="Tahoma" w:cs="Tahoma" w:hAnsi="Tahoma"/>
                <w:sz w:val="20"/>
              </w:rPr>
              <w:t>Délégué syndical central</w:t>
            </w:r>
          </w:p>
        </w:tc>
      </w:tr>
    </w:tbl>
    <w:p w14:paraId="798FAE09" w14:textId="77777777" w:rsidP="00600679" w:rsidR="00C917DA" w:rsidRDefault="00C917DA">
      <w:pPr>
        <w:pStyle w:val="texte"/>
        <w:spacing w:before="120"/>
        <w:rPr>
          <w:rFonts w:ascii="Tahoma" w:cs="Tahoma" w:hAnsi="Tahoma"/>
          <w:sz w:val="20"/>
        </w:rPr>
      </w:pPr>
    </w:p>
    <w:p w14:paraId="55E494CB" w14:textId="4E5EAE32" w:rsidP="00600679" w:rsidR="00600679" w:rsidRDefault="00600679">
      <w:pPr>
        <w:pStyle w:val="texte"/>
        <w:spacing w:before="120"/>
        <w:rPr>
          <w:rFonts w:ascii="Tahoma" w:cs="Tahoma" w:hAnsi="Tahoma"/>
          <w:sz w:val="20"/>
        </w:rPr>
      </w:pPr>
      <w:r w:rsidRPr="002B5C92">
        <w:rPr>
          <w:rFonts w:ascii="Tahoma" w:cs="Tahoma" w:hAnsi="Tahoma"/>
          <w:sz w:val="20"/>
        </w:rPr>
        <w:t>Pour l'organ</w:t>
      </w:r>
      <w:r w:rsidR="009F3996">
        <w:rPr>
          <w:rFonts w:ascii="Tahoma" w:cs="Tahoma" w:hAnsi="Tahoma"/>
          <w:sz w:val="20"/>
        </w:rPr>
        <w:t>is</w:t>
      </w:r>
      <w:r w:rsidRPr="002B5C92">
        <w:rPr>
          <w:rFonts w:ascii="Tahoma" w:cs="Tahoma" w:hAnsi="Tahoma"/>
          <w:sz w:val="20"/>
        </w:rPr>
        <w:t xml:space="preserve">ation syndicale C.F.T.C., </w:t>
      </w:r>
      <w:r w:rsidRPr="002B5C92">
        <w:rPr>
          <w:rFonts w:ascii="Tahoma" w:cs="Tahoma" w:hAnsi="Tahoma"/>
          <w:sz w:val="20"/>
        </w:rPr>
        <w:tab/>
      </w:r>
    </w:p>
    <w:tbl>
      <w:tblPr>
        <w:tblW w:type="auto" w:w="0"/>
        <w:tblLook w:firstColumn="1" w:firstRow="1" w:lastColumn="0" w:lastRow="0" w:noHBand="0" w:noVBand="1" w:val="04A0"/>
      </w:tblPr>
      <w:tblGrid>
        <w:gridCol w:w="4393"/>
        <w:gridCol w:w="4394"/>
      </w:tblGrid>
      <w:tr w14:paraId="26B1EE13" w14:textId="77777777" w:rsidR="00600679" w:rsidRPr="000962FD" w:rsidTr="006A52AD">
        <w:tc>
          <w:tcPr>
            <w:tcW w:type="dxa" w:w="4463"/>
            <w:shd w:color="auto" w:fill="auto" w:val="clear"/>
            <w:vAlign w:val="center"/>
          </w:tcPr>
          <w:p w14:paraId="6187AC7E" w14:textId="77777777" w:rsidP="006A52AD" w:rsidR="009F3996" w:rsidRDefault="009F3996">
            <w:pPr>
              <w:pStyle w:val="texte"/>
              <w:widowControl w:val="0"/>
              <w:spacing w:before="120"/>
              <w:jc w:val="center"/>
              <w:rPr>
                <w:rFonts w:ascii="Tahoma" w:cs="Tahoma" w:hAnsi="Tahoma"/>
                <w:sz w:val="20"/>
              </w:rPr>
            </w:pPr>
          </w:p>
          <w:p w14:paraId="043A2CA4" w14:textId="2D20E1EB" w:rsidP="006A52AD" w:rsidR="00600679" w:rsidRDefault="00600679" w:rsidRPr="000962FD">
            <w:pPr>
              <w:pStyle w:val="texte"/>
              <w:widowControl w:val="0"/>
              <w:spacing w:before="120"/>
              <w:jc w:val="center"/>
              <w:rPr>
                <w:rFonts w:ascii="Tahoma" w:cs="Tahoma" w:hAnsi="Tahoma"/>
                <w:sz w:val="20"/>
              </w:rPr>
            </w:pPr>
            <w:r w:rsidRPr="000962FD">
              <w:rPr>
                <w:rFonts w:ascii="Tahoma" w:cs="Tahoma" w:hAnsi="Tahoma"/>
                <w:sz w:val="20"/>
              </w:rPr>
              <w:t>Délégué syndical central</w:t>
            </w:r>
          </w:p>
        </w:tc>
        <w:tc>
          <w:tcPr>
            <w:tcW w:type="dxa" w:w="4464"/>
            <w:shd w:color="auto" w:fill="auto" w:val="clear"/>
            <w:vAlign w:val="center"/>
          </w:tcPr>
          <w:p w14:paraId="199C92A1" w14:textId="77777777" w:rsidP="006A52AD" w:rsidR="00600679" w:rsidRDefault="00600679" w:rsidRPr="000962FD">
            <w:pPr>
              <w:pStyle w:val="texte"/>
              <w:widowControl w:val="0"/>
              <w:spacing w:before="120"/>
              <w:jc w:val="center"/>
              <w:rPr>
                <w:rFonts w:ascii="Tahoma" w:cs="Tahoma" w:hAnsi="Tahoma"/>
                <w:sz w:val="20"/>
              </w:rPr>
            </w:pPr>
            <w:r w:rsidRPr="000962FD">
              <w:rPr>
                <w:rFonts w:ascii="Tahoma" w:cs="Tahoma" w:hAnsi="Tahoma"/>
                <w:sz w:val="20"/>
              </w:rPr>
              <w:t>Délégué syndical central</w:t>
            </w:r>
          </w:p>
        </w:tc>
      </w:tr>
    </w:tbl>
    <w:p w14:paraId="3FD327B5" w14:textId="214D8B28" w:rsidP="00581E01" w:rsidR="00FC7A5F" w:rsidRDefault="00581E01">
      <w:pPr>
        <w:pStyle w:val="texte"/>
        <w:spacing w:before="120"/>
        <w:rPr>
          <w:rFonts w:ascii="Tahoma" w:cs="Tahoma" w:hAnsi="Tahoma"/>
          <w:sz w:val="20"/>
        </w:rPr>
      </w:pPr>
      <w:r w:rsidRPr="002B5C92">
        <w:rPr>
          <w:rFonts w:ascii="Tahoma" w:cs="Tahoma" w:hAnsi="Tahoma"/>
          <w:sz w:val="20"/>
        </w:rPr>
        <w:t>Pour l'</w:t>
      </w:r>
      <w:proofErr w:type="spellStart"/>
      <w:r w:rsidRPr="002B5C92">
        <w:rPr>
          <w:rFonts w:ascii="Tahoma" w:cs="Tahoma" w:hAnsi="Tahoma"/>
          <w:sz w:val="20"/>
        </w:rPr>
        <w:t>o</w:t>
      </w:r>
      <w:r>
        <w:rPr>
          <w:rFonts w:ascii="Tahoma" w:cs="Tahoma" w:hAnsi="Tahoma"/>
          <w:sz w:val="20"/>
        </w:rPr>
        <w:t>rganisationsyndicale</w:t>
      </w:r>
      <w:proofErr w:type="spellEnd"/>
      <w:r>
        <w:rPr>
          <w:rFonts w:ascii="Tahoma" w:cs="Tahoma" w:hAnsi="Tahoma"/>
          <w:sz w:val="20"/>
        </w:rPr>
        <w:t xml:space="preserve"> C.G.T., </w:t>
      </w:r>
      <w:r>
        <w:rPr>
          <w:rFonts w:ascii="Tahoma" w:cs="Tahoma" w:hAnsi="Tahoma"/>
          <w:sz w:val="20"/>
        </w:rPr>
        <w:tab/>
      </w:r>
      <w:r w:rsidRPr="002B5C92">
        <w:rPr>
          <w:rFonts w:ascii="Tahoma" w:cs="Tahoma" w:hAnsi="Tahoma"/>
          <w:sz w:val="20"/>
        </w:rPr>
        <w:t xml:space="preserve">   </w:t>
      </w:r>
      <w:r>
        <w:rPr>
          <w:rFonts w:ascii="Tahoma" w:cs="Tahoma" w:hAnsi="Tahoma"/>
          <w:sz w:val="20"/>
        </w:rPr>
        <w:t xml:space="preserve"> </w:t>
      </w:r>
      <w:r w:rsidRPr="002B5C92">
        <w:rPr>
          <w:rFonts w:ascii="Tahoma" w:cs="Tahoma" w:hAnsi="Tahoma"/>
          <w:sz w:val="20"/>
        </w:rPr>
        <w:t xml:space="preserve">  </w:t>
      </w:r>
    </w:p>
    <w:tbl>
      <w:tblPr>
        <w:tblW w:type="auto" w:w="0"/>
        <w:tblLook w:firstColumn="1" w:firstRow="1" w:lastColumn="0" w:lastRow="0" w:noHBand="0" w:noVBand="1" w:val="04A0"/>
      </w:tblPr>
      <w:tblGrid>
        <w:gridCol w:w="4393"/>
        <w:gridCol w:w="4394"/>
      </w:tblGrid>
      <w:tr w14:paraId="1BDCF4DE" w14:textId="77777777" w:rsidR="00A94CBF" w:rsidRPr="000962FD" w:rsidTr="000962FD">
        <w:tc>
          <w:tcPr>
            <w:tcW w:type="dxa" w:w="4463"/>
            <w:shd w:color="auto" w:fill="auto" w:val="clear"/>
            <w:vAlign w:val="center"/>
          </w:tcPr>
          <w:p w14:paraId="56DB10D0" w14:textId="77777777" w:rsidP="000962FD" w:rsidR="009F3996" w:rsidRDefault="009F3996">
            <w:pPr>
              <w:pStyle w:val="texte"/>
              <w:widowControl w:val="0"/>
              <w:spacing w:before="120"/>
              <w:jc w:val="center"/>
              <w:rPr>
                <w:rFonts w:ascii="Tahoma" w:cs="Tahoma" w:hAnsi="Tahoma"/>
                <w:sz w:val="20"/>
              </w:rPr>
            </w:pPr>
          </w:p>
          <w:p w14:paraId="7EF4C6C1" w14:textId="36E052F3" w:rsidP="000962FD" w:rsidR="00A94CBF" w:rsidRDefault="00A94CBF" w:rsidRPr="000962FD">
            <w:pPr>
              <w:pStyle w:val="texte"/>
              <w:widowControl w:val="0"/>
              <w:spacing w:before="120"/>
              <w:jc w:val="center"/>
              <w:rPr>
                <w:rFonts w:ascii="Tahoma" w:cs="Tahoma" w:hAnsi="Tahoma"/>
                <w:sz w:val="20"/>
              </w:rPr>
            </w:pPr>
            <w:r w:rsidRPr="000962FD">
              <w:rPr>
                <w:rFonts w:ascii="Tahoma" w:cs="Tahoma" w:hAnsi="Tahoma"/>
                <w:sz w:val="20"/>
              </w:rPr>
              <w:t>Délégué syndical central</w:t>
            </w:r>
          </w:p>
        </w:tc>
        <w:tc>
          <w:tcPr>
            <w:tcW w:type="dxa" w:w="4464"/>
            <w:shd w:color="auto" w:fill="auto" w:val="clear"/>
            <w:vAlign w:val="center"/>
          </w:tcPr>
          <w:p w14:paraId="3D373079" w14:textId="77777777" w:rsidP="000962FD" w:rsidR="009F3996" w:rsidRDefault="009F3996">
            <w:pPr>
              <w:pStyle w:val="texte"/>
              <w:widowControl w:val="0"/>
              <w:spacing w:before="120"/>
              <w:jc w:val="center"/>
              <w:rPr>
                <w:rFonts w:ascii="Tahoma" w:cs="Tahoma" w:hAnsi="Tahoma"/>
                <w:sz w:val="20"/>
              </w:rPr>
            </w:pPr>
          </w:p>
          <w:p w14:paraId="4DB10A17" w14:textId="2CF1397D" w:rsidP="000962FD" w:rsidR="00A94CBF" w:rsidRDefault="00A94CBF" w:rsidRPr="000962FD">
            <w:pPr>
              <w:pStyle w:val="texte"/>
              <w:widowControl w:val="0"/>
              <w:spacing w:before="120"/>
              <w:jc w:val="center"/>
              <w:rPr>
                <w:rFonts w:ascii="Tahoma" w:cs="Tahoma" w:hAnsi="Tahoma"/>
                <w:sz w:val="20"/>
              </w:rPr>
            </w:pPr>
            <w:r w:rsidRPr="000962FD">
              <w:rPr>
                <w:rFonts w:ascii="Tahoma" w:cs="Tahoma" w:hAnsi="Tahoma"/>
                <w:sz w:val="20"/>
              </w:rPr>
              <w:t>Délégué syndical central</w:t>
            </w:r>
          </w:p>
        </w:tc>
      </w:tr>
    </w:tbl>
    <w:p w14:paraId="3E11604E" w14:textId="40E3BB29" w:rsidP="001A315C" w:rsidR="003400B7" w:rsidRDefault="003400B7" w:rsidRPr="00063C6C">
      <w:pPr>
        <w:pStyle w:val="texte"/>
        <w:spacing w:before="120"/>
        <w:rPr>
          <w:rFonts w:ascii="Tahoma" w:cs="Tahoma" w:hAnsi="Tahoma"/>
          <w:sz w:val="20"/>
        </w:rPr>
      </w:pPr>
    </w:p>
    <w:sectPr w:rsidR="003400B7" w:rsidRPr="00063C6C" w:rsidSect="00C85B93">
      <w:headerReference r:id="rId12" w:type="even"/>
      <w:headerReference r:id="rId13" w:type="default"/>
      <w:footerReference r:id="rId14" w:type="even"/>
      <w:footerReference r:id="rId15" w:type="default"/>
      <w:headerReference r:id="rId16" w:type="first"/>
      <w:footerReference r:id="rId17" w:type="first"/>
      <w:pgSz w:h="16838" w:w="11906"/>
      <w:pgMar w:bottom="1418" w:footer="709" w:gutter="0" w:header="709" w:left="1701" w:right="1418" w:top="-143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27893" w14:textId="77777777" w:rsidR="00FB63BB" w:rsidRDefault="00FB63BB">
      <w:r>
        <w:separator/>
      </w:r>
    </w:p>
  </w:endnote>
  <w:endnote w:type="continuationSeparator" w:id="0">
    <w:p w14:paraId="162CEF43" w14:textId="77777777" w:rsidR="00FB63BB" w:rsidRDefault="00FB6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49F2FAC" w14:textId="77777777" w:rsidR="002C1D17" w:rsidRDefault="002C1D17">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D630EE9" w14:textId="1213953F" w:rsidP="00581E01" w:rsidR="008B04DD" w:rsidRDefault="00581E01" w:rsidRPr="00DC69CA">
    <w:pPr>
      <w:pStyle w:val="Pieddepage"/>
      <w:rPr>
        <w:rFonts w:ascii="Arial Narrow" w:hAnsi="Arial Narrow"/>
        <w:sz w:val="18"/>
        <w:szCs w:val="18"/>
      </w:rPr>
    </w:pPr>
    <w:r>
      <w:rPr>
        <w:rStyle w:val="Numrodepage"/>
        <w:rFonts w:ascii="Arial Narrow" w:hAnsi="Arial Narrow"/>
        <w:sz w:val="18"/>
        <w:szCs w:val="18"/>
      </w:rPr>
      <w:t>Accord relatif aux thème</w:t>
    </w:r>
    <w:r w:rsidR="00E54983">
      <w:rPr>
        <w:rStyle w:val="Numrodepage"/>
        <w:rFonts w:ascii="Arial Narrow" w:hAnsi="Arial Narrow"/>
        <w:sz w:val="18"/>
        <w:szCs w:val="18"/>
      </w:rPr>
      <w:t>s de la NAO pour l’exercice 20</w:t>
    </w:r>
    <w:r w:rsidR="00FB5367">
      <w:rPr>
        <w:rStyle w:val="Numrodepage"/>
        <w:rFonts w:ascii="Arial Narrow" w:hAnsi="Arial Narrow"/>
        <w:sz w:val="18"/>
        <w:szCs w:val="18"/>
      </w:rPr>
      <w:t>2</w:t>
    </w:r>
    <w:r w:rsidR="005C3CEB">
      <w:rPr>
        <w:rStyle w:val="Numrodepage"/>
        <w:rFonts w:ascii="Arial Narrow" w:hAnsi="Arial Narrow"/>
        <w:sz w:val="18"/>
        <w:szCs w:val="18"/>
      </w:rPr>
      <w:t>2</w:t>
    </w:r>
    <w:r>
      <w:rPr>
        <w:rStyle w:val="Numrodepage"/>
        <w:rFonts w:ascii="Arial Narrow" w:hAnsi="Arial Narrow"/>
        <w:sz w:val="18"/>
        <w:szCs w:val="18"/>
      </w:rPr>
      <w:tab/>
    </w:r>
    <w:r>
      <w:rPr>
        <w:rStyle w:val="Numrodepage"/>
        <w:rFonts w:ascii="Arial Narrow" w:hAnsi="Arial Narrow"/>
        <w:sz w:val="18"/>
        <w:szCs w:val="18"/>
      </w:rPr>
      <w:tab/>
    </w:r>
    <w:r w:rsidR="008B04DD" w:rsidRPr="00DC69CA">
      <w:rPr>
        <w:rStyle w:val="Numrodepage"/>
        <w:rFonts w:ascii="Arial Narrow" w:hAnsi="Arial Narrow"/>
        <w:sz w:val="18"/>
        <w:szCs w:val="18"/>
      </w:rPr>
      <w:t xml:space="preserve">Page </w:t>
    </w:r>
    <w:r w:rsidR="008B04DD" w:rsidRPr="00DC69CA">
      <w:rPr>
        <w:rStyle w:val="Numrodepage"/>
        <w:rFonts w:ascii="Arial Narrow" w:hAnsi="Arial Narrow"/>
        <w:sz w:val="18"/>
        <w:szCs w:val="18"/>
      </w:rPr>
      <w:fldChar w:fldCharType="begin"/>
    </w:r>
    <w:r w:rsidR="008B04DD" w:rsidRPr="00DC69CA">
      <w:rPr>
        <w:rStyle w:val="Numrodepage"/>
        <w:rFonts w:ascii="Arial Narrow" w:hAnsi="Arial Narrow"/>
        <w:sz w:val="18"/>
        <w:szCs w:val="18"/>
      </w:rPr>
      <w:instrText xml:space="preserve"> PAGE </w:instrText>
    </w:r>
    <w:r w:rsidR="008B04DD" w:rsidRPr="00DC69CA">
      <w:rPr>
        <w:rStyle w:val="Numrodepage"/>
        <w:rFonts w:ascii="Arial Narrow" w:hAnsi="Arial Narrow"/>
        <w:sz w:val="18"/>
        <w:szCs w:val="18"/>
      </w:rPr>
      <w:fldChar w:fldCharType="separate"/>
    </w:r>
    <w:r w:rsidR="00FD6A04">
      <w:rPr>
        <w:rStyle w:val="Numrodepage"/>
        <w:rFonts w:ascii="Arial Narrow" w:hAnsi="Arial Narrow"/>
        <w:noProof/>
        <w:sz w:val="18"/>
        <w:szCs w:val="18"/>
      </w:rPr>
      <w:t>7</w:t>
    </w:r>
    <w:r w:rsidR="008B04DD" w:rsidRPr="00DC69CA">
      <w:rPr>
        <w:rStyle w:val="Numrodepage"/>
        <w:rFonts w:ascii="Arial Narrow" w:hAnsi="Arial Narrow"/>
        <w:sz w:val="18"/>
        <w:szCs w:val="18"/>
      </w:rPr>
      <w:fldChar w:fldCharType="end"/>
    </w:r>
    <w:r w:rsidR="008B04DD" w:rsidRPr="00DC69CA">
      <w:rPr>
        <w:rStyle w:val="Numrodepage"/>
        <w:rFonts w:ascii="Arial Narrow" w:hAnsi="Arial Narrow"/>
        <w:sz w:val="18"/>
        <w:szCs w:val="18"/>
      </w:rPr>
      <w:t>/</w:t>
    </w:r>
    <w:r w:rsidR="008B04DD" w:rsidRPr="00DC69CA">
      <w:rPr>
        <w:rStyle w:val="Numrodepage"/>
        <w:rFonts w:ascii="Arial Narrow" w:hAnsi="Arial Narrow"/>
        <w:sz w:val="18"/>
        <w:szCs w:val="18"/>
      </w:rPr>
      <w:fldChar w:fldCharType="begin"/>
    </w:r>
    <w:r w:rsidR="008B04DD" w:rsidRPr="00DC69CA">
      <w:rPr>
        <w:rStyle w:val="Numrodepage"/>
        <w:rFonts w:ascii="Arial Narrow" w:hAnsi="Arial Narrow"/>
        <w:sz w:val="18"/>
        <w:szCs w:val="18"/>
      </w:rPr>
      <w:instrText xml:space="preserve"> NUMPAGES </w:instrText>
    </w:r>
    <w:r w:rsidR="008B04DD" w:rsidRPr="00DC69CA">
      <w:rPr>
        <w:rStyle w:val="Numrodepage"/>
        <w:rFonts w:ascii="Arial Narrow" w:hAnsi="Arial Narrow"/>
        <w:sz w:val="18"/>
        <w:szCs w:val="18"/>
      </w:rPr>
      <w:fldChar w:fldCharType="separate"/>
    </w:r>
    <w:r w:rsidR="00FD6A04">
      <w:rPr>
        <w:rStyle w:val="Numrodepage"/>
        <w:rFonts w:ascii="Arial Narrow" w:hAnsi="Arial Narrow"/>
        <w:noProof/>
        <w:sz w:val="18"/>
        <w:szCs w:val="18"/>
      </w:rPr>
      <w:t>20</w:t>
    </w:r>
    <w:r w:rsidR="008B04DD" w:rsidRPr="00DC69CA">
      <w:rPr>
        <w:rStyle w:val="Numrodepage"/>
        <w:rFonts w:ascii="Arial Narrow" w:hAnsi="Arial Narrow"/>
        <w:sz w:val="18"/>
        <w:szCs w:val="18"/>
      </w:rPr>
      <w:fldChar w:fldCharType="end"/>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8A03D89" w14:textId="77777777" w:rsidR="002C1D17" w:rsidRDefault="002C1D17">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E68455C" w14:textId="77777777" w:rsidR="00FB63BB" w:rsidRDefault="00FB63BB">
      <w:r>
        <w:separator/>
      </w:r>
    </w:p>
  </w:footnote>
  <w:footnote w:id="0" w:type="continuationSeparator">
    <w:p w14:paraId="6DBF8045" w14:textId="77777777" w:rsidR="00FB63BB" w:rsidRDefault="00FB63BB">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C5BA768" w14:textId="1F4C6579" w:rsidR="008B04DD" w:rsidRDefault="008B04DD">
    <w:pPr>
      <w:pStyle w:val="En-tt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323B4A" w14:textId="77777777" w:rsidR="008B04DD" w:rsidRDefault="008B04DD">
    <w:pPr>
      <w:ind w:right="360"/>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8046CC4" w14:textId="50DD8ED3" w:rsidR="002C1D17" w:rsidRDefault="002C1D17">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B316D18" w14:textId="6CBCBA85" w:rsidR="002C1D17" w:rsidRDefault="002C1D1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8159B4"/>
    <w:multiLevelType w:val="hybridMultilevel"/>
    <w:tmpl w:val="3BA479B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B821E58"/>
    <w:multiLevelType w:val="hybridMultilevel"/>
    <w:tmpl w:val="0E426336"/>
    <w:lvl w:ilvl="0" w:tplc="DC427DA8">
      <w:numFmt w:val="bullet"/>
      <w:lvlText w:val=""/>
      <w:lvlJc w:val="left"/>
      <w:pPr>
        <w:tabs>
          <w:tab w:pos="720" w:val="num"/>
        </w:tabs>
        <w:ind w:hanging="360" w:left="720"/>
      </w:pPr>
      <w:rPr>
        <w:rFonts w:ascii="Symbol" w:cs="Arial" w:eastAsia="MS Mincho"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13F13C52"/>
    <w:multiLevelType w:val="hybridMultilevel"/>
    <w:tmpl w:val="0756E0BC"/>
    <w:lvl w:ilvl="0" w:tplc="040C000F">
      <w:start w:val="1"/>
      <w:numFmt w:val="decimal"/>
      <w:lvlText w:val="%1."/>
      <w:lvlJc w:val="left"/>
      <w:pPr>
        <w:ind w:hanging="360" w:left="721"/>
      </w:pPr>
    </w:lvl>
    <w:lvl w:ilvl="1" w:tplc="040C0019">
      <w:start w:val="1"/>
      <w:numFmt w:val="lowerLetter"/>
      <w:lvlText w:val="%2."/>
      <w:lvlJc w:val="left"/>
      <w:pPr>
        <w:ind w:hanging="360" w:left="1441"/>
      </w:pPr>
    </w:lvl>
    <w:lvl w:ilvl="2" w:tentative="1" w:tplc="040C001B">
      <w:start w:val="1"/>
      <w:numFmt w:val="lowerRoman"/>
      <w:lvlText w:val="%3."/>
      <w:lvlJc w:val="right"/>
      <w:pPr>
        <w:ind w:hanging="180" w:left="2161"/>
      </w:pPr>
    </w:lvl>
    <w:lvl w:ilvl="3" w:tentative="1" w:tplc="040C000F">
      <w:start w:val="1"/>
      <w:numFmt w:val="decimal"/>
      <w:lvlText w:val="%4."/>
      <w:lvlJc w:val="left"/>
      <w:pPr>
        <w:ind w:hanging="360" w:left="2881"/>
      </w:pPr>
    </w:lvl>
    <w:lvl w:ilvl="4" w:tentative="1" w:tplc="040C0019">
      <w:start w:val="1"/>
      <w:numFmt w:val="lowerLetter"/>
      <w:lvlText w:val="%5."/>
      <w:lvlJc w:val="left"/>
      <w:pPr>
        <w:ind w:hanging="360" w:left="3601"/>
      </w:pPr>
    </w:lvl>
    <w:lvl w:ilvl="5" w:tentative="1" w:tplc="040C001B">
      <w:start w:val="1"/>
      <w:numFmt w:val="lowerRoman"/>
      <w:lvlText w:val="%6."/>
      <w:lvlJc w:val="right"/>
      <w:pPr>
        <w:ind w:hanging="180" w:left="4321"/>
      </w:pPr>
    </w:lvl>
    <w:lvl w:ilvl="6" w:tentative="1" w:tplc="040C000F">
      <w:start w:val="1"/>
      <w:numFmt w:val="decimal"/>
      <w:lvlText w:val="%7."/>
      <w:lvlJc w:val="left"/>
      <w:pPr>
        <w:ind w:hanging="360" w:left="5041"/>
      </w:pPr>
    </w:lvl>
    <w:lvl w:ilvl="7" w:tentative="1" w:tplc="040C0019">
      <w:start w:val="1"/>
      <w:numFmt w:val="lowerLetter"/>
      <w:lvlText w:val="%8."/>
      <w:lvlJc w:val="left"/>
      <w:pPr>
        <w:ind w:hanging="360" w:left="5761"/>
      </w:pPr>
    </w:lvl>
    <w:lvl w:ilvl="8" w:tentative="1" w:tplc="040C001B">
      <w:start w:val="1"/>
      <w:numFmt w:val="lowerRoman"/>
      <w:lvlText w:val="%9."/>
      <w:lvlJc w:val="right"/>
      <w:pPr>
        <w:ind w:hanging="180" w:left="6481"/>
      </w:pPr>
    </w:lvl>
  </w:abstractNum>
  <w:abstractNum w15:restartNumberingAfterBreak="0" w:abstractNumId="3">
    <w:nsid w:val="1EC05F6C"/>
    <w:multiLevelType w:val="hybridMultilevel"/>
    <w:tmpl w:val="03B4670C"/>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5835D5D"/>
    <w:multiLevelType w:val="hybridMultilevel"/>
    <w:tmpl w:val="7FA8DC68"/>
    <w:lvl w:ilvl="0" w:tplc="752A3278">
      <w:numFmt w:val="decimal"/>
      <w:lvlText w:val="%1"/>
      <w:lvlJc w:val="left"/>
      <w:pPr>
        <w:ind w:hanging="360" w:left="1081"/>
      </w:pPr>
      <w:rPr>
        <w:rFonts w:hint="default"/>
      </w:rPr>
    </w:lvl>
    <w:lvl w:ilvl="1" w:tentative="1" w:tplc="040C0019">
      <w:start w:val="1"/>
      <w:numFmt w:val="lowerLetter"/>
      <w:lvlText w:val="%2."/>
      <w:lvlJc w:val="left"/>
      <w:pPr>
        <w:ind w:hanging="360" w:left="1801"/>
      </w:pPr>
    </w:lvl>
    <w:lvl w:ilvl="2" w:tentative="1" w:tplc="040C001B">
      <w:start w:val="1"/>
      <w:numFmt w:val="lowerRoman"/>
      <w:lvlText w:val="%3."/>
      <w:lvlJc w:val="right"/>
      <w:pPr>
        <w:ind w:hanging="180" w:left="2521"/>
      </w:pPr>
    </w:lvl>
    <w:lvl w:ilvl="3" w:tentative="1" w:tplc="040C000F">
      <w:start w:val="1"/>
      <w:numFmt w:val="decimal"/>
      <w:lvlText w:val="%4."/>
      <w:lvlJc w:val="left"/>
      <w:pPr>
        <w:ind w:hanging="360" w:left="3241"/>
      </w:pPr>
    </w:lvl>
    <w:lvl w:ilvl="4" w:tentative="1" w:tplc="040C0019">
      <w:start w:val="1"/>
      <w:numFmt w:val="lowerLetter"/>
      <w:lvlText w:val="%5."/>
      <w:lvlJc w:val="left"/>
      <w:pPr>
        <w:ind w:hanging="360" w:left="3961"/>
      </w:pPr>
    </w:lvl>
    <w:lvl w:ilvl="5" w:tentative="1" w:tplc="040C001B">
      <w:start w:val="1"/>
      <w:numFmt w:val="lowerRoman"/>
      <w:lvlText w:val="%6."/>
      <w:lvlJc w:val="right"/>
      <w:pPr>
        <w:ind w:hanging="180" w:left="4681"/>
      </w:pPr>
    </w:lvl>
    <w:lvl w:ilvl="6" w:tentative="1" w:tplc="040C000F">
      <w:start w:val="1"/>
      <w:numFmt w:val="decimal"/>
      <w:lvlText w:val="%7."/>
      <w:lvlJc w:val="left"/>
      <w:pPr>
        <w:ind w:hanging="360" w:left="5401"/>
      </w:pPr>
    </w:lvl>
    <w:lvl w:ilvl="7" w:tentative="1" w:tplc="040C0019">
      <w:start w:val="1"/>
      <w:numFmt w:val="lowerLetter"/>
      <w:lvlText w:val="%8."/>
      <w:lvlJc w:val="left"/>
      <w:pPr>
        <w:ind w:hanging="360" w:left="6121"/>
      </w:pPr>
    </w:lvl>
    <w:lvl w:ilvl="8" w:tentative="1" w:tplc="040C001B">
      <w:start w:val="1"/>
      <w:numFmt w:val="lowerRoman"/>
      <w:lvlText w:val="%9."/>
      <w:lvlJc w:val="right"/>
      <w:pPr>
        <w:ind w:hanging="180" w:left="6841"/>
      </w:pPr>
    </w:lvl>
  </w:abstractNum>
  <w:abstractNum w15:restartNumberingAfterBreak="0" w:abstractNumId="5">
    <w:nsid w:val="34F734F9"/>
    <w:multiLevelType w:val="hybridMultilevel"/>
    <w:tmpl w:val="F8B8300C"/>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3E306F01"/>
    <w:multiLevelType w:val="hybridMultilevel"/>
    <w:tmpl w:val="7026D0E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438B71C1"/>
    <w:multiLevelType w:val="hybridMultilevel"/>
    <w:tmpl w:val="08B8E880"/>
    <w:lvl w:ilvl="0" w:tplc="040C0001">
      <w:start w:val="1"/>
      <w:numFmt w:val="bullet"/>
      <w:lvlText w:val=""/>
      <w:lvlJc w:val="left"/>
      <w:pPr>
        <w:tabs>
          <w:tab w:pos="720" w:val="num"/>
        </w:tabs>
        <w:ind w:hanging="360" w:left="720"/>
      </w:pPr>
      <w:rPr>
        <w:rFonts w:ascii="Symbol" w:hAnsi="Symbol" w:hint="default"/>
        <w:color w:val="auto"/>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19">
      <w:start w:val="1"/>
      <w:numFmt w:val="lowerLetter"/>
      <w:lvlText w:val="%3."/>
      <w:lvlJc w:val="left"/>
      <w:pPr>
        <w:tabs>
          <w:tab w:pos="2160" w:val="num"/>
        </w:tabs>
        <w:ind w:hanging="360" w:left="2160"/>
      </w:pPr>
      <w:rPr>
        <w:rFonts w:hint="default"/>
        <w:color w:val="auto"/>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495914A6"/>
    <w:multiLevelType w:val="hybridMultilevel"/>
    <w:tmpl w:val="C73CE5E8"/>
    <w:lvl w:ilvl="0" w:tplc="593008FA">
      <w:start w:val="5"/>
      <w:numFmt w:val="decimal"/>
      <w:lvlText w:val="%1"/>
      <w:lvlJc w:val="left"/>
      <w:pPr>
        <w:ind w:hanging="360" w:left="643"/>
      </w:pPr>
      <w:rPr>
        <w:rFonts w:hint="default"/>
      </w:rPr>
    </w:lvl>
    <w:lvl w:ilvl="1" w:tentative="1" w:tplc="040C0019">
      <w:start w:val="1"/>
      <w:numFmt w:val="lowerLetter"/>
      <w:lvlText w:val="%2."/>
      <w:lvlJc w:val="left"/>
      <w:pPr>
        <w:ind w:hanging="360" w:left="1430"/>
      </w:pPr>
    </w:lvl>
    <w:lvl w:ilvl="2" w:tentative="1" w:tplc="040C001B">
      <w:start w:val="1"/>
      <w:numFmt w:val="lowerRoman"/>
      <w:lvlText w:val="%3."/>
      <w:lvlJc w:val="right"/>
      <w:pPr>
        <w:ind w:hanging="180" w:left="2150"/>
      </w:pPr>
    </w:lvl>
    <w:lvl w:ilvl="3" w:tentative="1" w:tplc="040C000F">
      <w:start w:val="1"/>
      <w:numFmt w:val="decimal"/>
      <w:lvlText w:val="%4."/>
      <w:lvlJc w:val="left"/>
      <w:pPr>
        <w:ind w:hanging="360" w:left="2870"/>
      </w:pPr>
    </w:lvl>
    <w:lvl w:ilvl="4" w:tentative="1" w:tplc="040C0019">
      <w:start w:val="1"/>
      <w:numFmt w:val="lowerLetter"/>
      <w:lvlText w:val="%5."/>
      <w:lvlJc w:val="left"/>
      <w:pPr>
        <w:ind w:hanging="360" w:left="3590"/>
      </w:pPr>
    </w:lvl>
    <w:lvl w:ilvl="5" w:tentative="1" w:tplc="040C001B">
      <w:start w:val="1"/>
      <w:numFmt w:val="lowerRoman"/>
      <w:lvlText w:val="%6."/>
      <w:lvlJc w:val="right"/>
      <w:pPr>
        <w:ind w:hanging="180" w:left="4310"/>
      </w:pPr>
    </w:lvl>
    <w:lvl w:ilvl="6" w:tentative="1" w:tplc="040C000F">
      <w:start w:val="1"/>
      <w:numFmt w:val="decimal"/>
      <w:lvlText w:val="%7."/>
      <w:lvlJc w:val="left"/>
      <w:pPr>
        <w:ind w:hanging="360" w:left="5030"/>
      </w:pPr>
    </w:lvl>
    <w:lvl w:ilvl="7" w:tentative="1" w:tplc="040C0019">
      <w:start w:val="1"/>
      <w:numFmt w:val="lowerLetter"/>
      <w:lvlText w:val="%8."/>
      <w:lvlJc w:val="left"/>
      <w:pPr>
        <w:ind w:hanging="360" w:left="5750"/>
      </w:pPr>
    </w:lvl>
    <w:lvl w:ilvl="8" w:tentative="1" w:tplc="040C001B">
      <w:start w:val="1"/>
      <w:numFmt w:val="lowerRoman"/>
      <w:lvlText w:val="%9."/>
      <w:lvlJc w:val="right"/>
      <w:pPr>
        <w:ind w:hanging="180" w:left="6470"/>
      </w:pPr>
    </w:lvl>
  </w:abstractNum>
  <w:abstractNum w15:restartNumberingAfterBreak="0" w:abstractNumId="9">
    <w:nsid w:val="49754C67"/>
    <w:multiLevelType w:val="hybridMultilevel"/>
    <w:tmpl w:val="A052DB92"/>
    <w:lvl w:ilvl="0" w:tplc="040C000F">
      <w:start w:val="1"/>
      <w:numFmt w:val="decimal"/>
      <w:lvlText w:val="%1."/>
      <w:lvlJc w:val="left"/>
      <w:pPr>
        <w:tabs>
          <w:tab w:pos="644" w:val="num"/>
        </w:tabs>
        <w:ind w:hanging="360" w:left="644"/>
      </w:pPr>
    </w:lvl>
    <w:lvl w:ilvl="1" w:tentative="1" w:tplc="040C0019">
      <w:start w:val="1"/>
      <w:numFmt w:val="lowerLetter"/>
      <w:lvlText w:val="%2."/>
      <w:lvlJc w:val="left"/>
      <w:pPr>
        <w:tabs>
          <w:tab w:pos="1364" w:val="num"/>
        </w:tabs>
        <w:ind w:hanging="360" w:left="1364"/>
      </w:pPr>
    </w:lvl>
    <w:lvl w:ilvl="2" w:tentative="1" w:tplc="040C001B">
      <w:start w:val="1"/>
      <w:numFmt w:val="lowerRoman"/>
      <w:lvlText w:val="%3."/>
      <w:lvlJc w:val="right"/>
      <w:pPr>
        <w:tabs>
          <w:tab w:pos="2084" w:val="num"/>
        </w:tabs>
        <w:ind w:hanging="180" w:left="2084"/>
      </w:pPr>
    </w:lvl>
    <w:lvl w:ilvl="3" w:tentative="1" w:tplc="040C000F">
      <w:start w:val="1"/>
      <w:numFmt w:val="decimal"/>
      <w:lvlText w:val="%4."/>
      <w:lvlJc w:val="left"/>
      <w:pPr>
        <w:tabs>
          <w:tab w:pos="2804" w:val="num"/>
        </w:tabs>
        <w:ind w:hanging="360" w:left="2804"/>
      </w:pPr>
    </w:lvl>
    <w:lvl w:ilvl="4" w:tentative="1" w:tplc="040C0019">
      <w:start w:val="1"/>
      <w:numFmt w:val="lowerLetter"/>
      <w:lvlText w:val="%5."/>
      <w:lvlJc w:val="left"/>
      <w:pPr>
        <w:tabs>
          <w:tab w:pos="3524" w:val="num"/>
        </w:tabs>
        <w:ind w:hanging="360" w:left="3524"/>
      </w:pPr>
    </w:lvl>
    <w:lvl w:ilvl="5" w:tentative="1" w:tplc="040C001B">
      <w:start w:val="1"/>
      <w:numFmt w:val="lowerRoman"/>
      <w:lvlText w:val="%6."/>
      <w:lvlJc w:val="right"/>
      <w:pPr>
        <w:tabs>
          <w:tab w:pos="4244" w:val="num"/>
        </w:tabs>
        <w:ind w:hanging="180" w:left="4244"/>
      </w:pPr>
    </w:lvl>
    <w:lvl w:ilvl="6" w:tentative="1" w:tplc="040C000F">
      <w:start w:val="1"/>
      <w:numFmt w:val="decimal"/>
      <w:lvlText w:val="%7."/>
      <w:lvlJc w:val="left"/>
      <w:pPr>
        <w:tabs>
          <w:tab w:pos="4964" w:val="num"/>
        </w:tabs>
        <w:ind w:hanging="360" w:left="4964"/>
      </w:pPr>
    </w:lvl>
    <w:lvl w:ilvl="7" w:tentative="1" w:tplc="040C0019">
      <w:start w:val="1"/>
      <w:numFmt w:val="lowerLetter"/>
      <w:lvlText w:val="%8."/>
      <w:lvlJc w:val="left"/>
      <w:pPr>
        <w:tabs>
          <w:tab w:pos="5684" w:val="num"/>
        </w:tabs>
        <w:ind w:hanging="360" w:left="5684"/>
      </w:pPr>
    </w:lvl>
    <w:lvl w:ilvl="8" w:tentative="1" w:tplc="040C001B">
      <w:start w:val="1"/>
      <w:numFmt w:val="lowerRoman"/>
      <w:lvlText w:val="%9."/>
      <w:lvlJc w:val="right"/>
      <w:pPr>
        <w:tabs>
          <w:tab w:pos="6404" w:val="num"/>
        </w:tabs>
        <w:ind w:hanging="180" w:left="6404"/>
      </w:pPr>
    </w:lvl>
  </w:abstractNum>
  <w:abstractNum w15:restartNumberingAfterBreak="0" w:abstractNumId="10">
    <w:nsid w:val="4C2C7CE6"/>
    <w:multiLevelType w:val="hybridMultilevel"/>
    <w:tmpl w:val="9BF8147A"/>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5DDA41F5"/>
    <w:multiLevelType w:val="hybridMultilevel"/>
    <w:tmpl w:val="4EF808E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6B7704AC"/>
    <w:multiLevelType w:val="hybridMultilevel"/>
    <w:tmpl w:val="C3A2A310"/>
    <w:lvl w:ilvl="0" w:tplc="040C0005">
      <w:start w:val="1"/>
      <w:numFmt w:val="bullet"/>
      <w:lvlText w:val=""/>
      <w:lvlJc w:val="left"/>
      <w:pPr>
        <w:tabs>
          <w:tab w:pos="1170" w:val="num"/>
        </w:tabs>
        <w:ind w:hanging="360" w:left="1170"/>
      </w:pPr>
      <w:rPr>
        <w:rFonts w:ascii="Wingdings" w:hAnsi="Wingdings" w:hint="default"/>
      </w:rPr>
    </w:lvl>
    <w:lvl w:ilvl="1" w:tentative="1" w:tplc="040C0003">
      <w:start w:val="1"/>
      <w:numFmt w:val="bullet"/>
      <w:lvlText w:val="o"/>
      <w:lvlJc w:val="left"/>
      <w:pPr>
        <w:tabs>
          <w:tab w:pos="1890" w:val="num"/>
        </w:tabs>
        <w:ind w:hanging="360" w:left="1890"/>
      </w:pPr>
      <w:rPr>
        <w:rFonts w:ascii="Courier New" w:cs="Courier New" w:hAnsi="Courier New" w:hint="default"/>
      </w:rPr>
    </w:lvl>
    <w:lvl w:ilvl="2" w:tentative="1" w:tplc="040C0005">
      <w:start w:val="1"/>
      <w:numFmt w:val="bullet"/>
      <w:lvlText w:val=""/>
      <w:lvlJc w:val="left"/>
      <w:pPr>
        <w:tabs>
          <w:tab w:pos="2610" w:val="num"/>
        </w:tabs>
        <w:ind w:hanging="360" w:left="2610"/>
      </w:pPr>
      <w:rPr>
        <w:rFonts w:ascii="Wingdings" w:hAnsi="Wingdings" w:hint="default"/>
      </w:rPr>
    </w:lvl>
    <w:lvl w:ilvl="3" w:tentative="1" w:tplc="040C0001">
      <w:start w:val="1"/>
      <w:numFmt w:val="bullet"/>
      <w:lvlText w:val=""/>
      <w:lvlJc w:val="left"/>
      <w:pPr>
        <w:tabs>
          <w:tab w:pos="3330" w:val="num"/>
        </w:tabs>
        <w:ind w:hanging="360" w:left="3330"/>
      </w:pPr>
      <w:rPr>
        <w:rFonts w:ascii="Symbol" w:hAnsi="Symbol" w:hint="default"/>
      </w:rPr>
    </w:lvl>
    <w:lvl w:ilvl="4" w:tentative="1" w:tplc="040C0003">
      <w:start w:val="1"/>
      <w:numFmt w:val="bullet"/>
      <w:lvlText w:val="o"/>
      <w:lvlJc w:val="left"/>
      <w:pPr>
        <w:tabs>
          <w:tab w:pos="4050" w:val="num"/>
        </w:tabs>
        <w:ind w:hanging="360" w:left="4050"/>
      </w:pPr>
      <w:rPr>
        <w:rFonts w:ascii="Courier New" w:cs="Courier New" w:hAnsi="Courier New" w:hint="default"/>
      </w:rPr>
    </w:lvl>
    <w:lvl w:ilvl="5" w:tentative="1" w:tplc="040C0005">
      <w:start w:val="1"/>
      <w:numFmt w:val="bullet"/>
      <w:lvlText w:val=""/>
      <w:lvlJc w:val="left"/>
      <w:pPr>
        <w:tabs>
          <w:tab w:pos="4770" w:val="num"/>
        </w:tabs>
        <w:ind w:hanging="360" w:left="4770"/>
      </w:pPr>
      <w:rPr>
        <w:rFonts w:ascii="Wingdings" w:hAnsi="Wingdings" w:hint="default"/>
      </w:rPr>
    </w:lvl>
    <w:lvl w:ilvl="6" w:tentative="1" w:tplc="040C0001">
      <w:start w:val="1"/>
      <w:numFmt w:val="bullet"/>
      <w:lvlText w:val=""/>
      <w:lvlJc w:val="left"/>
      <w:pPr>
        <w:tabs>
          <w:tab w:pos="5490" w:val="num"/>
        </w:tabs>
        <w:ind w:hanging="360" w:left="5490"/>
      </w:pPr>
      <w:rPr>
        <w:rFonts w:ascii="Symbol" w:hAnsi="Symbol" w:hint="default"/>
      </w:rPr>
    </w:lvl>
    <w:lvl w:ilvl="7" w:tentative="1" w:tplc="040C0003">
      <w:start w:val="1"/>
      <w:numFmt w:val="bullet"/>
      <w:lvlText w:val="o"/>
      <w:lvlJc w:val="left"/>
      <w:pPr>
        <w:tabs>
          <w:tab w:pos="6210" w:val="num"/>
        </w:tabs>
        <w:ind w:hanging="360" w:left="6210"/>
      </w:pPr>
      <w:rPr>
        <w:rFonts w:ascii="Courier New" w:cs="Courier New" w:hAnsi="Courier New" w:hint="default"/>
      </w:rPr>
    </w:lvl>
    <w:lvl w:ilvl="8" w:tentative="1" w:tplc="040C0005">
      <w:start w:val="1"/>
      <w:numFmt w:val="bullet"/>
      <w:lvlText w:val=""/>
      <w:lvlJc w:val="left"/>
      <w:pPr>
        <w:tabs>
          <w:tab w:pos="6930" w:val="num"/>
        </w:tabs>
        <w:ind w:hanging="360" w:left="6930"/>
      </w:pPr>
      <w:rPr>
        <w:rFonts w:ascii="Wingdings" w:hAnsi="Wingdings" w:hint="default"/>
      </w:rPr>
    </w:lvl>
  </w:abstractNum>
  <w:abstractNum w15:restartNumberingAfterBreak="0" w:abstractNumId="13">
    <w:nsid w:val="7D9D4587"/>
    <w:multiLevelType w:val="hybridMultilevel"/>
    <w:tmpl w:val="00D2DD0A"/>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2"/>
  </w:num>
  <w:num w:numId="2">
    <w:abstractNumId w:val="9"/>
  </w:num>
  <w:num w:numId="3">
    <w:abstractNumId w:val="1"/>
  </w:num>
  <w:num w:numId="4">
    <w:abstractNumId w:val="13"/>
  </w:num>
  <w:num w:numId="5">
    <w:abstractNumId w:val="6"/>
  </w:num>
  <w:num w:numId="6">
    <w:abstractNumId w:val="10"/>
  </w:num>
  <w:num w:numId="7">
    <w:abstractNumId w:val="7"/>
  </w:num>
  <w:num w:numId="8">
    <w:abstractNumId w:val="0"/>
  </w:num>
  <w:num w:numId="9">
    <w:abstractNumId w:val="2"/>
  </w:num>
  <w:num w:numId="10">
    <w:abstractNumId w:val="8"/>
  </w:num>
  <w:num w:numId="11">
    <w:abstractNumId w:val="4"/>
  </w:num>
  <w:num w:numId="12">
    <w:abstractNumId w:val="3"/>
  </w:num>
  <w:num w:numId="13">
    <w:abstractNumId w:val="11"/>
  </w:num>
  <w:num w:numId="14">
    <w:abstractNumId w:val="5"/>
  </w:num>
  <w:numIdMacAtCleanup w:val="14"/>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3A"/>
    <w:rsid w:val="00001153"/>
    <w:rsid w:val="00002539"/>
    <w:rsid w:val="00012E65"/>
    <w:rsid w:val="00013D97"/>
    <w:rsid w:val="00032983"/>
    <w:rsid w:val="00034056"/>
    <w:rsid w:val="00035364"/>
    <w:rsid w:val="000364D6"/>
    <w:rsid w:val="0004789C"/>
    <w:rsid w:val="00051CE5"/>
    <w:rsid w:val="00052155"/>
    <w:rsid w:val="00063C6C"/>
    <w:rsid w:val="00066464"/>
    <w:rsid w:val="00066CAC"/>
    <w:rsid w:val="000672D2"/>
    <w:rsid w:val="00077AC3"/>
    <w:rsid w:val="00087700"/>
    <w:rsid w:val="0008787D"/>
    <w:rsid w:val="00087FFC"/>
    <w:rsid w:val="00090FB8"/>
    <w:rsid w:val="0009209D"/>
    <w:rsid w:val="000962FD"/>
    <w:rsid w:val="000A0EB4"/>
    <w:rsid w:val="000A0FA9"/>
    <w:rsid w:val="000A7F29"/>
    <w:rsid w:val="000B04B0"/>
    <w:rsid w:val="000B0E2F"/>
    <w:rsid w:val="000B5B9D"/>
    <w:rsid w:val="000C2C5A"/>
    <w:rsid w:val="000D0360"/>
    <w:rsid w:val="000D64DB"/>
    <w:rsid w:val="000F027B"/>
    <w:rsid w:val="000F2ECD"/>
    <w:rsid w:val="001066B5"/>
    <w:rsid w:val="00112EB3"/>
    <w:rsid w:val="001138C3"/>
    <w:rsid w:val="00116097"/>
    <w:rsid w:val="00122810"/>
    <w:rsid w:val="00126310"/>
    <w:rsid w:val="001273F6"/>
    <w:rsid w:val="00131C8D"/>
    <w:rsid w:val="001352D3"/>
    <w:rsid w:val="0014678E"/>
    <w:rsid w:val="00147CA6"/>
    <w:rsid w:val="00151932"/>
    <w:rsid w:val="00151DA6"/>
    <w:rsid w:val="00153F62"/>
    <w:rsid w:val="0015426B"/>
    <w:rsid w:val="0015472F"/>
    <w:rsid w:val="00155FDF"/>
    <w:rsid w:val="0015677B"/>
    <w:rsid w:val="00156CD4"/>
    <w:rsid w:val="00174D9E"/>
    <w:rsid w:val="0017515C"/>
    <w:rsid w:val="00194E44"/>
    <w:rsid w:val="001A315C"/>
    <w:rsid w:val="001B3F7B"/>
    <w:rsid w:val="001C029F"/>
    <w:rsid w:val="001C0619"/>
    <w:rsid w:val="001C3B36"/>
    <w:rsid w:val="001C4316"/>
    <w:rsid w:val="001D4EB9"/>
    <w:rsid w:val="001D523B"/>
    <w:rsid w:val="001D5945"/>
    <w:rsid w:val="001D5C5B"/>
    <w:rsid w:val="001D75C4"/>
    <w:rsid w:val="001D7E41"/>
    <w:rsid w:val="001E3A5E"/>
    <w:rsid w:val="001F3742"/>
    <w:rsid w:val="001F5C80"/>
    <w:rsid w:val="001F6222"/>
    <w:rsid w:val="0020120F"/>
    <w:rsid w:val="00207ADC"/>
    <w:rsid w:val="002132ED"/>
    <w:rsid w:val="00213854"/>
    <w:rsid w:val="0022795C"/>
    <w:rsid w:val="00231E60"/>
    <w:rsid w:val="0023297A"/>
    <w:rsid w:val="00236428"/>
    <w:rsid w:val="00242203"/>
    <w:rsid w:val="00251145"/>
    <w:rsid w:val="00251600"/>
    <w:rsid w:val="00260466"/>
    <w:rsid w:val="002672BD"/>
    <w:rsid w:val="002742F0"/>
    <w:rsid w:val="00275CDF"/>
    <w:rsid w:val="00276100"/>
    <w:rsid w:val="00284173"/>
    <w:rsid w:val="002A46A0"/>
    <w:rsid w:val="002A6524"/>
    <w:rsid w:val="002A6CA1"/>
    <w:rsid w:val="002B0DDB"/>
    <w:rsid w:val="002B5FF0"/>
    <w:rsid w:val="002B69EC"/>
    <w:rsid w:val="002C120F"/>
    <w:rsid w:val="002C1D17"/>
    <w:rsid w:val="002C32DC"/>
    <w:rsid w:val="002C38F9"/>
    <w:rsid w:val="002D4A8A"/>
    <w:rsid w:val="002D590A"/>
    <w:rsid w:val="002D732D"/>
    <w:rsid w:val="002E1EB8"/>
    <w:rsid w:val="002E2CBE"/>
    <w:rsid w:val="002E5DEE"/>
    <w:rsid w:val="002E66A2"/>
    <w:rsid w:val="002F0282"/>
    <w:rsid w:val="002F2D4C"/>
    <w:rsid w:val="002F7000"/>
    <w:rsid w:val="002F75C7"/>
    <w:rsid w:val="00302BCE"/>
    <w:rsid w:val="00320915"/>
    <w:rsid w:val="00323181"/>
    <w:rsid w:val="00325D82"/>
    <w:rsid w:val="00325D9F"/>
    <w:rsid w:val="00333291"/>
    <w:rsid w:val="003334A8"/>
    <w:rsid w:val="00335DC1"/>
    <w:rsid w:val="0033637A"/>
    <w:rsid w:val="003400B7"/>
    <w:rsid w:val="0034728A"/>
    <w:rsid w:val="00347CC7"/>
    <w:rsid w:val="003529C7"/>
    <w:rsid w:val="00357988"/>
    <w:rsid w:val="00375CE7"/>
    <w:rsid w:val="003800B5"/>
    <w:rsid w:val="003860C8"/>
    <w:rsid w:val="0039727D"/>
    <w:rsid w:val="003A3E6D"/>
    <w:rsid w:val="003B396F"/>
    <w:rsid w:val="003B5CEE"/>
    <w:rsid w:val="003B75B7"/>
    <w:rsid w:val="003B7EA9"/>
    <w:rsid w:val="003C1D40"/>
    <w:rsid w:val="003D2C44"/>
    <w:rsid w:val="003D4AF9"/>
    <w:rsid w:val="003D50D9"/>
    <w:rsid w:val="003E31E0"/>
    <w:rsid w:val="003E4598"/>
    <w:rsid w:val="003E61A0"/>
    <w:rsid w:val="003F7A7F"/>
    <w:rsid w:val="00401A85"/>
    <w:rsid w:val="00401AF1"/>
    <w:rsid w:val="00401B06"/>
    <w:rsid w:val="004064D6"/>
    <w:rsid w:val="00412821"/>
    <w:rsid w:val="0041317E"/>
    <w:rsid w:val="00415A68"/>
    <w:rsid w:val="00417800"/>
    <w:rsid w:val="00423715"/>
    <w:rsid w:val="00424659"/>
    <w:rsid w:val="00425A48"/>
    <w:rsid w:val="0042755D"/>
    <w:rsid w:val="004337E8"/>
    <w:rsid w:val="0043684B"/>
    <w:rsid w:val="00464626"/>
    <w:rsid w:val="00465B7B"/>
    <w:rsid w:val="00474276"/>
    <w:rsid w:val="00476074"/>
    <w:rsid w:val="004779E0"/>
    <w:rsid w:val="0048380C"/>
    <w:rsid w:val="0048431C"/>
    <w:rsid w:val="004A3021"/>
    <w:rsid w:val="004B271E"/>
    <w:rsid w:val="004B7053"/>
    <w:rsid w:val="004C61F2"/>
    <w:rsid w:val="004C7091"/>
    <w:rsid w:val="004D6CCD"/>
    <w:rsid w:val="004D7A3B"/>
    <w:rsid w:val="004E00C9"/>
    <w:rsid w:val="004E74CE"/>
    <w:rsid w:val="004F06B9"/>
    <w:rsid w:val="00500826"/>
    <w:rsid w:val="00502859"/>
    <w:rsid w:val="005034A4"/>
    <w:rsid w:val="005139CF"/>
    <w:rsid w:val="00522ACF"/>
    <w:rsid w:val="00526479"/>
    <w:rsid w:val="00531E75"/>
    <w:rsid w:val="00533529"/>
    <w:rsid w:val="00534075"/>
    <w:rsid w:val="005343BF"/>
    <w:rsid w:val="00535CD8"/>
    <w:rsid w:val="00537190"/>
    <w:rsid w:val="0053776A"/>
    <w:rsid w:val="005430A8"/>
    <w:rsid w:val="00544B08"/>
    <w:rsid w:val="00550C57"/>
    <w:rsid w:val="00562631"/>
    <w:rsid w:val="005629BF"/>
    <w:rsid w:val="00565346"/>
    <w:rsid w:val="00565DF4"/>
    <w:rsid w:val="0056630C"/>
    <w:rsid w:val="00574989"/>
    <w:rsid w:val="00580599"/>
    <w:rsid w:val="005817C3"/>
    <w:rsid w:val="00581E01"/>
    <w:rsid w:val="00590CF3"/>
    <w:rsid w:val="00592A0F"/>
    <w:rsid w:val="00594E3D"/>
    <w:rsid w:val="00597265"/>
    <w:rsid w:val="005A56F1"/>
    <w:rsid w:val="005B06E2"/>
    <w:rsid w:val="005C1CE8"/>
    <w:rsid w:val="005C3CEB"/>
    <w:rsid w:val="005D6FB9"/>
    <w:rsid w:val="005E42FE"/>
    <w:rsid w:val="005F2C5C"/>
    <w:rsid w:val="005F4CEB"/>
    <w:rsid w:val="005F53E9"/>
    <w:rsid w:val="00600679"/>
    <w:rsid w:val="00600A21"/>
    <w:rsid w:val="0060713C"/>
    <w:rsid w:val="00613447"/>
    <w:rsid w:val="006134FC"/>
    <w:rsid w:val="00615138"/>
    <w:rsid w:val="00622037"/>
    <w:rsid w:val="00627C74"/>
    <w:rsid w:val="006334ED"/>
    <w:rsid w:val="00633BDA"/>
    <w:rsid w:val="006456BD"/>
    <w:rsid w:val="00651734"/>
    <w:rsid w:val="0065702D"/>
    <w:rsid w:val="0067360A"/>
    <w:rsid w:val="0067792D"/>
    <w:rsid w:val="00691EB7"/>
    <w:rsid w:val="006927A5"/>
    <w:rsid w:val="00694CEE"/>
    <w:rsid w:val="006977D4"/>
    <w:rsid w:val="006A098B"/>
    <w:rsid w:val="006A339C"/>
    <w:rsid w:val="006D09D4"/>
    <w:rsid w:val="006D177F"/>
    <w:rsid w:val="006F33F3"/>
    <w:rsid w:val="006F4545"/>
    <w:rsid w:val="006F5237"/>
    <w:rsid w:val="006F6ED9"/>
    <w:rsid w:val="00706B34"/>
    <w:rsid w:val="00707F5D"/>
    <w:rsid w:val="00712EDC"/>
    <w:rsid w:val="00715590"/>
    <w:rsid w:val="00722EFA"/>
    <w:rsid w:val="007270B6"/>
    <w:rsid w:val="007327A9"/>
    <w:rsid w:val="0073788D"/>
    <w:rsid w:val="00745585"/>
    <w:rsid w:val="00752801"/>
    <w:rsid w:val="0076022F"/>
    <w:rsid w:val="00761F48"/>
    <w:rsid w:val="00785D15"/>
    <w:rsid w:val="007877FB"/>
    <w:rsid w:val="0079215A"/>
    <w:rsid w:val="00797990"/>
    <w:rsid w:val="00797ED8"/>
    <w:rsid w:val="007A3D29"/>
    <w:rsid w:val="007B1106"/>
    <w:rsid w:val="007B3041"/>
    <w:rsid w:val="007B48E0"/>
    <w:rsid w:val="007C0D34"/>
    <w:rsid w:val="007C3A56"/>
    <w:rsid w:val="007C7C13"/>
    <w:rsid w:val="007D4C4D"/>
    <w:rsid w:val="007D6D92"/>
    <w:rsid w:val="007D7B28"/>
    <w:rsid w:val="007E01D6"/>
    <w:rsid w:val="007E1A56"/>
    <w:rsid w:val="007E2D65"/>
    <w:rsid w:val="007F596B"/>
    <w:rsid w:val="0080429C"/>
    <w:rsid w:val="00813CB1"/>
    <w:rsid w:val="008158A0"/>
    <w:rsid w:val="008236CB"/>
    <w:rsid w:val="008242D5"/>
    <w:rsid w:val="00826B6E"/>
    <w:rsid w:val="008405F5"/>
    <w:rsid w:val="00847635"/>
    <w:rsid w:val="008628A8"/>
    <w:rsid w:val="00873924"/>
    <w:rsid w:val="00875E3C"/>
    <w:rsid w:val="008805A4"/>
    <w:rsid w:val="00890E52"/>
    <w:rsid w:val="00891FC0"/>
    <w:rsid w:val="008941CD"/>
    <w:rsid w:val="0089699A"/>
    <w:rsid w:val="008A037A"/>
    <w:rsid w:val="008B0039"/>
    <w:rsid w:val="008B04DD"/>
    <w:rsid w:val="008B5F90"/>
    <w:rsid w:val="008B74EB"/>
    <w:rsid w:val="008C12E2"/>
    <w:rsid w:val="008C4405"/>
    <w:rsid w:val="008D1F22"/>
    <w:rsid w:val="008D23E5"/>
    <w:rsid w:val="008E6769"/>
    <w:rsid w:val="008F1B71"/>
    <w:rsid w:val="00900BF9"/>
    <w:rsid w:val="0090217B"/>
    <w:rsid w:val="00910F28"/>
    <w:rsid w:val="00917639"/>
    <w:rsid w:val="00917C2B"/>
    <w:rsid w:val="009240A5"/>
    <w:rsid w:val="00925740"/>
    <w:rsid w:val="00932E36"/>
    <w:rsid w:val="00933F7B"/>
    <w:rsid w:val="00936BFE"/>
    <w:rsid w:val="00937C0D"/>
    <w:rsid w:val="00952D60"/>
    <w:rsid w:val="00956DCB"/>
    <w:rsid w:val="00957570"/>
    <w:rsid w:val="00957790"/>
    <w:rsid w:val="009609B6"/>
    <w:rsid w:val="009634D9"/>
    <w:rsid w:val="0096394B"/>
    <w:rsid w:val="0096688D"/>
    <w:rsid w:val="00975F33"/>
    <w:rsid w:val="009807FC"/>
    <w:rsid w:val="00980E93"/>
    <w:rsid w:val="0099240E"/>
    <w:rsid w:val="00993C4A"/>
    <w:rsid w:val="00993C7F"/>
    <w:rsid w:val="00995DF8"/>
    <w:rsid w:val="009972C2"/>
    <w:rsid w:val="009A55D0"/>
    <w:rsid w:val="009B3059"/>
    <w:rsid w:val="009B6E2D"/>
    <w:rsid w:val="009C3425"/>
    <w:rsid w:val="009D3A16"/>
    <w:rsid w:val="009D561D"/>
    <w:rsid w:val="009D7BAA"/>
    <w:rsid w:val="009F2706"/>
    <w:rsid w:val="009F3996"/>
    <w:rsid w:val="009F6A1F"/>
    <w:rsid w:val="00A001C8"/>
    <w:rsid w:val="00A07990"/>
    <w:rsid w:val="00A1084A"/>
    <w:rsid w:val="00A21304"/>
    <w:rsid w:val="00A23021"/>
    <w:rsid w:val="00A261DB"/>
    <w:rsid w:val="00A2641B"/>
    <w:rsid w:val="00A27625"/>
    <w:rsid w:val="00A352C2"/>
    <w:rsid w:val="00A443D4"/>
    <w:rsid w:val="00A464BB"/>
    <w:rsid w:val="00A47693"/>
    <w:rsid w:val="00A52B77"/>
    <w:rsid w:val="00A566A4"/>
    <w:rsid w:val="00A57D98"/>
    <w:rsid w:val="00A640E5"/>
    <w:rsid w:val="00A70892"/>
    <w:rsid w:val="00A74E5F"/>
    <w:rsid w:val="00A8349C"/>
    <w:rsid w:val="00A83E3A"/>
    <w:rsid w:val="00A84A7A"/>
    <w:rsid w:val="00A85A3D"/>
    <w:rsid w:val="00A90F21"/>
    <w:rsid w:val="00A94CBF"/>
    <w:rsid w:val="00AA3485"/>
    <w:rsid w:val="00AA7071"/>
    <w:rsid w:val="00AA767E"/>
    <w:rsid w:val="00AB34B5"/>
    <w:rsid w:val="00AB3F71"/>
    <w:rsid w:val="00AC5EB9"/>
    <w:rsid w:val="00AC6B00"/>
    <w:rsid w:val="00AD60AE"/>
    <w:rsid w:val="00AD67BA"/>
    <w:rsid w:val="00AE2E4C"/>
    <w:rsid w:val="00AE34BD"/>
    <w:rsid w:val="00AF0AFA"/>
    <w:rsid w:val="00AF2E29"/>
    <w:rsid w:val="00AF7B9B"/>
    <w:rsid w:val="00B02764"/>
    <w:rsid w:val="00B23091"/>
    <w:rsid w:val="00B35580"/>
    <w:rsid w:val="00B37F77"/>
    <w:rsid w:val="00B52152"/>
    <w:rsid w:val="00B53ABC"/>
    <w:rsid w:val="00B61661"/>
    <w:rsid w:val="00B665DB"/>
    <w:rsid w:val="00B67346"/>
    <w:rsid w:val="00B70713"/>
    <w:rsid w:val="00B71BE3"/>
    <w:rsid w:val="00B767C9"/>
    <w:rsid w:val="00B76ECE"/>
    <w:rsid w:val="00B8550F"/>
    <w:rsid w:val="00B93CE3"/>
    <w:rsid w:val="00B97A1E"/>
    <w:rsid w:val="00BA0B8B"/>
    <w:rsid w:val="00BA47CF"/>
    <w:rsid w:val="00BA5202"/>
    <w:rsid w:val="00BB520B"/>
    <w:rsid w:val="00BC4585"/>
    <w:rsid w:val="00BC7BE4"/>
    <w:rsid w:val="00BC7E9E"/>
    <w:rsid w:val="00BD0048"/>
    <w:rsid w:val="00BD26CC"/>
    <w:rsid w:val="00BD4E50"/>
    <w:rsid w:val="00BE1188"/>
    <w:rsid w:val="00BE15DB"/>
    <w:rsid w:val="00BE1C88"/>
    <w:rsid w:val="00BF301E"/>
    <w:rsid w:val="00BF4020"/>
    <w:rsid w:val="00BF5566"/>
    <w:rsid w:val="00BF6135"/>
    <w:rsid w:val="00C0402B"/>
    <w:rsid w:val="00C055F7"/>
    <w:rsid w:val="00C07AA8"/>
    <w:rsid w:val="00C106C7"/>
    <w:rsid w:val="00C10FCC"/>
    <w:rsid w:val="00C176BE"/>
    <w:rsid w:val="00C24A91"/>
    <w:rsid w:val="00C25AB7"/>
    <w:rsid w:val="00C370C2"/>
    <w:rsid w:val="00C520CD"/>
    <w:rsid w:val="00C527BC"/>
    <w:rsid w:val="00C5494D"/>
    <w:rsid w:val="00C5743A"/>
    <w:rsid w:val="00C62916"/>
    <w:rsid w:val="00C66DEF"/>
    <w:rsid w:val="00C709A5"/>
    <w:rsid w:val="00C7167C"/>
    <w:rsid w:val="00C72826"/>
    <w:rsid w:val="00C73360"/>
    <w:rsid w:val="00C8407D"/>
    <w:rsid w:val="00C85B93"/>
    <w:rsid w:val="00C90708"/>
    <w:rsid w:val="00C91216"/>
    <w:rsid w:val="00C917DA"/>
    <w:rsid w:val="00C94354"/>
    <w:rsid w:val="00CA4D60"/>
    <w:rsid w:val="00CA628B"/>
    <w:rsid w:val="00CA74B3"/>
    <w:rsid w:val="00CB7A7C"/>
    <w:rsid w:val="00CC5D0B"/>
    <w:rsid w:val="00CD145A"/>
    <w:rsid w:val="00CD20EC"/>
    <w:rsid w:val="00CD57D9"/>
    <w:rsid w:val="00CD72A4"/>
    <w:rsid w:val="00CE19E7"/>
    <w:rsid w:val="00CE5658"/>
    <w:rsid w:val="00CF057F"/>
    <w:rsid w:val="00CF1E32"/>
    <w:rsid w:val="00CF4BAA"/>
    <w:rsid w:val="00D05779"/>
    <w:rsid w:val="00D061C8"/>
    <w:rsid w:val="00D27349"/>
    <w:rsid w:val="00D34A33"/>
    <w:rsid w:val="00D4377F"/>
    <w:rsid w:val="00D46F85"/>
    <w:rsid w:val="00D47F70"/>
    <w:rsid w:val="00D66790"/>
    <w:rsid w:val="00D67A03"/>
    <w:rsid w:val="00D7046B"/>
    <w:rsid w:val="00D82A0B"/>
    <w:rsid w:val="00D906BB"/>
    <w:rsid w:val="00DA3E4A"/>
    <w:rsid w:val="00DA438B"/>
    <w:rsid w:val="00DB45A3"/>
    <w:rsid w:val="00DB6075"/>
    <w:rsid w:val="00DB714D"/>
    <w:rsid w:val="00DC04F5"/>
    <w:rsid w:val="00DC0F0B"/>
    <w:rsid w:val="00DC27A6"/>
    <w:rsid w:val="00DC5AF0"/>
    <w:rsid w:val="00DC6062"/>
    <w:rsid w:val="00DC65CF"/>
    <w:rsid w:val="00DC69CA"/>
    <w:rsid w:val="00DD2FCC"/>
    <w:rsid w:val="00DD588C"/>
    <w:rsid w:val="00DD6129"/>
    <w:rsid w:val="00DD6A07"/>
    <w:rsid w:val="00DE0229"/>
    <w:rsid w:val="00DE17D6"/>
    <w:rsid w:val="00DE1F90"/>
    <w:rsid w:val="00DE2F07"/>
    <w:rsid w:val="00DE37BB"/>
    <w:rsid w:val="00DE4F35"/>
    <w:rsid w:val="00DE5566"/>
    <w:rsid w:val="00DE7E9D"/>
    <w:rsid w:val="00DF12BF"/>
    <w:rsid w:val="00DF6D82"/>
    <w:rsid w:val="00DF7C34"/>
    <w:rsid w:val="00E14056"/>
    <w:rsid w:val="00E167D3"/>
    <w:rsid w:val="00E16A21"/>
    <w:rsid w:val="00E24171"/>
    <w:rsid w:val="00E253C5"/>
    <w:rsid w:val="00E2675B"/>
    <w:rsid w:val="00E27D77"/>
    <w:rsid w:val="00E30042"/>
    <w:rsid w:val="00E42A1A"/>
    <w:rsid w:val="00E42CA6"/>
    <w:rsid w:val="00E431C1"/>
    <w:rsid w:val="00E434EA"/>
    <w:rsid w:val="00E53232"/>
    <w:rsid w:val="00E54983"/>
    <w:rsid w:val="00E56D7C"/>
    <w:rsid w:val="00E60AFC"/>
    <w:rsid w:val="00E611B9"/>
    <w:rsid w:val="00E636CC"/>
    <w:rsid w:val="00E77ADE"/>
    <w:rsid w:val="00E805E0"/>
    <w:rsid w:val="00E87D2C"/>
    <w:rsid w:val="00E938FA"/>
    <w:rsid w:val="00E939EC"/>
    <w:rsid w:val="00EA7A21"/>
    <w:rsid w:val="00EB335D"/>
    <w:rsid w:val="00EB3658"/>
    <w:rsid w:val="00EB6D48"/>
    <w:rsid w:val="00EE188F"/>
    <w:rsid w:val="00EE6547"/>
    <w:rsid w:val="00EE7D76"/>
    <w:rsid w:val="00EF318F"/>
    <w:rsid w:val="00EF44DE"/>
    <w:rsid w:val="00F000D3"/>
    <w:rsid w:val="00F00ADA"/>
    <w:rsid w:val="00F01635"/>
    <w:rsid w:val="00F03D8B"/>
    <w:rsid w:val="00F04656"/>
    <w:rsid w:val="00F048B1"/>
    <w:rsid w:val="00F04937"/>
    <w:rsid w:val="00F14391"/>
    <w:rsid w:val="00F14BEF"/>
    <w:rsid w:val="00F153C3"/>
    <w:rsid w:val="00F25327"/>
    <w:rsid w:val="00F31160"/>
    <w:rsid w:val="00F349FA"/>
    <w:rsid w:val="00F41AE9"/>
    <w:rsid w:val="00F420F9"/>
    <w:rsid w:val="00F44CD5"/>
    <w:rsid w:val="00F53101"/>
    <w:rsid w:val="00F55AC7"/>
    <w:rsid w:val="00F66D7F"/>
    <w:rsid w:val="00F719A9"/>
    <w:rsid w:val="00F722DA"/>
    <w:rsid w:val="00F81E2D"/>
    <w:rsid w:val="00F82841"/>
    <w:rsid w:val="00F87F08"/>
    <w:rsid w:val="00F94F0A"/>
    <w:rsid w:val="00FB2B55"/>
    <w:rsid w:val="00FB3282"/>
    <w:rsid w:val="00FB5367"/>
    <w:rsid w:val="00FB6306"/>
    <w:rsid w:val="00FB63BB"/>
    <w:rsid w:val="00FC0735"/>
    <w:rsid w:val="00FC4C3D"/>
    <w:rsid w:val="00FC7A5F"/>
    <w:rsid w:val="00FC7AD5"/>
    <w:rsid w:val="00FD1311"/>
    <w:rsid w:val="00FD6A04"/>
    <w:rsid w:val="00FE3C8B"/>
    <w:rsid w:val="00FE4A68"/>
    <w:rsid w:val="00FE4BCD"/>
    <w:rsid w:val="00FF11B2"/>
    <w:rsid w:val="00FF1D9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2050" v:ext="edit"/>
    <o:shapelayout v:ext="edit">
      <o:idmap data="2" v:ext="edit"/>
    </o:shapelayout>
  </w:shapeDefaults>
  <w:decimalSymbol w:val=","/>
  <w:listSeparator w:val=";"/>
  <w14:docId w14:val="6FF7C1E9"/>
  <w15:chartTrackingRefBased/>
  <w15:docId w15:val="{BBD35019-BBD8-4659-96E0-4065F941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3E3A"/>
    <w:pPr>
      <w:jc w:val="both"/>
    </w:pPr>
    <w:rPr>
      <w:rFonts w:ascii="Arial" w:cs="Arial" w:hAnsi="Arial"/>
      <w:sz w:val="22"/>
      <w:szCs w:val="24"/>
    </w:rPr>
  </w:style>
  <w:style w:styleId="Titre1" w:type="paragraph">
    <w:name w:val="heading 1"/>
    <w:basedOn w:val="Normal"/>
    <w:next w:val="Normal"/>
    <w:link w:val="Titre1Car"/>
    <w:qFormat/>
    <w:rsid w:val="00417800"/>
    <w:pPr>
      <w:keepNext/>
      <w:spacing w:after="60" w:before="240"/>
      <w:outlineLvl w:val="0"/>
    </w:pPr>
    <w:rPr>
      <w:rFonts w:ascii="Calibri Light" w:cs="Times New Roman" w:hAnsi="Calibri Light"/>
      <w:b/>
      <w:bCs/>
      <w:kern w:val="32"/>
      <w:sz w:val="32"/>
      <w:szCs w:val="32"/>
    </w:rPr>
  </w:style>
  <w:style w:styleId="Titre2" w:type="paragraph">
    <w:name w:val="heading 2"/>
    <w:basedOn w:val="Normal"/>
    <w:next w:val="Normal"/>
    <w:qFormat/>
    <w:rsid w:val="00917639"/>
    <w:pPr>
      <w:keepNext/>
      <w:ind w:left="567"/>
      <w:outlineLvl w:val="1"/>
    </w:pPr>
    <w:rPr>
      <w:b/>
      <w:bCs/>
      <w:sz w:val="20"/>
      <w:szCs w:val="20"/>
    </w:rPr>
  </w:style>
  <w:style w:styleId="Titre3" w:type="paragraph">
    <w:name w:val="heading 3"/>
    <w:basedOn w:val="Normal"/>
    <w:next w:val="Normal"/>
    <w:link w:val="Titre3Car"/>
    <w:semiHidden/>
    <w:unhideWhenUsed/>
    <w:qFormat/>
    <w:rsid w:val="00826B6E"/>
    <w:pPr>
      <w:keepNext/>
      <w:spacing w:after="60" w:before="240"/>
      <w:outlineLvl w:val="2"/>
    </w:pPr>
    <w:rPr>
      <w:rFonts w:ascii="Calibri Light" w:cs="Times New Roman" w:hAnsi="Calibri Light"/>
      <w:b/>
      <w:bCs/>
      <w:sz w:val="26"/>
      <w:szCs w:val="26"/>
    </w:rPr>
  </w:style>
  <w:style w:styleId="Titre4" w:type="paragraph">
    <w:name w:val="heading 4"/>
    <w:basedOn w:val="Normal"/>
    <w:next w:val="Normal"/>
    <w:link w:val="Titre4Car"/>
    <w:semiHidden/>
    <w:unhideWhenUsed/>
    <w:qFormat/>
    <w:rsid w:val="00826B6E"/>
    <w:pPr>
      <w:keepNext/>
      <w:spacing w:after="60" w:before="240"/>
      <w:outlineLvl w:val="3"/>
    </w:pPr>
    <w:rPr>
      <w:rFonts w:ascii="Calibri" w:cs="Times New Roman" w:hAnsi="Calibri"/>
      <w:b/>
      <w:bCs/>
      <w:sz w:val="28"/>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rsid w:val="00A83E3A"/>
    <w:pPr>
      <w:tabs>
        <w:tab w:pos="4536" w:val="center"/>
        <w:tab w:pos="9072" w:val="right"/>
      </w:tabs>
    </w:pPr>
  </w:style>
  <w:style w:customStyle="1" w:styleId="texte" w:type="paragraph">
    <w:name w:val="texte"/>
    <w:basedOn w:val="Textebrut"/>
    <w:rsid w:val="00A83E3A"/>
    <w:rPr>
      <w:rFonts w:ascii="Arial" w:cs="Arial" w:eastAsia="MS Mincho" w:hAnsi="Arial"/>
      <w:sz w:val="22"/>
    </w:rPr>
  </w:style>
  <w:style w:styleId="Numrodepage" w:type="character">
    <w:name w:val="page number"/>
    <w:basedOn w:val="Policepardfaut"/>
    <w:rsid w:val="00A83E3A"/>
  </w:style>
  <w:style w:styleId="Textebrut" w:type="paragraph">
    <w:name w:val="Plain Text"/>
    <w:basedOn w:val="Normal"/>
    <w:rsid w:val="00A83E3A"/>
    <w:rPr>
      <w:rFonts w:ascii="Courier New" w:cs="Courier New" w:hAnsi="Courier New"/>
      <w:sz w:val="20"/>
      <w:szCs w:val="20"/>
    </w:rPr>
  </w:style>
  <w:style w:styleId="Lienhypertexte" w:type="character">
    <w:name w:val="Hyperlink"/>
    <w:rsid w:val="00CE5658"/>
    <w:rPr>
      <w:color w:val="0000FF"/>
      <w:u w:val="single"/>
    </w:rPr>
  </w:style>
  <w:style w:styleId="Corpsdetexte" w:type="paragraph">
    <w:name w:val="Body Text"/>
    <w:basedOn w:val="Normal"/>
    <w:rsid w:val="00917639"/>
    <w:pPr>
      <w:jc w:val="left"/>
    </w:pPr>
    <w:rPr>
      <w:szCs w:val="22"/>
    </w:rPr>
  </w:style>
  <w:style w:styleId="Retraitcorpsdetexte3" w:type="paragraph">
    <w:name w:val="Body Text Indent 3"/>
    <w:basedOn w:val="Normal"/>
    <w:rsid w:val="00917639"/>
    <w:pPr>
      <w:tabs>
        <w:tab w:pos="851" w:val="left"/>
      </w:tabs>
      <w:ind w:left="567"/>
    </w:pPr>
    <w:rPr>
      <w:szCs w:val="22"/>
    </w:rPr>
  </w:style>
  <w:style w:styleId="Corpsdetexte3" w:type="paragraph">
    <w:name w:val="Body Text 3"/>
    <w:basedOn w:val="Normal"/>
    <w:rsid w:val="00917639"/>
    <w:rPr>
      <w:b/>
      <w:bCs/>
      <w:szCs w:val="22"/>
    </w:rPr>
  </w:style>
  <w:style w:styleId="Textedebulles" w:type="paragraph">
    <w:name w:val="Balloon Text"/>
    <w:basedOn w:val="Normal"/>
    <w:semiHidden/>
    <w:rsid w:val="009B6E2D"/>
    <w:rPr>
      <w:rFonts w:ascii="Tahoma" w:cs="Tahoma" w:hAnsi="Tahoma"/>
      <w:sz w:val="16"/>
      <w:szCs w:val="16"/>
    </w:rPr>
  </w:style>
  <w:style w:styleId="Pieddepage" w:type="paragraph">
    <w:name w:val="footer"/>
    <w:basedOn w:val="Normal"/>
    <w:rsid w:val="009B6E2D"/>
    <w:pPr>
      <w:tabs>
        <w:tab w:pos="4536" w:val="center"/>
        <w:tab w:pos="9072" w:val="right"/>
      </w:tabs>
    </w:pPr>
  </w:style>
  <w:style w:styleId="Paragraphedeliste" w:type="paragraph">
    <w:name w:val="List Paragraph"/>
    <w:basedOn w:val="Normal"/>
    <w:uiPriority w:val="34"/>
    <w:qFormat/>
    <w:rsid w:val="00581E01"/>
    <w:pPr>
      <w:ind w:left="720"/>
      <w:contextualSpacing/>
      <w:jc w:val="left"/>
    </w:pPr>
    <w:rPr>
      <w:rFonts w:ascii="Times New Roman" w:cs="Times New Roman" w:hAnsi="Times New Roman"/>
      <w:sz w:val="24"/>
    </w:rPr>
  </w:style>
  <w:style w:styleId="Grilledutableau" w:type="table">
    <w:name w:val="Table Grid"/>
    <w:basedOn w:val="TableauNormal"/>
    <w:uiPriority w:val="59"/>
    <w:rsid w:val="001352D3"/>
    <w:pPr>
      <w:widowControl w:val="0"/>
    </w:pPr>
    <w:rPr>
      <w:rFonts w:ascii="Calibri" w:eastAsia="Calibri" w:hAnsi="Calibri"/>
      <w:sz w:val="22"/>
      <w:szCs w:val="22"/>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3Car" w:type="character">
    <w:name w:val="Titre 3 Car"/>
    <w:link w:val="Titre3"/>
    <w:semiHidden/>
    <w:rsid w:val="00826B6E"/>
    <w:rPr>
      <w:rFonts w:ascii="Calibri Light" w:cs="Times New Roman" w:eastAsia="Times New Roman" w:hAnsi="Calibri Light"/>
      <w:b/>
      <w:bCs/>
      <w:sz w:val="26"/>
      <w:szCs w:val="26"/>
    </w:rPr>
  </w:style>
  <w:style w:customStyle="1" w:styleId="Titre4Car" w:type="character">
    <w:name w:val="Titre 4 Car"/>
    <w:link w:val="Titre4"/>
    <w:semiHidden/>
    <w:rsid w:val="00826B6E"/>
    <w:rPr>
      <w:rFonts w:ascii="Calibri" w:cs="Times New Roman" w:eastAsia="Times New Roman" w:hAnsi="Calibri"/>
      <w:b/>
      <w:bCs/>
      <w:sz w:val="28"/>
      <w:szCs w:val="28"/>
    </w:rPr>
  </w:style>
  <w:style w:customStyle="1" w:styleId="e24kjd" w:type="character">
    <w:name w:val="e24kjd"/>
    <w:rsid w:val="00534075"/>
  </w:style>
  <w:style w:customStyle="1" w:styleId="kx21rb" w:type="character">
    <w:name w:val="kx21rb"/>
    <w:rsid w:val="00534075"/>
  </w:style>
  <w:style w:styleId="Marquedecommentaire" w:type="character">
    <w:name w:val="annotation reference"/>
    <w:rsid w:val="00B665DB"/>
    <w:rPr>
      <w:sz w:val="16"/>
      <w:szCs w:val="16"/>
    </w:rPr>
  </w:style>
  <w:style w:styleId="Commentaire" w:type="paragraph">
    <w:name w:val="annotation text"/>
    <w:basedOn w:val="Normal"/>
    <w:link w:val="CommentaireCar"/>
    <w:rsid w:val="00B665DB"/>
    <w:rPr>
      <w:sz w:val="20"/>
      <w:szCs w:val="20"/>
    </w:rPr>
  </w:style>
  <w:style w:customStyle="1" w:styleId="CommentaireCar" w:type="character">
    <w:name w:val="Commentaire Car"/>
    <w:link w:val="Commentaire"/>
    <w:rsid w:val="00B665DB"/>
    <w:rPr>
      <w:rFonts w:ascii="Arial" w:cs="Arial" w:hAnsi="Arial"/>
    </w:rPr>
  </w:style>
  <w:style w:styleId="Objetducommentaire" w:type="paragraph">
    <w:name w:val="annotation subject"/>
    <w:basedOn w:val="Commentaire"/>
    <w:next w:val="Commentaire"/>
    <w:link w:val="ObjetducommentaireCar"/>
    <w:rsid w:val="00B665DB"/>
    <w:rPr>
      <w:b/>
      <w:bCs/>
    </w:rPr>
  </w:style>
  <w:style w:customStyle="1" w:styleId="ObjetducommentaireCar" w:type="character">
    <w:name w:val="Objet du commentaire Car"/>
    <w:link w:val="Objetducommentaire"/>
    <w:rsid w:val="00B665DB"/>
    <w:rPr>
      <w:rFonts w:ascii="Arial" w:cs="Arial" w:hAnsi="Arial"/>
      <w:b/>
      <w:bCs/>
    </w:rPr>
  </w:style>
  <w:style w:styleId="NormalWeb" w:type="paragraph">
    <w:name w:val="Normal (Web)"/>
    <w:basedOn w:val="Normal"/>
    <w:uiPriority w:val="99"/>
    <w:unhideWhenUsed/>
    <w:rsid w:val="00B665DB"/>
    <w:pPr>
      <w:spacing w:after="100" w:afterAutospacing="1" w:before="100" w:beforeAutospacing="1"/>
      <w:jc w:val="left"/>
    </w:pPr>
    <w:rPr>
      <w:rFonts w:ascii="Times New Roman" w:cs="Times New Roman" w:hAnsi="Times New Roman"/>
      <w:sz w:val="24"/>
    </w:rPr>
  </w:style>
  <w:style w:customStyle="1" w:styleId="txtbold" w:type="character">
    <w:name w:val="txtbold"/>
    <w:basedOn w:val="Policepardfaut"/>
    <w:rsid w:val="00E611B9"/>
  </w:style>
  <w:style w:styleId="Mentionnonrsolue" w:type="character">
    <w:name w:val="Unresolved Mention"/>
    <w:uiPriority w:val="99"/>
    <w:semiHidden/>
    <w:unhideWhenUsed/>
    <w:rsid w:val="002A46A0"/>
    <w:rPr>
      <w:color w:val="605E5C"/>
      <w:shd w:color="auto" w:fill="E1DFDD" w:val="clear"/>
    </w:rPr>
  </w:style>
  <w:style w:styleId="Lienhypertextesuivivisit" w:type="character">
    <w:name w:val="FollowedHyperlink"/>
    <w:rsid w:val="002A46A0"/>
    <w:rPr>
      <w:color w:val="954F72"/>
      <w:u w:val="single"/>
    </w:rPr>
  </w:style>
  <w:style w:customStyle="1" w:styleId="Titre1Car" w:type="character">
    <w:name w:val="Titre 1 Car"/>
    <w:link w:val="Titre1"/>
    <w:rsid w:val="00417800"/>
    <w:rPr>
      <w:rFonts w:ascii="Calibri Light" w:cs="Times New Roman" w:eastAsia="Times New Roman" w:hAnsi="Calibri Light"/>
      <w:b/>
      <w:bCs/>
      <w:kern w:val="32"/>
      <w:sz w:val="32"/>
      <w:szCs w:val="32"/>
    </w:rPr>
  </w:style>
  <w:style w:customStyle="1" w:styleId="Adresse" w:type="paragraph">
    <w:name w:val="Adresse"/>
    <w:uiPriority w:val="99"/>
    <w:rsid w:val="007E1A56"/>
    <w:pPr>
      <w:ind w:left="5103"/>
    </w:pPr>
    <w:rPr>
      <w:rFonts w:ascii="Arial" w:cs="Arial" w:hAnsi="Arial"/>
      <w:sz w:val="24"/>
      <w:szCs w:val="24"/>
    </w:rPr>
  </w:style>
  <w:style w:customStyle="1" w:styleId="Aucunstyle" w:type="paragraph">
    <w:name w:val="[Aucun style]"/>
    <w:rsid w:val="007E1A56"/>
    <w:pPr>
      <w:autoSpaceDE w:val="0"/>
      <w:autoSpaceDN w:val="0"/>
      <w:adjustRightInd w:val="0"/>
      <w:spacing w:line="288" w:lineRule="auto"/>
      <w:textAlignment w:val="center"/>
    </w:pPr>
    <w:rPr>
      <w:rFonts w:ascii="Times Regular" w:cs="Times Regular" w:eastAsia="Calibri" w:hAnsi="Times Regular"/>
      <w:color w:val="000000"/>
      <w:sz w:val="24"/>
      <w:szCs w:val="24"/>
      <w:lang w:eastAsia="en-US"/>
    </w:rPr>
  </w:style>
  <w:style w:styleId="Rvision" w:type="paragraph">
    <w:name w:val="Revision"/>
    <w:hidden/>
    <w:uiPriority w:val="99"/>
    <w:semiHidden/>
    <w:rsid w:val="00600A21"/>
    <w:rPr>
      <w:rFonts w:ascii="Arial" w:cs="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3527">
      <w:bodyDiv w:val="1"/>
      <w:marLeft w:val="0"/>
      <w:marRight w:val="0"/>
      <w:marTop w:val="0"/>
      <w:marBottom w:val="0"/>
      <w:divBdr>
        <w:top w:val="none" w:sz="0" w:space="0" w:color="auto"/>
        <w:left w:val="none" w:sz="0" w:space="0" w:color="auto"/>
        <w:bottom w:val="none" w:sz="0" w:space="0" w:color="auto"/>
        <w:right w:val="none" w:sz="0" w:space="0" w:color="auto"/>
      </w:divBdr>
    </w:div>
    <w:div w:id="588513802">
      <w:bodyDiv w:val="1"/>
      <w:marLeft w:val="0"/>
      <w:marRight w:val="0"/>
      <w:marTop w:val="0"/>
      <w:marBottom w:val="0"/>
      <w:divBdr>
        <w:top w:val="none" w:sz="0" w:space="0" w:color="auto"/>
        <w:left w:val="none" w:sz="0" w:space="0" w:color="auto"/>
        <w:bottom w:val="none" w:sz="0" w:space="0" w:color="auto"/>
        <w:right w:val="none" w:sz="0" w:space="0" w:color="auto"/>
      </w:divBdr>
      <w:divsChild>
        <w:div w:id="1613588239">
          <w:marLeft w:val="547"/>
          <w:marRight w:val="0"/>
          <w:marTop w:val="0"/>
          <w:marBottom w:val="0"/>
          <w:divBdr>
            <w:top w:val="none" w:sz="0" w:space="0" w:color="auto"/>
            <w:left w:val="none" w:sz="0" w:space="0" w:color="auto"/>
            <w:bottom w:val="none" w:sz="0" w:space="0" w:color="auto"/>
            <w:right w:val="none" w:sz="0" w:space="0" w:color="auto"/>
          </w:divBdr>
        </w:div>
        <w:div w:id="788939311">
          <w:marLeft w:val="1166"/>
          <w:marRight w:val="0"/>
          <w:marTop w:val="0"/>
          <w:marBottom w:val="0"/>
          <w:divBdr>
            <w:top w:val="none" w:sz="0" w:space="0" w:color="auto"/>
            <w:left w:val="none" w:sz="0" w:space="0" w:color="auto"/>
            <w:bottom w:val="none" w:sz="0" w:space="0" w:color="auto"/>
            <w:right w:val="none" w:sz="0" w:space="0" w:color="auto"/>
          </w:divBdr>
        </w:div>
        <w:div w:id="532153335">
          <w:marLeft w:val="1166"/>
          <w:marRight w:val="0"/>
          <w:marTop w:val="0"/>
          <w:marBottom w:val="0"/>
          <w:divBdr>
            <w:top w:val="none" w:sz="0" w:space="0" w:color="auto"/>
            <w:left w:val="none" w:sz="0" w:space="0" w:color="auto"/>
            <w:bottom w:val="none" w:sz="0" w:space="0" w:color="auto"/>
            <w:right w:val="none" w:sz="0" w:space="0" w:color="auto"/>
          </w:divBdr>
        </w:div>
      </w:divsChild>
    </w:div>
    <w:div w:id="857281840">
      <w:bodyDiv w:val="1"/>
      <w:marLeft w:val="0"/>
      <w:marRight w:val="0"/>
      <w:marTop w:val="0"/>
      <w:marBottom w:val="0"/>
      <w:divBdr>
        <w:top w:val="none" w:sz="0" w:space="0" w:color="auto"/>
        <w:left w:val="none" w:sz="0" w:space="0" w:color="auto"/>
        <w:bottom w:val="none" w:sz="0" w:space="0" w:color="auto"/>
        <w:right w:val="none" w:sz="0" w:space="0" w:color="auto"/>
      </w:divBdr>
    </w:div>
    <w:div w:id="1241332564">
      <w:bodyDiv w:val="1"/>
      <w:marLeft w:val="0"/>
      <w:marRight w:val="0"/>
      <w:marTop w:val="0"/>
      <w:marBottom w:val="0"/>
      <w:divBdr>
        <w:top w:val="none" w:sz="0" w:space="0" w:color="auto"/>
        <w:left w:val="none" w:sz="0" w:space="0" w:color="auto"/>
        <w:bottom w:val="none" w:sz="0" w:space="0" w:color="auto"/>
        <w:right w:val="none" w:sz="0" w:space="0" w:color="auto"/>
      </w:divBdr>
      <w:divsChild>
        <w:div w:id="1229075555">
          <w:marLeft w:val="547"/>
          <w:marRight w:val="0"/>
          <w:marTop w:val="0"/>
          <w:marBottom w:val="0"/>
          <w:divBdr>
            <w:top w:val="none" w:sz="0" w:space="0" w:color="auto"/>
            <w:left w:val="none" w:sz="0" w:space="0" w:color="auto"/>
            <w:bottom w:val="none" w:sz="0" w:space="0" w:color="auto"/>
            <w:right w:val="none" w:sz="0" w:space="0" w:color="auto"/>
          </w:divBdr>
        </w:div>
      </w:divsChild>
    </w:div>
    <w:div w:id="1422677112">
      <w:bodyDiv w:val="1"/>
      <w:marLeft w:val="0"/>
      <w:marRight w:val="0"/>
      <w:marTop w:val="0"/>
      <w:marBottom w:val="0"/>
      <w:divBdr>
        <w:top w:val="none" w:sz="0" w:space="0" w:color="auto"/>
        <w:left w:val="none" w:sz="0" w:space="0" w:color="auto"/>
        <w:bottom w:val="none" w:sz="0" w:space="0" w:color="auto"/>
        <w:right w:val="none" w:sz="0" w:space="0" w:color="auto"/>
      </w:divBdr>
    </w:div>
    <w:div w:id="1532568373">
      <w:bodyDiv w:val="1"/>
      <w:marLeft w:val="0"/>
      <w:marRight w:val="0"/>
      <w:marTop w:val="0"/>
      <w:marBottom w:val="0"/>
      <w:divBdr>
        <w:top w:val="none" w:sz="0" w:space="0" w:color="auto"/>
        <w:left w:val="none" w:sz="0" w:space="0" w:color="auto"/>
        <w:bottom w:val="none" w:sz="0" w:space="0" w:color="auto"/>
        <w:right w:val="none" w:sz="0" w:space="0" w:color="auto"/>
      </w:divBdr>
      <w:divsChild>
        <w:div w:id="995375843">
          <w:marLeft w:val="547"/>
          <w:marRight w:val="0"/>
          <w:marTop w:val="0"/>
          <w:marBottom w:val="0"/>
          <w:divBdr>
            <w:top w:val="none" w:sz="0" w:space="0" w:color="auto"/>
            <w:left w:val="none" w:sz="0" w:space="0" w:color="auto"/>
            <w:bottom w:val="none" w:sz="0" w:space="0" w:color="auto"/>
            <w:right w:val="none" w:sz="0" w:space="0" w:color="auto"/>
          </w:divBdr>
        </w:div>
        <w:div w:id="1043674106">
          <w:marLeft w:val="1166"/>
          <w:marRight w:val="0"/>
          <w:marTop w:val="0"/>
          <w:marBottom w:val="0"/>
          <w:divBdr>
            <w:top w:val="none" w:sz="0" w:space="0" w:color="auto"/>
            <w:left w:val="none" w:sz="0" w:space="0" w:color="auto"/>
            <w:bottom w:val="none" w:sz="0" w:space="0" w:color="auto"/>
            <w:right w:val="none" w:sz="0" w:space="0" w:color="auto"/>
          </w:divBdr>
        </w:div>
        <w:div w:id="58359094">
          <w:marLeft w:val="1166"/>
          <w:marRight w:val="0"/>
          <w:marTop w:val="0"/>
          <w:marBottom w:val="0"/>
          <w:divBdr>
            <w:top w:val="none" w:sz="0" w:space="0" w:color="auto"/>
            <w:left w:val="none" w:sz="0" w:space="0" w:color="auto"/>
            <w:bottom w:val="none" w:sz="0" w:space="0" w:color="auto"/>
            <w:right w:val="none" w:sz="0" w:space="0" w:color="auto"/>
          </w:divBdr>
        </w:div>
        <w:div w:id="210864717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header2.xml" Type="http://schemas.openxmlformats.org/officeDocument/2006/relationships/header"/><Relationship Id="rId14" Target="footer1.xml" Type="http://schemas.openxmlformats.org/officeDocument/2006/relationships/footer"/><Relationship Id="rId15" Target="footer2.xml" Type="http://schemas.openxmlformats.org/officeDocument/2006/relationships/footer"/><Relationship Id="rId16" Target="header3.xml" Type="http://schemas.openxmlformats.org/officeDocument/2006/relationships/header"/><Relationship Id="rId17" Target="footer3.xml" Type="http://schemas.openxmlformats.org/officeDocument/2006/relationships/footer"/><Relationship Id="rId18" Target="fontTable.xml" Type="http://schemas.openxmlformats.org/officeDocument/2006/relationships/fontTable"/><Relationship Id="rId19"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mso-contentType ?>
<SharedContentType xmlns="Microsoft.SharePoint.Taxonomy.ContentTypeSync" SourceId="3bf472f7-a010-4b5a-bb99-a26ed4c99680"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21BD50028D2243A71299E9C6756FA5" ma:contentTypeVersion="13" ma:contentTypeDescription="Create a new document." ma:contentTypeScope="" ma:versionID="d8b88808e6ff61475b380d3696ac7393">
  <xsd:schema xmlns:xsd="http://www.w3.org/2001/XMLSchema" xmlns:xs="http://www.w3.org/2001/XMLSchema" xmlns:p="http://schemas.microsoft.com/office/2006/metadata/properties" xmlns:ns3="87037488-ec5d-4aba-84c2-9b1d22638e8e" xmlns:ns4="1059e9b3-e546-431c-9b2d-8e528a859fdd" xmlns:ns5="4b2fe8df-a676-4adf-8fbf-07525a6185b0" targetNamespace="http://schemas.microsoft.com/office/2006/metadata/properties" ma:root="true" ma:fieldsID="d39d160687f71e3d978ed1aaed62ac15" ns3:_="" ns4:_="" ns5:_="">
    <xsd:import namespace="87037488-ec5d-4aba-84c2-9b1d22638e8e"/>
    <xsd:import namespace="1059e9b3-e546-431c-9b2d-8e528a859fdd"/>
    <xsd:import namespace="4b2fe8df-a676-4adf-8fbf-07525a6185b0"/>
    <xsd:element name="properties">
      <xsd:complexType>
        <xsd:sequence>
          <xsd:element name="documentManagement">
            <xsd:complexType>
              <xsd:all>
                <xsd:element ref="ns3:b1b820adfd3e4a078472514c1a5cb5ff" minOccurs="0"/>
                <xsd:element ref="ns3:TaxCatchAll" minOccurs="0"/>
                <xsd:element ref="ns3:TaxCatchAllLabel"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5:SharedWithUsers" minOccurs="0"/>
                <xsd:element ref="ns5:SharedWithDetails" minOccurs="0"/>
                <xsd:element ref="ns5:SharingHintHash"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37488-ec5d-4aba-84c2-9b1d22638e8e" elementFormDefault="qualified">
    <xsd:import namespace="http://schemas.microsoft.com/office/2006/documentManagement/types"/>
    <xsd:import namespace="http://schemas.microsoft.com/office/infopath/2007/PartnerControls"/>
    <xsd:element name="b1b820adfd3e4a078472514c1a5cb5ff" ma:index="8" nillable="true" ma:taxonomy="true" ma:internalName="b1b820adfd3e4a078472514c1a5cb5ff" ma:taxonomyFieldName="Security_x0020_Classification" ma:displayName="Security Classification" ma:default="" ma:fieldId="{b1b820ad-fd3e-4a07-8472-514c1a5cb5ff}" ma:sspId="3bf472f7-a010-4b5a-bb99-a26ed4c99680" ma:termSetId="0c0ba91f-ee81-4a79-83f6-c19eebf2f16f"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a3161948-976a-4bb3-8c95-a5fcadf914f6}" ma:internalName="TaxCatchAll" ma:showField="CatchAllData" ma:web="4b2fe8df-a676-4adf-8fbf-07525a6185b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3161948-976a-4bb3-8c95-a5fcadf914f6}" ma:internalName="TaxCatchAllLabel" ma:readOnly="true" ma:showField="CatchAllDataLabel" ma:web="4b2fe8df-a676-4adf-8fbf-07525a6185b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059e9b3-e546-431c-9b2d-8e528a859fdd"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2fe8df-a676-4adf-8fbf-07525a6185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1b820adfd3e4a078472514c1a5cb5ff xmlns="87037488-ec5d-4aba-84c2-9b1d22638e8e">
      <Terms xmlns="http://schemas.microsoft.com/office/infopath/2007/PartnerControls"/>
    </b1b820adfd3e4a078472514c1a5cb5ff>
    <TaxCatchAll xmlns="87037488-ec5d-4aba-84c2-9b1d22638e8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30E9-BB9A-4F32-BA1E-C8F02889EC54}">
  <ds:schemaRefs>
    <ds:schemaRef ds:uri="Microsoft.SharePoint.Taxonomy.ContentTypeSync"/>
  </ds:schemaRefs>
</ds:datastoreItem>
</file>

<file path=customXml/itemProps2.xml><?xml version="1.0" encoding="utf-8"?>
<ds:datastoreItem xmlns:ds="http://schemas.openxmlformats.org/officeDocument/2006/customXml" ds:itemID="{BA633689-F8C7-4A1C-A08D-75C95F0729E8}">
  <ds:schemaRefs>
    <ds:schemaRef ds:uri="http://schemas.microsoft.com/sharepoint/v3/contenttype/forms"/>
  </ds:schemaRefs>
</ds:datastoreItem>
</file>

<file path=customXml/itemProps3.xml><?xml version="1.0" encoding="utf-8"?>
<ds:datastoreItem xmlns:ds="http://schemas.openxmlformats.org/officeDocument/2006/customXml" ds:itemID="{4D2A6F22-E6AA-4CD2-8BF0-B39CEBE29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37488-ec5d-4aba-84c2-9b1d22638e8e"/>
    <ds:schemaRef ds:uri="1059e9b3-e546-431c-9b2d-8e528a859fdd"/>
    <ds:schemaRef ds:uri="4b2fe8df-a676-4adf-8fbf-07525a618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A1F45-1F9B-42A2-ADE8-1D2227A9227E}">
  <ds:schemaRefs>
    <ds:schemaRef ds:uri="http://schemas.microsoft.com/office/2006/metadata/properties"/>
    <ds:schemaRef ds:uri="http://schemas.microsoft.com/office/infopath/2007/PartnerControls"/>
    <ds:schemaRef ds:uri="87037488-ec5d-4aba-84c2-9b1d22638e8e"/>
  </ds:schemaRefs>
</ds:datastoreItem>
</file>

<file path=customXml/itemProps5.xml><?xml version="1.0" encoding="utf-8"?>
<ds:datastoreItem xmlns:ds="http://schemas.openxmlformats.org/officeDocument/2006/customXml" ds:itemID="{0CE2441C-35C2-414A-97F8-659FC339C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3093</Words>
  <Characters>16936</Characters>
  <Application>Microsoft Office Word</Application>
  <DocSecurity>0</DocSecurity>
  <Lines>141</Lines>
  <Paragraphs>39</Paragraphs>
  <ScaleCrop>false</ScaleCrop>
  <HeadingPairs>
    <vt:vector baseType="variant" size="2">
      <vt:variant>
        <vt:lpstr>Titre</vt:lpstr>
      </vt:variant>
      <vt:variant>
        <vt:i4>1</vt:i4>
      </vt:variant>
    </vt:vector>
  </HeadingPairs>
  <TitlesOfParts>
    <vt:vector baseType="lpstr" size="1">
      <vt:lpstr>Entre :</vt:lpstr>
    </vt:vector>
  </TitlesOfParts>
  <Company>INEO</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2022-02-04T14:05:00Z</dcterms:created>
  <cp:lastPrinted>2022-01-17T10:28:00Z</cp:lastPrinted>
  <dcterms:modified xsi:type="dcterms:W3CDTF">2022-02-04T14:08:00Z</dcterms:modified>
  <cp:revision>3</cp:revision>
  <dc:title>Entre :</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0x0101000A21BD50028D2243A71299E9C6756FA5</vt:lpwstr>
  </property>
  <property fmtid="{D5CDD505-2E9C-101B-9397-08002B2CF9AE}" name="MSIP_Label_c135c4ba-2280-41f8-be7d-6f21d368baa3_Enabled" pid="3">
    <vt:lpwstr>true</vt:lpwstr>
  </property>
  <property fmtid="{D5CDD505-2E9C-101B-9397-08002B2CF9AE}" name="MSIP_Label_c135c4ba-2280-41f8-be7d-6f21d368baa3_SetDate" pid="4">
    <vt:lpwstr>2021-10-26T12:51:26Z</vt:lpwstr>
  </property>
  <property fmtid="{D5CDD505-2E9C-101B-9397-08002B2CF9AE}" name="MSIP_Label_c135c4ba-2280-41f8-be7d-6f21d368baa3_Method" pid="5">
    <vt:lpwstr>Standard</vt:lpwstr>
  </property>
  <property fmtid="{D5CDD505-2E9C-101B-9397-08002B2CF9AE}" name="MSIP_Label_c135c4ba-2280-41f8-be7d-6f21d368baa3_Name" pid="6">
    <vt:lpwstr>c135c4ba-2280-41f8-be7d-6f21d368baa3</vt:lpwstr>
  </property>
  <property fmtid="{D5CDD505-2E9C-101B-9397-08002B2CF9AE}" name="MSIP_Label_c135c4ba-2280-41f8-be7d-6f21d368baa3_SiteId" pid="7">
    <vt:lpwstr>24139d14-c62c-4c47-8bdd-ce71ea1d50cf</vt:lpwstr>
  </property>
  <property fmtid="{D5CDD505-2E9C-101B-9397-08002B2CF9AE}" name="MSIP_Label_c135c4ba-2280-41f8-be7d-6f21d368baa3_ActionId" pid="8">
    <vt:lpwstr>d7d144cf-1fe0-4e93-9d30-782a6f845b7b</vt:lpwstr>
  </property>
  <property fmtid="{D5CDD505-2E9C-101B-9397-08002B2CF9AE}" name="MSIP_Label_c135c4ba-2280-41f8-be7d-6f21d368baa3_ContentBits" pid="9">
    <vt:lpwstr>0</vt:lpwstr>
  </property>
</Properties>
</file>