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32E1374B" w14:textId="3A174A5D" w:rsidP="001F4DA4" w:rsidR="00592BB0" w:rsidRDefault="00592BB0" w:rsidRPr="0090748E">
      <w:pPr>
        <w:pStyle w:val="Titre"/>
        <w:pBdr>
          <w:bottom w:color="auto" w:space="1" w:sz="6" w:val="single"/>
        </w:pBdr>
        <w:spacing w:before="120"/>
        <w:rPr>
          <w:sz w:val="72"/>
          <w:szCs w:val="72"/>
        </w:rPr>
      </w:pPr>
      <w:r w:rsidRPr="0090748E">
        <w:rPr>
          <w:sz w:val="72"/>
          <w:szCs w:val="72"/>
        </w:rPr>
        <w:t xml:space="preserve">Accord salarial </w:t>
      </w:r>
      <w:r w:rsidR="00FD238E" w:rsidRPr="0090748E">
        <w:rPr>
          <w:sz w:val="72"/>
          <w:szCs w:val="72"/>
        </w:rPr>
        <w:t>2022</w:t>
      </w:r>
    </w:p>
    <w:p w14:paraId="051306ED" w14:textId="77777777" w:rsidP="001F4DA4" w:rsidR="005C2BC6" w:rsidRDefault="00592BB0" w:rsidRPr="0090748E">
      <w:pPr>
        <w:pStyle w:val="Titre"/>
        <w:pBdr>
          <w:bottom w:color="auto" w:space="1" w:sz="6" w:val="single"/>
        </w:pBdr>
        <w:spacing w:before="120"/>
        <w:rPr>
          <w:sz w:val="72"/>
          <w:szCs w:val="72"/>
        </w:rPr>
      </w:pPr>
      <w:r w:rsidRPr="0090748E">
        <w:rPr>
          <w:sz w:val="72"/>
          <w:szCs w:val="72"/>
        </w:rPr>
        <w:t>Saft SAS</w:t>
      </w:r>
    </w:p>
    <w:p w14:paraId="45FD5AEF" w14:textId="77777777" w:rsidP="00A3740C" w:rsidR="008D3FC0" w:rsidRDefault="008D3FC0">
      <w:pPr>
        <w:pStyle w:val="Sansinterligne"/>
        <w:spacing w:after="40"/>
        <w:jc w:val="both"/>
        <w:rPr>
          <w:rFonts w:cstheme="minorHAnsi"/>
        </w:rPr>
      </w:pPr>
    </w:p>
    <w:p w14:paraId="23965C71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Entre la société Saft SAS, </w:t>
      </w:r>
    </w:p>
    <w:p w14:paraId="5A6517D1" w14:textId="019E8862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Représentée par </w:t>
      </w:r>
      <w:r w:rsidR="0052583D">
        <w:rPr>
          <w:rFonts w:cstheme="minorHAnsi"/>
        </w:rPr>
        <w:t>xxxxxxxx</w:t>
      </w:r>
      <w:r w:rsidRPr="00F41127">
        <w:rPr>
          <w:rFonts w:cstheme="minorHAnsi"/>
        </w:rPr>
        <w:t xml:space="preserve">, </w:t>
      </w:r>
    </w:p>
    <w:p w14:paraId="734F92AD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Agissant en qualité de Directeur des Ressources Humaines</w:t>
      </w:r>
    </w:p>
    <w:p w14:paraId="4EBAEA50" w14:textId="77777777" w:rsidP="008D3FC0" w:rsidR="00A3740C" w:rsidRDefault="00A3740C" w:rsidRPr="00F41127">
      <w:pPr>
        <w:pStyle w:val="Sansinterligne"/>
        <w:spacing w:before="40"/>
        <w:jc w:val="right"/>
        <w:rPr>
          <w:rFonts w:cstheme="minorHAnsi"/>
        </w:rPr>
      </w:pPr>
      <w:r w:rsidRPr="00F41127">
        <w:rPr>
          <w:rFonts w:cstheme="minorHAnsi"/>
        </w:rPr>
        <w:t>D'une part,</w:t>
      </w:r>
    </w:p>
    <w:p w14:paraId="73BBD574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Et</w:t>
      </w:r>
    </w:p>
    <w:p w14:paraId="07F8AD8B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Les Organisations Syndicales représentatives</w:t>
      </w:r>
    </w:p>
    <w:p w14:paraId="6A265E46" w14:textId="105DFDA2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CFDT, représentée par </w:t>
      </w:r>
      <w:r w:rsidR="0052583D">
        <w:rPr>
          <w:rFonts w:cstheme="minorHAnsi"/>
        </w:rPr>
        <w:t>xxxxxxxx</w:t>
      </w:r>
      <w:r w:rsidRPr="00F41127">
        <w:rPr>
          <w:rFonts w:cstheme="minorHAnsi"/>
        </w:rPr>
        <w:t>, délégué syndical central</w:t>
      </w:r>
    </w:p>
    <w:p w14:paraId="5CFB86C8" w14:textId="75C2D8FA" w:rsidP="008D3FC0" w:rsidR="00A3740C" w:rsidRDefault="00A3740C" w:rsidRPr="00CE3170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CFE-CGC, représentée par </w:t>
      </w:r>
      <w:r w:rsidR="0052583D">
        <w:rPr>
          <w:rFonts w:cstheme="minorHAnsi"/>
        </w:rPr>
        <w:t>xxxxxxxx</w:t>
      </w:r>
      <w:r w:rsidRPr="00CE3170">
        <w:rPr>
          <w:rFonts w:cstheme="minorHAnsi"/>
        </w:rPr>
        <w:t>, délégué syndical central</w:t>
      </w:r>
    </w:p>
    <w:p w14:paraId="386EA151" w14:textId="70896196" w:rsidP="00FD51FD" w:rsidR="00FD51FD" w:rsidRDefault="00FD51FD" w:rsidRPr="00F41127">
      <w:pPr>
        <w:pStyle w:val="Sansinterligne"/>
        <w:spacing w:before="40"/>
        <w:jc w:val="both"/>
        <w:rPr>
          <w:rFonts w:cstheme="minorHAnsi"/>
        </w:rPr>
      </w:pPr>
      <w:r w:rsidRPr="00CE3170">
        <w:rPr>
          <w:rFonts w:cstheme="minorHAnsi"/>
        </w:rPr>
        <w:t xml:space="preserve">CGT, représentée par </w:t>
      </w:r>
      <w:r w:rsidR="0052583D">
        <w:rPr>
          <w:rFonts w:cstheme="minorHAnsi"/>
        </w:rPr>
        <w:t>xxxxxxxx</w:t>
      </w:r>
      <w:r w:rsidRPr="00CE3170">
        <w:rPr>
          <w:rFonts w:cstheme="minorHAnsi"/>
        </w:rPr>
        <w:t>, délégué</w:t>
      </w:r>
      <w:r w:rsidRPr="00F41127">
        <w:rPr>
          <w:rFonts w:cstheme="minorHAnsi"/>
        </w:rPr>
        <w:t xml:space="preserve"> syndical central</w:t>
      </w:r>
    </w:p>
    <w:p w14:paraId="072F612B" w14:textId="77777777" w:rsidP="008D3FC0" w:rsidR="00FD51FD" w:rsidRDefault="00FD51FD" w:rsidRPr="00F41127">
      <w:pPr>
        <w:pStyle w:val="Sansinterligne"/>
        <w:spacing w:before="40"/>
        <w:jc w:val="both"/>
        <w:rPr>
          <w:rFonts w:cstheme="minorHAnsi"/>
        </w:rPr>
      </w:pPr>
    </w:p>
    <w:p w14:paraId="3FAF5FB3" w14:textId="77777777" w:rsidP="008D3FC0" w:rsidR="00A3740C" w:rsidRDefault="00A3740C" w:rsidRPr="00F41127">
      <w:pPr>
        <w:pStyle w:val="Sansinterligne"/>
        <w:spacing w:before="40"/>
        <w:jc w:val="right"/>
        <w:rPr>
          <w:rFonts w:cstheme="minorHAnsi"/>
        </w:rPr>
      </w:pPr>
      <w:r w:rsidRPr="00F41127">
        <w:rPr>
          <w:rFonts w:cstheme="minorHAnsi"/>
        </w:rPr>
        <w:t xml:space="preserve">D'autre part ; </w:t>
      </w:r>
    </w:p>
    <w:p w14:paraId="45F72EE4" w14:textId="77777777" w:rsidP="008D3FC0" w:rsidR="00A3740C" w:rsidRDefault="00A3740C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Il a été convenu et arrêté ce qui suit,</w:t>
      </w:r>
    </w:p>
    <w:p w14:paraId="36CECB01" w14:textId="77777777" w:rsidP="008D3FC0" w:rsidR="00A3740C" w:rsidRDefault="00A3740C">
      <w:pPr>
        <w:pStyle w:val="Sansinterligne"/>
        <w:spacing w:before="40"/>
        <w:jc w:val="both"/>
        <w:rPr>
          <w:rFonts w:cstheme="minorHAnsi"/>
        </w:rPr>
      </w:pPr>
    </w:p>
    <w:sdt>
      <w:sdt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  <w:id w:val="1615408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EA79A" w14:textId="77777777" w:rsidR="001F02DC" w:rsidRDefault="001F02DC" w:rsidRPr="0090748E">
          <w:pPr>
            <w:pStyle w:val="En-ttedetabledesmatires"/>
            <w:rPr>
              <w:b/>
              <w:color w:val="FF0000"/>
              <w:sz w:val="22"/>
            </w:rPr>
          </w:pPr>
          <w:r w:rsidRPr="0090748E">
            <w:rPr>
              <w:b/>
              <w:color w:val="FF0000"/>
              <w:sz w:val="22"/>
            </w:rPr>
            <w:t>SOMMAIRE</w:t>
          </w:r>
        </w:p>
        <w:p w14:paraId="5E785EC5" w14:textId="0D71B5CF" w:rsidR="00CB71B5" w:rsidRDefault="001F02DC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r w:rsidRPr="0090748E">
            <w:fldChar w:fldCharType="begin"/>
          </w:r>
          <w:r w:rsidRPr="0090748E">
            <w:instrText xml:space="preserve"> TOC \o "1-3" \h \z \u </w:instrText>
          </w:r>
          <w:r w:rsidRPr="0090748E">
            <w:fldChar w:fldCharType="separate"/>
          </w:r>
          <w:hyperlink w:anchor="_Toc94685844" w:history="1">
            <w:r w:rsidR="00CB71B5" w:rsidRPr="00013772">
              <w:rPr>
                <w:rStyle w:val="Lienhypertexte"/>
                <w:noProof/>
              </w:rPr>
              <w:t>PREAMBULE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_Toc94685844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1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4AD89BF5" w14:textId="0257DE00" w:rsidR="00CB71B5" w:rsidRDefault="0052583D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45" w:history="1">
            <w:r w:rsidR="00CB71B5" w:rsidRPr="00013772">
              <w:rPr>
                <w:rStyle w:val="Lienhypertexte"/>
                <w:noProof/>
              </w:rPr>
              <w:t>ARTICLE 1 – CHAMP D’APPLICATION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_Toc94685845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72E3F186" w14:textId="2768638F" w:rsidR="00CB71B5" w:rsidRDefault="0052583D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46" w:history="1">
            <w:r w:rsidR="00CB71B5" w:rsidRPr="00013772">
              <w:rPr>
                <w:rStyle w:val="Lienhypertexte"/>
                <w:noProof/>
              </w:rPr>
              <w:t>ARTICLE 2 – DUREE DE L’ACCORD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_Toc94685846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2DB5949F" w14:textId="6A4CF30A" w:rsidR="00CB71B5" w:rsidRDefault="0052583D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47" w:history="1">
            <w:r w:rsidR="00CB71B5" w:rsidRPr="00013772">
              <w:rPr>
                <w:rStyle w:val="Lienhypertexte"/>
                <w:noProof/>
              </w:rPr>
              <w:t>ARTICLE 3 – DISPOSITIONS SALARIALES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_Toc94685847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2A1363D1" w14:textId="24CD0314" w:rsidR="00CB71B5" w:rsidRDefault="0052583D">
          <w:pPr>
            <w:pStyle w:val="TM2"/>
            <w:tabs>
              <w:tab w:pos="880" w:val="left"/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48" w:history="1">
            <w:r w:rsidR="00CB71B5" w:rsidRPr="00013772">
              <w:rPr>
                <w:rStyle w:val="Lienhypertexte"/>
                <w:iCs/>
                <w:noProof/>
              </w:rPr>
              <w:t>3.1</w:t>
            </w:r>
            <w:r w:rsidR="00CB71B5">
              <w:rPr>
                <w:rFonts w:eastAsiaTheme="minorEastAsia"/>
                <w:noProof/>
                <w:lang w:eastAsia="fr-FR"/>
              </w:rPr>
              <w:tab/>
            </w:r>
            <w:r w:rsidR="00CB71B5" w:rsidRPr="00013772">
              <w:rPr>
                <w:rStyle w:val="Lienhypertexte"/>
                <w:noProof/>
              </w:rPr>
              <w:t>Augmentation générale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_Toc94685848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44E90A6A" w14:textId="42D5FFEB" w:rsidR="00CB71B5" w:rsidRDefault="0052583D">
          <w:pPr>
            <w:pStyle w:val="TM2"/>
            <w:tabs>
              <w:tab w:pos="880" w:val="left"/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49" w:history="1">
            <w:r w:rsidR="00CB71B5" w:rsidRPr="00013772">
              <w:rPr>
                <w:rStyle w:val="Lienhypertexte"/>
                <w:iCs/>
                <w:noProof/>
              </w:rPr>
              <w:t>3.2</w:t>
            </w:r>
            <w:r w:rsidR="00CB71B5">
              <w:rPr>
                <w:rFonts w:eastAsiaTheme="minorEastAsia"/>
                <w:noProof/>
                <w:lang w:eastAsia="fr-FR"/>
              </w:rPr>
              <w:tab/>
            </w:r>
            <w:r w:rsidR="00CB71B5" w:rsidRPr="00013772">
              <w:rPr>
                <w:rStyle w:val="Lienhypertexte"/>
                <w:noProof/>
              </w:rPr>
              <w:t>Augmentations individuelles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_Toc94685849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3B4154E8" w14:textId="55ACD50C" w:rsidR="00CB71B5" w:rsidRDefault="0052583D">
          <w:pPr>
            <w:pStyle w:val="TM2"/>
            <w:tabs>
              <w:tab w:pos="880" w:val="left"/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50" w:history="1">
            <w:r w:rsidR="00CB71B5" w:rsidRPr="00013772">
              <w:rPr>
                <w:rStyle w:val="Lienhypertexte"/>
                <w:iCs/>
                <w:noProof/>
              </w:rPr>
              <w:t>3.3</w:t>
            </w:r>
            <w:r w:rsidR="00CB71B5">
              <w:rPr>
                <w:rFonts w:eastAsiaTheme="minorEastAsia"/>
                <w:noProof/>
                <w:lang w:eastAsia="fr-FR"/>
              </w:rPr>
              <w:tab/>
            </w:r>
            <w:r w:rsidR="00CB71B5" w:rsidRPr="00013772">
              <w:rPr>
                <w:rStyle w:val="Lienhypertexte"/>
                <w:noProof/>
              </w:rPr>
              <w:t>Augmentations promotionnelles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_Toc94685850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54631E4C" w14:textId="677D247D" w:rsidR="00CB71B5" w:rsidRDefault="0052583D">
          <w:pPr>
            <w:pStyle w:val="TM2"/>
            <w:tabs>
              <w:tab w:pos="880" w:val="left"/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51" w:history="1">
            <w:r w:rsidR="00CB71B5" w:rsidRPr="00013772">
              <w:rPr>
                <w:rStyle w:val="Lienhypertexte"/>
                <w:iCs/>
                <w:noProof/>
              </w:rPr>
              <w:t>3.4</w:t>
            </w:r>
            <w:r w:rsidR="00CB71B5">
              <w:rPr>
                <w:rFonts w:eastAsiaTheme="minorEastAsia"/>
                <w:noProof/>
                <w:lang w:eastAsia="fr-FR"/>
              </w:rPr>
              <w:tab/>
            </w:r>
            <w:r w:rsidR="00CB71B5" w:rsidRPr="00013772">
              <w:rPr>
                <w:rStyle w:val="Lienhypertexte"/>
                <w:noProof/>
              </w:rPr>
              <w:t>Primes d'Equipe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_Toc94685851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798E3787" w14:textId="2751C49D" w:rsidR="00CB71B5" w:rsidRDefault="0052583D">
          <w:pPr>
            <w:pStyle w:val="TM2"/>
            <w:tabs>
              <w:tab w:pos="880" w:val="left"/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52" w:history="1">
            <w:r w:rsidR="00CB71B5" w:rsidRPr="00013772">
              <w:rPr>
                <w:rStyle w:val="Lienhypertexte"/>
                <w:rFonts w:cstheme="minorHAnsi"/>
                <w:iCs/>
                <w:noProof/>
              </w:rPr>
              <w:t>3.5</w:t>
            </w:r>
            <w:r w:rsidR="00CB71B5">
              <w:rPr>
                <w:rFonts w:eastAsiaTheme="minorEastAsia"/>
                <w:noProof/>
                <w:lang w:eastAsia="fr-FR"/>
              </w:rPr>
              <w:tab/>
            </w:r>
            <w:r w:rsidR="00CB71B5" w:rsidRPr="00013772">
              <w:rPr>
                <w:rStyle w:val="Lienhypertexte"/>
                <w:noProof/>
              </w:rPr>
              <w:t>Mesures additionnelles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_Toc94685852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5FF521CA" w14:textId="52421873" w:rsidR="00CB71B5" w:rsidRDefault="0052583D">
          <w:pPr>
            <w:pStyle w:val="TM2"/>
            <w:tabs>
              <w:tab w:pos="880" w:val="left"/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53" w:history="1">
            <w:r w:rsidR="00CB71B5" w:rsidRPr="00013772">
              <w:rPr>
                <w:rStyle w:val="Lienhypertexte"/>
                <w:iCs/>
                <w:noProof/>
              </w:rPr>
              <w:t>3.6</w:t>
            </w:r>
            <w:r w:rsidR="00CB71B5">
              <w:rPr>
                <w:rFonts w:eastAsiaTheme="minorEastAsia"/>
                <w:noProof/>
                <w:lang w:eastAsia="fr-FR"/>
              </w:rPr>
              <w:tab/>
            </w:r>
            <w:r w:rsidR="00CB71B5" w:rsidRPr="00013772">
              <w:rPr>
                <w:rStyle w:val="Lienhypertexte"/>
                <w:noProof/>
              </w:rPr>
              <w:t>Abondement du Plan d’Epargne Entreprise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_Toc94685853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2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5A1E2403" w14:textId="35EF7685" w:rsidR="00CB71B5" w:rsidRDefault="0052583D">
          <w:pPr>
            <w:pStyle w:val="TM2"/>
            <w:tabs>
              <w:tab w:pos="880" w:val="left"/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54" w:history="1">
            <w:r w:rsidR="00CB71B5" w:rsidRPr="00013772">
              <w:rPr>
                <w:rStyle w:val="Lienhypertexte"/>
                <w:iCs/>
                <w:noProof/>
              </w:rPr>
              <w:t>3.7</w:t>
            </w:r>
            <w:r w:rsidR="00CB71B5">
              <w:rPr>
                <w:rFonts w:eastAsiaTheme="minorEastAsia"/>
                <w:noProof/>
                <w:lang w:eastAsia="fr-FR"/>
              </w:rPr>
              <w:tab/>
            </w:r>
            <w:r w:rsidR="00CB71B5" w:rsidRPr="00013772">
              <w:rPr>
                <w:rStyle w:val="Lienhypertexte"/>
                <w:noProof/>
              </w:rPr>
              <w:t>Autres thèmes qui feront l’objet d’échanges au cours de l’année 2022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_Toc94685854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3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51587AEE" w14:textId="7F12721E" w:rsidR="00CB71B5" w:rsidRDefault="0052583D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55" w:history="1">
            <w:r w:rsidR="00CB71B5" w:rsidRPr="00013772">
              <w:rPr>
                <w:rStyle w:val="Lienhypertexte"/>
                <w:noProof/>
              </w:rPr>
              <w:t>ARTICLE 4 – REGLEMENT DES DIFFERENDS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_Toc94685855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3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4A70CF42" w14:textId="78397B3A" w:rsidR="00CB71B5" w:rsidRDefault="0052583D">
          <w:pPr>
            <w:pStyle w:val="TM1"/>
            <w:tabs>
              <w:tab w:leader="dot" w:pos="9062" w:val="right"/>
            </w:tabs>
            <w:rPr>
              <w:rFonts w:eastAsiaTheme="minorEastAsia"/>
              <w:noProof/>
              <w:lang w:eastAsia="fr-FR"/>
            </w:rPr>
          </w:pPr>
          <w:hyperlink w:anchor="_Toc94685856" w:history="1">
            <w:r w:rsidR="00CB71B5" w:rsidRPr="00013772">
              <w:rPr>
                <w:rStyle w:val="Lienhypertexte"/>
                <w:noProof/>
              </w:rPr>
              <w:t>ARTICLE 5 – DÉPÔT ET PUBLICITE</w:t>
            </w:r>
            <w:r w:rsidR="00CB71B5">
              <w:rPr>
                <w:noProof/>
                <w:webHidden/>
              </w:rPr>
              <w:tab/>
            </w:r>
            <w:r w:rsidR="00CB71B5">
              <w:rPr>
                <w:noProof/>
                <w:webHidden/>
              </w:rPr>
              <w:fldChar w:fldCharType="begin"/>
            </w:r>
            <w:r w:rsidR="00CB71B5">
              <w:rPr>
                <w:noProof/>
                <w:webHidden/>
              </w:rPr>
              <w:instrText xml:space="preserve"> PAGEREF _Toc94685856 \h </w:instrText>
            </w:r>
            <w:r w:rsidR="00CB71B5">
              <w:rPr>
                <w:noProof/>
                <w:webHidden/>
              </w:rPr>
            </w:r>
            <w:r w:rsidR="00CB71B5">
              <w:rPr>
                <w:noProof/>
                <w:webHidden/>
              </w:rPr>
              <w:fldChar w:fldCharType="separate"/>
            </w:r>
            <w:r w:rsidR="00CB71B5">
              <w:rPr>
                <w:noProof/>
                <w:webHidden/>
              </w:rPr>
              <w:t>3</w:t>
            </w:r>
            <w:r w:rsidR="00CB71B5">
              <w:rPr>
                <w:noProof/>
                <w:webHidden/>
              </w:rPr>
              <w:fldChar w:fldCharType="end"/>
            </w:r>
          </w:hyperlink>
        </w:p>
        <w:p w14:paraId="21A15025" w14:textId="64CBE5CD" w:rsidR="001F02DC" w:rsidRDefault="001F02DC">
          <w:r w:rsidRPr="0090748E">
            <w:rPr>
              <w:b/>
              <w:bCs/>
            </w:rPr>
            <w:fldChar w:fldCharType="end"/>
          </w:r>
        </w:p>
      </w:sdtContent>
    </w:sdt>
    <w:p w14:paraId="448C6818" w14:textId="77777777" w:rsidP="00F57E0F" w:rsidR="000E4746" w:rsidRDefault="00F41127" w:rsidRPr="00F57E0F">
      <w:pPr>
        <w:pStyle w:val="Titre1"/>
      </w:pPr>
      <w:bookmarkStart w:id="0" w:name="_Toc94685844"/>
      <w:r w:rsidRPr="00F57E0F">
        <w:t>PREAMBULE</w:t>
      </w:r>
      <w:bookmarkEnd w:id="0"/>
    </w:p>
    <w:p w14:paraId="59823397" w14:textId="3FD91EA6" w:rsidP="008D3FC0" w:rsidR="005C2BC6" w:rsidRDefault="00B52E29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Conformément aux dispositions légales en vigueur, l</w:t>
      </w:r>
      <w:r w:rsidR="00592BB0" w:rsidRPr="00592BB0">
        <w:rPr>
          <w:rFonts w:cstheme="minorHAnsi"/>
        </w:rPr>
        <w:t xml:space="preserve">es parties se sont rencontrées lors des réunions des </w:t>
      </w:r>
      <w:r w:rsidR="00FD238E">
        <w:rPr>
          <w:rFonts w:cstheme="minorHAnsi"/>
        </w:rPr>
        <w:t>13 janvier et 1</w:t>
      </w:r>
      <w:r w:rsidR="00FD238E" w:rsidRPr="00FD238E">
        <w:rPr>
          <w:rFonts w:cstheme="minorHAnsi"/>
          <w:vertAlign w:val="superscript"/>
        </w:rPr>
        <w:t>er</w:t>
      </w:r>
      <w:r w:rsidR="00FD238E">
        <w:rPr>
          <w:rFonts w:cstheme="minorHAnsi"/>
        </w:rPr>
        <w:t xml:space="preserve"> février 2022</w:t>
      </w:r>
      <w:r w:rsidR="00592BB0">
        <w:rPr>
          <w:rFonts w:cstheme="minorHAnsi"/>
        </w:rPr>
        <w:t xml:space="preserve"> dans le cadre des N</w:t>
      </w:r>
      <w:r w:rsidR="00592BB0" w:rsidRPr="00592BB0">
        <w:rPr>
          <w:rFonts w:cstheme="minorHAnsi"/>
        </w:rPr>
        <w:t xml:space="preserve">égociations </w:t>
      </w:r>
      <w:r w:rsidR="00592BB0">
        <w:rPr>
          <w:rFonts w:cstheme="minorHAnsi"/>
        </w:rPr>
        <w:t xml:space="preserve">Annuelles Obligatoires </w:t>
      </w:r>
      <w:r w:rsidR="00592BB0" w:rsidRPr="00592BB0">
        <w:rPr>
          <w:rFonts w:cstheme="minorHAnsi"/>
        </w:rPr>
        <w:t>sur les salaires.</w:t>
      </w:r>
    </w:p>
    <w:p w14:paraId="7301FDA5" w14:textId="49531A49" w:rsidP="008D3FC0" w:rsidR="00B52E29" w:rsidRDefault="00B52E29">
      <w:pPr>
        <w:pStyle w:val="Sansinterligne"/>
        <w:spacing w:before="40"/>
        <w:jc w:val="both"/>
        <w:rPr>
          <w:rFonts w:cstheme="minorHAnsi"/>
        </w:rPr>
      </w:pPr>
      <w:r w:rsidRPr="002A3128">
        <w:rPr>
          <w:rFonts w:cstheme="minorHAnsi"/>
        </w:rPr>
        <w:t>Les mesures négociées tienne</w:t>
      </w:r>
      <w:r w:rsidR="002A3128" w:rsidRPr="002A3128">
        <w:rPr>
          <w:rFonts w:cstheme="minorHAnsi"/>
        </w:rPr>
        <w:t xml:space="preserve">nt compte des résultats de l’entreprise </w:t>
      </w:r>
      <w:r w:rsidRPr="002A3128">
        <w:rPr>
          <w:rFonts w:cstheme="minorHAnsi"/>
        </w:rPr>
        <w:t xml:space="preserve">en </w:t>
      </w:r>
      <w:r w:rsidR="00FD238E">
        <w:rPr>
          <w:rFonts w:cstheme="minorHAnsi"/>
        </w:rPr>
        <w:t>2021</w:t>
      </w:r>
      <w:r w:rsidR="00B830DD">
        <w:rPr>
          <w:rFonts w:cstheme="minorHAnsi"/>
        </w:rPr>
        <w:t>.</w:t>
      </w:r>
    </w:p>
    <w:p w14:paraId="2E6CA252" w14:textId="77777777" w:rsidP="008D3FC0" w:rsidR="00592BB0" w:rsidRDefault="00592BB0">
      <w:pPr>
        <w:pStyle w:val="Sansinterligne"/>
        <w:spacing w:before="40"/>
        <w:jc w:val="both"/>
        <w:rPr>
          <w:rFonts w:cstheme="minorHAnsi"/>
        </w:rPr>
      </w:pPr>
    </w:p>
    <w:p w14:paraId="189BF58A" w14:textId="77777777" w:rsidP="00A52448" w:rsidR="00F41127" w:rsidRDefault="00F41127">
      <w:pPr>
        <w:pStyle w:val="Titre1"/>
      </w:pPr>
      <w:bookmarkStart w:id="1" w:name="_Toc94685845"/>
      <w:r>
        <w:lastRenderedPageBreak/>
        <w:t xml:space="preserve">ARTICLE 1 – </w:t>
      </w:r>
      <w:r w:rsidR="00C10920">
        <w:t>CHAMP D’APPLICATION</w:t>
      </w:r>
      <w:bookmarkEnd w:id="1"/>
    </w:p>
    <w:p w14:paraId="32276921" w14:textId="77777777" w:rsidP="00601DEE" w:rsidR="00C10920" w:rsidRDefault="00C10920">
      <w:pPr>
        <w:pStyle w:val="Sansinterligne"/>
        <w:jc w:val="both"/>
      </w:pPr>
      <w:r w:rsidRPr="00C10920">
        <w:t xml:space="preserve">Le présent accord s'applique à l'ensemble des </w:t>
      </w:r>
      <w:r>
        <w:t>établissements de la société Saft SAS.</w:t>
      </w:r>
    </w:p>
    <w:p w14:paraId="2CF8E118" w14:textId="77777777" w:rsidP="00C10920" w:rsidR="00C10920" w:rsidRDefault="00C10920">
      <w:pPr>
        <w:pStyle w:val="Sansinterligne"/>
        <w:spacing w:before="40"/>
        <w:jc w:val="both"/>
      </w:pPr>
    </w:p>
    <w:p w14:paraId="62E021D8" w14:textId="77777777" w:rsidP="00C10920" w:rsidR="00C10920" w:rsidRDefault="00C10920">
      <w:pPr>
        <w:pStyle w:val="Titre1"/>
      </w:pPr>
      <w:bookmarkStart w:id="2" w:name="_Toc94685846"/>
      <w:r>
        <w:t>ARTICLE 2 – DUREE DE L’ACCORD</w:t>
      </w:r>
      <w:bookmarkEnd w:id="2"/>
    </w:p>
    <w:p w14:paraId="4B7F4A4A" w14:textId="15FBC7E9" w:rsidP="00601DEE" w:rsidR="00C10920" w:rsidRDefault="00C10920">
      <w:pPr>
        <w:pStyle w:val="Sansinterligne"/>
        <w:jc w:val="both"/>
      </w:pPr>
      <w:r w:rsidRPr="00C10920">
        <w:t>L</w:t>
      </w:r>
      <w:r>
        <w:t>e présent accord s'applique du 1</w:t>
      </w:r>
      <w:r w:rsidRPr="00C10920">
        <w:rPr>
          <w:vertAlign w:val="superscript"/>
        </w:rPr>
        <w:t>er</w:t>
      </w:r>
      <w:r>
        <w:t xml:space="preserve"> </w:t>
      </w:r>
      <w:r w:rsidRPr="00C10920">
        <w:t xml:space="preserve">janvier </w:t>
      </w:r>
      <w:r w:rsidR="00FD238E">
        <w:t>2022</w:t>
      </w:r>
      <w:r w:rsidRPr="00C10920">
        <w:t xml:space="preserve"> au 31 décembre </w:t>
      </w:r>
      <w:r w:rsidR="00FD238E">
        <w:t>2022</w:t>
      </w:r>
      <w:r w:rsidRPr="00C10920">
        <w:t>.</w:t>
      </w:r>
    </w:p>
    <w:p w14:paraId="6D51C528" w14:textId="77777777" w:rsidP="00C10920" w:rsidR="00C10920" w:rsidRDefault="00C10920" w:rsidRPr="00C10920">
      <w:pPr>
        <w:pStyle w:val="Sansinterligne"/>
        <w:spacing w:before="40"/>
        <w:jc w:val="both"/>
      </w:pPr>
    </w:p>
    <w:p w14:paraId="75058C49" w14:textId="77777777" w:rsidP="00C10920" w:rsidR="00C10920" w:rsidRDefault="00C10920">
      <w:pPr>
        <w:pStyle w:val="Titre1"/>
      </w:pPr>
      <w:bookmarkStart w:id="3" w:name="_Toc94685847"/>
      <w:r>
        <w:t>ARTICLE 3 – DISPOSITIONS SALARIALES</w:t>
      </w:r>
      <w:bookmarkEnd w:id="3"/>
    </w:p>
    <w:p w14:paraId="70E3B6FD" w14:textId="094A49E4" w:rsidP="00601DEE" w:rsidR="00601DEE" w:rsidRDefault="00601DEE">
      <w:pPr>
        <w:pStyle w:val="Sansinterligne"/>
        <w:jc w:val="both"/>
      </w:pPr>
      <w:r w:rsidRPr="00601DEE">
        <w:t xml:space="preserve">Les parties signataires s'entendent sur le principe d'une évolution globale moyenne de </w:t>
      </w:r>
      <w:r w:rsidR="00FD238E">
        <w:rPr>
          <w:b/>
        </w:rPr>
        <w:t>3,25</w:t>
      </w:r>
      <w:r w:rsidRPr="00E50773">
        <w:rPr>
          <w:b/>
        </w:rPr>
        <w:t>%</w:t>
      </w:r>
      <w:r w:rsidRPr="00601DEE">
        <w:t xml:space="preserve"> de la masse des rémunér</w:t>
      </w:r>
      <w:r>
        <w:t xml:space="preserve">ations, au titre de l'année </w:t>
      </w:r>
      <w:r w:rsidR="00FD238E">
        <w:t>2022</w:t>
      </w:r>
      <w:r w:rsidRPr="00601DEE">
        <w:t>.</w:t>
      </w:r>
    </w:p>
    <w:p w14:paraId="6AF00C75" w14:textId="77777777" w:rsidP="00601DEE" w:rsidR="00601DEE" w:rsidRDefault="00601DEE" w:rsidRPr="00601DEE">
      <w:pPr>
        <w:pStyle w:val="Sansinterligne"/>
        <w:jc w:val="both"/>
      </w:pPr>
    </w:p>
    <w:p w14:paraId="161ACAC9" w14:textId="4EDBC976" w:rsidP="0090748E" w:rsidR="008D3FC0" w:rsidRDefault="00C10920" w:rsidRPr="00F05414">
      <w:pPr>
        <w:pStyle w:val="Titre2"/>
        <w:numPr>
          <w:ilvl w:val="1"/>
          <w:numId w:val="11"/>
        </w:numPr>
        <w:rPr>
          <w:rStyle w:val="Accentuationintense"/>
          <w:rFonts w:cstheme="minorBidi"/>
          <w:i/>
          <w:iCs w:val="0"/>
          <w:color w:val="FF0000"/>
        </w:rPr>
      </w:pPr>
      <w:bookmarkStart w:id="4" w:name="_Toc94685848"/>
      <w:r w:rsidRPr="00F05414">
        <w:rPr>
          <w:rStyle w:val="Accentuationintense"/>
          <w:rFonts w:cstheme="minorBidi"/>
          <w:i/>
          <w:iCs w:val="0"/>
          <w:color w:val="FF0000"/>
        </w:rPr>
        <w:t>Augmentation générale</w:t>
      </w:r>
      <w:bookmarkEnd w:id="4"/>
    </w:p>
    <w:p w14:paraId="56EEC0B1" w14:textId="77777777" w:rsidP="00601DEE" w:rsidR="00F05414" w:rsidRDefault="00601DEE">
      <w:pPr>
        <w:pStyle w:val="Sansinterligne"/>
        <w:spacing w:before="40"/>
        <w:jc w:val="both"/>
        <w:rPr>
          <w:rFonts w:cstheme="minorHAnsi"/>
          <w:iCs/>
        </w:rPr>
      </w:pPr>
      <w:r w:rsidRPr="00601DEE">
        <w:rPr>
          <w:rFonts w:cstheme="minorHAnsi"/>
          <w:iCs/>
        </w:rPr>
        <w:t xml:space="preserve">Une mesure générale </w:t>
      </w:r>
      <w:r w:rsidR="00E50773">
        <w:rPr>
          <w:rFonts w:cstheme="minorHAnsi"/>
          <w:iCs/>
        </w:rPr>
        <w:t xml:space="preserve">de </w:t>
      </w:r>
      <w:r w:rsidR="00FD238E">
        <w:rPr>
          <w:rFonts w:cstheme="minorHAnsi"/>
          <w:b/>
          <w:iCs/>
        </w:rPr>
        <w:t>3</w:t>
      </w:r>
      <w:r w:rsidR="00E50773" w:rsidRPr="00E50773">
        <w:rPr>
          <w:rFonts w:cstheme="minorHAnsi"/>
          <w:b/>
          <w:iCs/>
        </w:rPr>
        <w:t>%</w:t>
      </w:r>
      <w:r w:rsidR="00E50773">
        <w:rPr>
          <w:rFonts w:cstheme="minorHAnsi"/>
          <w:iCs/>
        </w:rPr>
        <w:t xml:space="preserve"> </w:t>
      </w:r>
      <w:r w:rsidRPr="00601DEE">
        <w:rPr>
          <w:rFonts w:cstheme="minorHAnsi"/>
          <w:iCs/>
        </w:rPr>
        <w:t>sera appliquée aux rémunérations des O</w:t>
      </w:r>
      <w:r>
        <w:rPr>
          <w:rFonts w:cstheme="minorHAnsi"/>
          <w:iCs/>
        </w:rPr>
        <w:t xml:space="preserve">uvriers </w:t>
      </w:r>
      <w:r w:rsidR="00F05414">
        <w:rPr>
          <w:rFonts w:cstheme="minorHAnsi"/>
          <w:iCs/>
        </w:rPr>
        <w:t xml:space="preserve">et ETAM </w:t>
      </w:r>
      <w:r>
        <w:rPr>
          <w:rFonts w:cstheme="minorHAnsi"/>
          <w:iCs/>
        </w:rPr>
        <w:t>au 1</w:t>
      </w:r>
      <w:r w:rsidRPr="00C156EB">
        <w:rPr>
          <w:rFonts w:cstheme="minorHAnsi"/>
          <w:iCs/>
          <w:vertAlign w:val="superscript"/>
        </w:rPr>
        <w:t>er</w:t>
      </w:r>
      <w:r w:rsidR="00C156EB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mars </w:t>
      </w:r>
      <w:r w:rsidR="00FD238E">
        <w:rPr>
          <w:rFonts w:cstheme="minorHAnsi"/>
          <w:iCs/>
        </w:rPr>
        <w:t>2022</w:t>
      </w:r>
      <w:r w:rsidRPr="00601DEE">
        <w:rPr>
          <w:rFonts w:cstheme="minorHAnsi"/>
          <w:iCs/>
        </w:rPr>
        <w:t xml:space="preserve">. </w:t>
      </w:r>
    </w:p>
    <w:p w14:paraId="2CAE81B1" w14:textId="3C81B44D" w:rsidP="00601DEE" w:rsidR="00601DEE" w:rsidRDefault="00601DEE">
      <w:pPr>
        <w:pStyle w:val="Sansinterligne"/>
        <w:spacing w:before="40"/>
        <w:jc w:val="both"/>
        <w:rPr>
          <w:rFonts w:cstheme="minorHAnsi"/>
          <w:iCs/>
        </w:rPr>
      </w:pPr>
      <w:r w:rsidRPr="00601DEE">
        <w:rPr>
          <w:rFonts w:cstheme="minorHAnsi"/>
          <w:iCs/>
        </w:rPr>
        <w:t xml:space="preserve">Elle sera assortie d'une augmentation minimum de </w:t>
      </w:r>
      <w:r w:rsidR="001A2A70">
        <w:rPr>
          <w:rFonts w:cstheme="minorHAnsi"/>
          <w:b/>
          <w:iCs/>
        </w:rPr>
        <w:t>60</w:t>
      </w:r>
      <w:r w:rsidRPr="00E50773">
        <w:rPr>
          <w:rFonts w:cstheme="minorHAnsi"/>
          <w:b/>
          <w:iCs/>
        </w:rPr>
        <w:t xml:space="preserve"> euros bruts</w:t>
      </w:r>
      <w:r w:rsidRPr="00601DEE">
        <w:rPr>
          <w:rFonts w:cstheme="minorHAnsi"/>
          <w:iCs/>
        </w:rPr>
        <w:t>, pour un horaire à temps plein.</w:t>
      </w:r>
    </w:p>
    <w:p w14:paraId="156E1E00" w14:textId="77777777" w:rsidP="00601DEE" w:rsidR="00F05414" w:rsidRDefault="00F05414" w:rsidRPr="008D3FC0">
      <w:pPr>
        <w:pStyle w:val="Sansinterligne"/>
        <w:spacing w:before="40"/>
        <w:jc w:val="both"/>
        <w:rPr>
          <w:rFonts w:cstheme="minorHAnsi"/>
          <w:iCs/>
        </w:rPr>
      </w:pPr>
    </w:p>
    <w:p w14:paraId="755713FF" w14:textId="0097106C" w:rsidP="0090748E" w:rsidR="008D3FC0" w:rsidRDefault="00C10920" w:rsidRPr="00F05414">
      <w:pPr>
        <w:pStyle w:val="Titre2"/>
        <w:numPr>
          <w:ilvl w:val="1"/>
          <w:numId w:val="11"/>
        </w:numPr>
        <w:rPr>
          <w:rStyle w:val="Accentuationintense"/>
          <w:rFonts w:cstheme="minorBidi"/>
          <w:i/>
          <w:iCs w:val="0"/>
          <w:color w:val="FF0000"/>
        </w:rPr>
      </w:pPr>
      <w:bookmarkStart w:id="5" w:name="_Toc94685849"/>
      <w:r w:rsidRPr="00F05414">
        <w:rPr>
          <w:rStyle w:val="Accentuationintense"/>
          <w:rFonts w:cstheme="minorBidi"/>
          <w:i/>
          <w:iCs w:val="0"/>
          <w:color w:val="FF0000"/>
        </w:rPr>
        <w:t xml:space="preserve">Augmentations </w:t>
      </w:r>
      <w:r w:rsidR="00F05414">
        <w:rPr>
          <w:rStyle w:val="Accentuationintense"/>
          <w:rFonts w:cstheme="minorBidi"/>
          <w:i/>
          <w:iCs w:val="0"/>
          <w:color w:val="FF0000"/>
        </w:rPr>
        <w:t>individuelles</w:t>
      </w:r>
      <w:bookmarkEnd w:id="5"/>
      <w:r w:rsidRPr="00F05414">
        <w:rPr>
          <w:rStyle w:val="Accentuationintense"/>
          <w:rFonts w:cstheme="minorBidi"/>
          <w:i/>
          <w:iCs w:val="0"/>
          <w:color w:val="FF0000"/>
        </w:rPr>
        <w:t xml:space="preserve"> </w:t>
      </w:r>
    </w:p>
    <w:p w14:paraId="7DBC977C" w14:textId="77777777" w:rsidP="00F05414" w:rsidR="00F05414" w:rsidRDefault="00F05414">
      <w:pPr>
        <w:pStyle w:val="Sansinterligne"/>
        <w:spacing w:before="40"/>
        <w:jc w:val="both"/>
        <w:rPr>
          <w:rFonts w:cstheme="minorHAnsi"/>
        </w:rPr>
      </w:pPr>
      <w:r w:rsidRPr="00601DEE">
        <w:rPr>
          <w:rFonts w:cstheme="minorHAnsi"/>
        </w:rPr>
        <w:t xml:space="preserve">Le budget alloué aux évolutions salariales individuelles des Ingénieurs et Cadres est de </w:t>
      </w:r>
      <w:r>
        <w:rPr>
          <w:rFonts w:cstheme="minorHAnsi"/>
          <w:b/>
        </w:rPr>
        <w:t>3</w:t>
      </w:r>
      <w:r w:rsidRPr="00147AC1">
        <w:rPr>
          <w:rFonts w:cstheme="minorHAnsi"/>
          <w:b/>
        </w:rPr>
        <w:t xml:space="preserve"> %</w:t>
      </w:r>
      <w:r>
        <w:rPr>
          <w:rFonts w:cstheme="minorHAnsi"/>
        </w:rPr>
        <w:t xml:space="preserve"> </w:t>
      </w:r>
      <w:r w:rsidRPr="00601DEE">
        <w:rPr>
          <w:rFonts w:cstheme="minorHAnsi"/>
        </w:rPr>
        <w:t>av</w:t>
      </w:r>
      <w:r>
        <w:rPr>
          <w:rFonts w:cstheme="minorHAnsi"/>
        </w:rPr>
        <w:t>ec effet au 1</w:t>
      </w:r>
      <w:r w:rsidRPr="00C156EB">
        <w:rPr>
          <w:rFonts w:cstheme="minorHAnsi"/>
          <w:vertAlign w:val="superscript"/>
        </w:rPr>
        <w:t>er</w:t>
      </w:r>
      <w:r>
        <w:rPr>
          <w:rFonts w:cstheme="minorHAnsi"/>
        </w:rPr>
        <w:t xml:space="preserve"> mars 2022</w:t>
      </w:r>
      <w:r w:rsidRPr="00601DEE">
        <w:rPr>
          <w:rFonts w:cstheme="minorHAnsi"/>
        </w:rPr>
        <w:t>.</w:t>
      </w:r>
    </w:p>
    <w:p w14:paraId="219453FC" w14:textId="43EDBFB9" w:rsidP="00601DEE" w:rsidR="00F779C4" w:rsidRDefault="00F779C4">
      <w:pPr>
        <w:pStyle w:val="Sansinterligne"/>
        <w:spacing w:before="40"/>
        <w:jc w:val="both"/>
        <w:rPr>
          <w:rFonts w:cstheme="minorHAnsi"/>
        </w:rPr>
      </w:pPr>
    </w:p>
    <w:p w14:paraId="253E2F9A" w14:textId="77777777" w:rsidP="0090748E" w:rsidR="00F05414" w:rsidRDefault="00F05414" w:rsidRPr="00F05414">
      <w:pPr>
        <w:pStyle w:val="Titre2"/>
        <w:numPr>
          <w:ilvl w:val="1"/>
          <w:numId w:val="11"/>
        </w:numPr>
        <w:rPr>
          <w:rStyle w:val="Accentuationintense"/>
          <w:rFonts w:cstheme="minorBidi"/>
          <w:i/>
          <w:iCs w:val="0"/>
          <w:color w:val="FF0000"/>
        </w:rPr>
      </w:pPr>
      <w:bookmarkStart w:id="6" w:name="_Toc94685850"/>
      <w:r w:rsidRPr="00F05414">
        <w:rPr>
          <w:rStyle w:val="Accentuationintense"/>
          <w:rFonts w:cstheme="minorBidi"/>
          <w:i/>
          <w:iCs w:val="0"/>
          <w:color w:val="FF0000"/>
        </w:rPr>
        <w:t>Augmentations promotionnelles</w:t>
      </w:r>
      <w:bookmarkEnd w:id="6"/>
      <w:r w:rsidRPr="00F05414">
        <w:rPr>
          <w:rStyle w:val="Accentuationintense"/>
          <w:rFonts w:cstheme="minorBidi"/>
          <w:i/>
          <w:iCs w:val="0"/>
          <w:color w:val="FF0000"/>
        </w:rPr>
        <w:t xml:space="preserve"> </w:t>
      </w:r>
    </w:p>
    <w:p w14:paraId="49145E0E" w14:textId="7546EE14" w:rsidP="00F05414" w:rsidR="00F05414" w:rsidRDefault="00F05414">
      <w:pPr>
        <w:pStyle w:val="Sansinterligne"/>
        <w:spacing w:before="40"/>
        <w:jc w:val="both"/>
        <w:rPr>
          <w:rFonts w:cstheme="minorHAnsi"/>
        </w:rPr>
      </w:pPr>
      <w:r w:rsidRPr="00601DEE">
        <w:rPr>
          <w:rFonts w:cstheme="minorHAnsi"/>
        </w:rPr>
        <w:t>Le budget alloué aux mesures promotionnelles pour les Ouvriers</w:t>
      </w:r>
      <w:r>
        <w:rPr>
          <w:rFonts w:cstheme="minorHAnsi"/>
        </w:rPr>
        <w:t xml:space="preserve">, ETAM et Ingénieurs et Cadres </w:t>
      </w:r>
      <w:r w:rsidRPr="00601DEE">
        <w:rPr>
          <w:rFonts w:cstheme="minorHAnsi"/>
        </w:rPr>
        <w:t xml:space="preserve">est fixé à </w:t>
      </w:r>
      <w:r>
        <w:rPr>
          <w:rFonts w:cstheme="minorHAnsi"/>
          <w:b/>
        </w:rPr>
        <w:t>0,25</w:t>
      </w:r>
      <w:r w:rsidRPr="00E50773">
        <w:rPr>
          <w:rFonts w:cstheme="minorHAnsi"/>
          <w:b/>
        </w:rPr>
        <w:t xml:space="preserve"> %</w:t>
      </w:r>
      <w:r>
        <w:rPr>
          <w:rFonts w:cstheme="minorHAnsi"/>
        </w:rPr>
        <w:t xml:space="preserve"> </w:t>
      </w:r>
      <w:r w:rsidRPr="00601DEE">
        <w:rPr>
          <w:rFonts w:cstheme="minorHAnsi"/>
        </w:rPr>
        <w:t>av</w:t>
      </w:r>
      <w:r>
        <w:rPr>
          <w:rFonts w:cstheme="minorHAnsi"/>
        </w:rPr>
        <w:t>ec effet au 1</w:t>
      </w:r>
      <w:r w:rsidRPr="00C156EB">
        <w:rPr>
          <w:rFonts w:cstheme="minorHAnsi"/>
          <w:vertAlign w:val="superscript"/>
        </w:rPr>
        <w:t>er</w:t>
      </w:r>
      <w:r>
        <w:rPr>
          <w:rFonts w:cstheme="minorHAnsi"/>
        </w:rPr>
        <w:t xml:space="preserve"> mars 2022</w:t>
      </w:r>
      <w:r w:rsidRPr="00601DEE">
        <w:rPr>
          <w:rFonts w:cstheme="minorHAnsi"/>
        </w:rPr>
        <w:t>.</w:t>
      </w:r>
    </w:p>
    <w:p w14:paraId="5620B3E2" w14:textId="77777777" w:rsidP="008D3FC0" w:rsidR="00601DEE" w:rsidRDefault="00601DEE">
      <w:pPr>
        <w:pStyle w:val="Sansinterligne"/>
        <w:spacing w:before="40"/>
        <w:jc w:val="both"/>
        <w:rPr>
          <w:rFonts w:cstheme="minorHAnsi"/>
        </w:rPr>
      </w:pPr>
    </w:p>
    <w:p w14:paraId="3FA1D306" w14:textId="5B2FA0B2" w:rsidP="0090748E" w:rsidR="00C156EB" w:rsidRDefault="00C156EB" w:rsidRPr="00C156EB">
      <w:pPr>
        <w:pStyle w:val="Titre2"/>
        <w:numPr>
          <w:ilvl w:val="1"/>
          <w:numId w:val="11"/>
        </w:numPr>
      </w:pPr>
      <w:bookmarkStart w:id="7" w:name="_Toc94685851"/>
      <w:r w:rsidRPr="00C156EB">
        <w:t>Primes d'Equipe</w:t>
      </w:r>
      <w:bookmarkEnd w:id="7"/>
    </w:p>
    <w:p w14:paraId="3E295290" w14:textId="48623C66" w:rsidP="00C156EB" w:rsidR="00C156EB" w:rsidRDefault="00C156EB" w:rsidRPr="00C156EB">
      <w:pPr>
        <w:pStyle w:val="Sansinterligne"/>
        <w:spacing w:before="40"/>
        <w:jc w:val="both"/>
        <w:rPr>
          <w:rFonts w:cstheme="minorHAnsi"/>
        </w:rPr>
      </w:pPr>
      <w:r w:rsidRPr="00C156EB">
        <w:rPr>
          <w:rFonts w:cstheme="minorHAnsi"/>
        </w:rPr>
        <w:t>Les primes d</w:t>
      </w:r>
      <w:r>
        <w:rPr>
          <w:rFonts w:cstheme="minorHAnsi"/>
        </w:rPr>
        <w:t xml:space="preserve">'équipe seront revalorisées </w:t>
      </w:r>
      <w:r w:rsidRPr="001C6A19">
        <w:rPr>
          <w:rFonts w:cstheme="minorHAnsi"/>
        </w:rPr>
        <w:t xml:space="preserve">de </w:t>
      </w:r>
      <w:r w:rsidR="001A2A70" w:rsidRPr="001A2A70">
        <w:rPr>
          <w:rFonts w:cstheme="minorHAnsi"/>
          <w:b/>
          <w:bCs/>
        </w:rPr>
        <w:t>3</w:t>
      </w:r>
      <w:r w:rsidRPr="001C6A19">
        <w:rPr>
          <w:rFonts w:cstheme="minorHAnsi"/>
          <w:b/>
        </w:rPr>
        <w:t xml:space="preserve"> %</w:t>
      </w:r>
      <w:r w:rsidRPr="001C6A19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C156EB">
        <w:rPr>
          <w:rFonts w:cstheme="minorHAnsi"/>
        </w:rPr>
        <w:t>a</w:t>
      </w:r>
      <w:r>
        <w:rPr>
          <w:rFonts w:cstheme="minorHAnsi"/>
        </w:rPr>
        <w:t>vec application au 1</w:t>
      </w:r>
      <w:r w:rsidRPr="00C156EB">
        <w:rPr>
          <w:rFonts w:cstheme="minorHAnsi"/>
          <w:vertAlign w:val="superscript"/>
        </w:rPr>
        <w:t>er</w:t>
      </w:r>
      <w:r>
        <w:rPr>
          <w:rFonts w:cstheme="minorHAnsi"/>
        </w:rPr>
        <w:t xml:space="preserve"> mars </w:t>
      </w:r>
      <w:r w:rsidR="00FD238E">
        <w:rPr>
          <w:rFonts w:cstheme="minorHAnsi"/>
        </w:rPr>
        <w:t>2022</w:t>
      </w:r>
      <w:r w:rsidRPr="00C156EB">
        <w:rPr>
          <w:rFonts w:cstheme="minorHAnsi"/>
        </w:rPr>
        <w:t>.</w:t>
      </w:r>
    </w:p>
    <w:p w14:paraId="52513FCB" w14:textId="77777777" w:rsidP="00C156EB" w:rsidR="00C156EB" w:rsidRDefault="00C156EB">
      <w:pPr>
        <w:pStyle w:val="Sansinterligne"/>
        <w:spacing w:before="40"/>
        <w:jc w:val="both"/>
        <w:rPr>
          <w:rFonts w:cstheme="minorHAnsi"/>
        </w:rPr>
      </w:pPr>
    </w:p>
    <w:p w14:paraId="2D5F047E" w14:textId="207BA76F" w:rsidP="0090748E" w:rsidR="001A2A70" w:rsidRDefault="00C156EB" w:rsidRPr="00651A5A">
      <w:pPr>
        <w:pStyle w:val="Titre2"/>
        <w:numPr>
          <w:ilvl w:val="1"/>
          <w:numId w:val="11"/>
        </w:numPr>
        <w:rPr>
          <w:rFonts w:cstheme="minorHAnsi"/>
          <w:i w:val="0"/>
        </w:rPr>
      </w:pPr>
      <w:bookmarkStart w:id="8" w:name="_Toc94685852"/>
      <w:r w:rsidRPr="00651A5A">
        <w:rPr>
          <w:rStyle w:val="Titre2Car"/>
          <w:i/>
        </w:rPr>
        <w:t>Mesures additionnelles</w:t>
      </w:r>
      <w:bookmarkEnd w:id="8"/>
    </w:p>
    <w:p w14:paraId="07D1B0E4" w14:textId="631C3E4D" w:rsidP="000573FE" w:rsidR="000573FE" w:rsidRDefault="001A2A70" w:rsidRPr="00F05414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 w:rsidRPr="00F05414">
        <w:rPr>
          <w:rFonts w:cstheme="minorHAnsi"/>
        </w:rPr>
        <w:t>Intéressement</w:t>
      </w:r>
    </w:p>
    <w:p w14:paraId="4E68E412" w14:textId="720E7C33" w:rsidP="000573FE" w:rsidR="000573FE" w:rsidRDefault="00F05414">
      <w:pPr>
        <w:pStyle w:val="Sansinterligne"/>
        <w:spacing w:before="40"/>
        <w:jc w:val="both"/>
        <w:rPr>
          <w:rFonts w:cstheme="minorHAnsi"/>
        </w:rPr>
      </w:pPr>
      <w:r w:rsidRPr="00F05414">
        <w:rPr>
          <w:rFonts w:cstheme="minorHAnsi"/>
        </w:rPr>
        <w:t>Il est convenu de m</w:t>
      </w:r>
      <w:r w:rsidR="001A2A70" w:rsidRPr="00F05414">
        <w:rPr>
          <w:rFonts w:cstheme="minorHAnsi"/>
        </w:rPr>
        <w:t>ainten</w:t>
      </w:r>
      <w:r w:rsidRPr="00F05414">
        <w:rPr>
          <w:rFonts w:cstheme="minorHAnsi"/>
        </w:rPr>
        <w:t>ir au titre de l’intéressement de l’année 2022,</w:t>
      </w:r>
      <w:r w:rsidR="001A2A70" w:rsidRPr="00F05414">
        <w:rPr>
          <w:rFonts w:cstheme="minorHAnsi"/>
        </w:rPr>
        <w:t xml:space="preserve"> l’enveloppe </w:t>
      </w:r>
      <w:r w:rsidRPr="00F05414">
        <w:rPr>
          <w:rFonts w:cstheme="minorHAnsi"/>
        </w:rPr>
        <w:t>complémentaire</w:t>
      </w:r>
      <w:r w:rsidR="001A2A70" w:rsidRPr="00F05414">
        <w:rPr>
          <w:rFonts w:cstheme="minorHAnsi"/>
        </w:rPr>
        <w:t xml:space="preserve"> de </w:t>
      </w:r>
      <w:r w:rsidR="001A2A70" w:rsidRPr="00F05414">
        <w:rPr>
          <w:rFonts w:cstheme="minorHAnsi"/>
          <w:b/>
          <w:bCs/>
        </w:rPr>
        <w:t>200€</w:t>
      </w:r>
      <w:r w:rsidRPr="00F05414">
        <w:rPr>
          <w:rFonts w:cstheme="minorHAnsi"/>
        </w:rPr>
        <w:t xml:space="preserve"> dont les</w:t>
      </w:r>
      <w:r w:rsidR="001A2A70" w:rsidRPr="00F05414">
        <w:rPr>
          <w:rFonts w:cstheme="minorHAnsi"/>
        </w:rPr>
        <w:t xml:space="preserve"> critères </w:t>
      </w:r>
      <w:r w:rsidRPr="00F05414">
        <w:rPr>
          <w:rFonts w:cstheme="minorHAnsi"/>
        </w:rPr>
        <w:t>feront l’objet d’une négociation ultérieure</w:t>
      </w:r>
      <w:r w:rsidR="001A2A70" w:rsidRPr="00F05414">
        <w:rPr>
          <w:rFonts w:cstheme="minorHAnsi"/>
        </w:rPr>
        <w:t>.</w:t>
      </w:r>
    </w:p>
    <w:p w14:paraId="35B154F6" w14:textId="6EA0C618" w:rsidP="00147AC1" w:rsidR="000573FE" w:rsidRDefault="000573FE">
      <w:pPr>
        <w:pStyle w:val="Sansinterligne"/>
        <w:spacing w:before="40"/>
        <w:jc w:val="both"/>
        <w:rPr>
          <w:rFonts w:cstheme="minorHAnsi"/>
        </w:rPr>
      </w:pPr>
    </w:p>
    <w:p w14:paraId="4698DBDC" w14:textId="77777777" w:rsidP="001A2A70" w:rsidR="001A2A70" w:rsidRDefault="001A2A70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>
        <w:rPr>
          <w:rFonts w:cstheme="minorHAnsi"/>
        </w:rPr>
        <w:t>Indemnités transport</w:t>
      </w:r>
    </w:p>
    <w:p w14:paraId="713766D4" w14:textId="77777777" w:rsidP="001A2A70" w:rsidR="001A2A70" w:rsidRDefault="001A2A70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 xml:space="preserve">Les indemnités transport seront revalorisées de </w:t>
      </w:r>
      <w:r>
        <w:rPr>
          <w:rFonts w:cstheme="minorHAnsi"/>
          <w:b/>
        </w:rPr>
        <w:t>1,5</w:t>
      </w:r>
      <w:r w:rsidRPr="000573FE">
        <w:rPr>
          <w:rFonts w:cstheme="minorHAnsi"/>
          <w:b/>
        </w:rPr>
        <w:t xml:space="preserve"> %,</w:t>
      </w:r>
      <w:r>
        <w:rPr>
          <w:rFonts w:cstheme="minorHAnsi"/>
        </w:rPr>
        <w:t xml:space="preserve"> à effet au 1</w:t>
      </w:r>
      <w:r w:rsidRPr="000573FE">
        <w:rPr>
          <w:rFonts w:cstheme="minorHAnsi"/>
          <w:vertAlign w:val="superscript"/>
        </w:rPr>
        <w:t>er</w:t>
      </w:r>
      <w:r>
        <w:rPr>
          <w:rFonts w:cstheme="minorHAnsi"/>
        </w:rPr>
        <w:t xml:space="preserve"> février 2022.</w:t>
      </w:r>
    </w:p>
    <w:p w14:paraId="09421128" w14:textId="77777777" w:rsidP="00147AC1" w:rsidR="001A2A70" w:rsidRDefault="001A2A70">
      <w:pPr>
        <w:pStyle w:val="Sansinterligne"/>
        <w:spacing w:before="40"/>
        <w:jc w:val="both"/>
        <w:rPr>
          <w:rFonts w:cstheme="minorHAnsi"/>
        </w:rPr>
      </w:pPr>
    </w:p>
    <w:p w14:paraId="3D4C6E3F" w14:textId="1AD18C40" w:rsidP="00147AC1" w:rsidR="00147AC1" w:rsidRDefault="00FD238E" w:rsidRPr="00F05414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 w:rsidRPr="00F05414">
        <w:rPr>
          <w:rFonts w:cstheme="minorHAnsi"/>
        </w:rPr>
        <w:t>Télétravail</w:t>
      </w:r>
    </w:p>
    <w:p w14:paraId="5732DE4A" w14:textId="704D140E" w:rsidP="00F05414" w:rsidR="00F05414" w:rsidRDefault="00F05414" w:rsidRPr="00F05414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Dans le contexte de l’épidémie de COVID-19, une</w:t>
      </w:r>
      <w:r w:rsidRPr="00F05414">
        <w:rPr>
          <w:rFonts w:cstheme="minorHAnsi"/>
        </w:rPr>
        <w:t xml:space="preserve"> prime télétravail </w:t>
      </w:r>
      <w:r>
        <w:rPr>
          <w:rFonts w:cstheme="minorHAnsi"/>
        </w:rPr>
        <w:t xml:space="preserve">d’un montant de </w:t>
      </w:r>
      <w:r w:rsidRPr="00F05414">
        <w:rPr>
          <w:rFonts w:cstheme="minorHAnsi"/>
          <w:b/>
          <w:bCs/>
        </w:rPr>
        <w:t>30€</w:t>
      </w:r>
      <w:r>
        <w:rPr>
          <w:rFonts w:cstheme="minorHAnsi"/>
        </w:rPr>
        <w:t xml:space="preserve"> sera versée en février</w:t>
      </w:r>
      <w:r w:rsidR="00651A5A">
        <w:rPr>
          <w:rFonts w:cstheme="minorHAnsi"/>
        </w:rPr>
        <w:t xml:space="preserve"> 2022</w:t>
      </w:r>
      <w:r>
        <w:rPr>
          <w:rFonts w:cstheme="minorHAnsi"/>
        </w:rPr>
        <w:t xml:space="preserve">, </w:t>
      </w:r>
      <w:r w:rsidRPr="00F05414">
        <w:rPr>
          <w:rFonts w:cstheme="minorHAnsi"/>
        </w:rPr>
        <w:t xml:space="preserve">pour </w:t>
      </w:r>
      <w:r>
        <w:rPr>
          <w:rFonts w:cstheme="minorHAnsi"/>
        </w:rPr>
        <w:t xml:space="preserve">les personnes ayant télétravaillé a minima </w:t>
      </w:r>
      <w:r w:rsidRPr="00F05414">
        <w:rPr>
          <w:rFonts w:cstheme="minorHAnsi"/>
        </w:rPr>
        <w:t xml:space="preserve">2 jours /semaine </w:t>
      </w:r>
      <w:r>
        <w:rPr>
          <w:rFonts w:cstheme="minorHAnsi"/>
        </w:rPr>
        <w:t>et n’ayant pas d’avenant télétravail.</w:t>
      </w:r>
    </w:p>
    <w:p w14:paraId="73CC300C" w14:textId="5BEB0CEB" w:rsidP="00F05414" w:rsidR="00FD238E" w:rsidRDefault="00362BDB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De plus, l</w:t>
      </w:r>
      <w:r w:rsidR="005801AE">
        <w:rPr>
          <w:rFonts w:cstheme="minorHAnsi"/>
        </w:rPr>
        <w:t>a d</w:t>
      </w:r>
      <w:r w:rsidR="00F05414" w:rsidRPr="00F05414">
        <w:rPr>
          <w:rFonts w:cstheme="minorHAnsi"/>
        </w:rPr>
        <w:t>éclaration des heures</w:t>
      </w:r>
      <w:r>
        <w:rPr>
          <w:rFonts w:cstheme="minorHAnsi"/>
        </w:rPr>
        <w:t xml:space="preserve"> de</w:t>
      </w:r>
      <w:r w:rsidR="00F05414" w:rsidRPr="00F05414">
        <w:rPr>
          <w:rFonts w:cstheme="minorHAnsi"/>
        </w:rPr>
        <w:t xml:space="preserve"> télétravail des ETAM </w:t>
      </w:r>
      <w:r w:rsidR="005801AE">
        <w:rPr>
          <w:rFonts w:cstheme="minorHAnsi"/>
        </w:rPr>
        <w:t xml:space="preserve">pourra se faire </w:t>
      </w:r>
      <w:r w:rsidR="00F05414" w:rsidRPr="00F05414">
        <w:rPr>
          <w:rFonts w:cstheme="minorHAnsi"/>
        </w:rPr>
        <w:t>au réel, dans la limite de 9h d</w:t>
      </w:r>
      <w:r w:rsidR="005801AE">
        <w:rPr>
          <w:rFonts w:cstheme="minorHAnsi"/>
        </w:rPr>
        <w:t>e</w:t>
      </w:r>
      <w:r w:rsidR="00F05414" w:rsidRPr="00F05414">
        <w:rPr>
          <w:rFonts w:cstheme="minorHAnsi"/>
        </w:rPr>
        <w:t xml:space="preserve"> temps de travail effectif</w:t>
      </w:r>
      <w:r w:rsidR="005801AE">
        <w:rPr>
          <w:rFonts w:cstheme="minorHAnsi"/>
        </w:rPr>
        <w:t xml:space="preserve"> par jour</w:t>
      </w:r>
      <w:r w:rsidR="00F05414">
        <w:rPr>
          <w:rFonts w:cstheme="minorHAnsi"/>
        </w:rPr>
        <w:t>.</w:t>
      </w:r>
      <w:r w:rsidR="005801AE">
        <w:rPr>
          <w:rFonts w:cstheme="minorHAnsi"/>
        </w:rPr>
        <w:t xml:space="preserve"> La mise en place effective sera précisée ultérieurement.</w:t>
      </w:r>
    </w:p>
    <w:p w14:paraId="5DBAE7C4" w14:textId="77777777" w:rsidP="00F05414" w:rsidR="00F05414" w:rsidRDefault="00F05414">
      <w:pPr>
        <w:pStyle w:val="Sansinterligne"/>
        <w:spacing w:before="40"/>
        <w:jc w:val="both"/>
        <w:rPr>
          <w:rFonts w:cstheme="minorHAnsi"/>
        </w:rPr>
      </w:pPr>
    </w:p>
    <w:p w14:paraId="1AA39EFA" w14:textId="4257A52B" w:rsidP="0090748E" w:rsidR="00FD238E" w:rsidRDefault="00FD238E" w:rsidRPr="001A2A70">
      <w:pPr>
        <w:pStyle w:val="Titre2"/>
        <w:numPr>
          <w:ilvl w:val="1"/>
          <w:numId w:val="11"/>
        </w:numPr>
      </w:pPr>
      <w:bookmarkStart w:id="9" w:name="_Toc94685853"/>
      <w:r w:rsidRPr="001A2A70">
        <w:t>Abondement du Plan d’Epargne Entreprise</w:t>
      </w:r>
      <w:bookmarkEnd w:id="9"/>
    </w:p>
    <w:p w14:paraId="2B631C02" w14:textId="50F132D0" w:rsidP="00FD238E" w:rsidR="00FD238E" w:rsidRDefault="00FD238E" w:rsidRPr="00FD238E">
      <w:pPr>
        <w:pStyle w:val="Sansinterligne"/>
        <w:spacing w:before="40"/>
        <w:jc w:val="both"/>
        <w:rPr>
          <w:rFonts w:cstheme="minorHAnsi"/>
        </w:rPr>
      </w:pPr>
      <w:r w:rsidRPr="00FD238E">
        <w:rPr>
          <w:rFonts w:cstheme="minorHAnsi"/>
        </w:rPr>
        <w:t>Un abondement annuel de l’employeur sur le Plan d’Epargne Entreprise (PEE) sera mis en place pour l’année 202</w:t>
      </w:r>
      <w:r w:rsidR="0090748E">
        <w:rPr>
          <w:rFonts w:cstheme="minorHAnsi"/>
        </w:rPr>
        <w:t>2</w:t>
      </w:r>
      <w:r w:rsidRPr="00FD238E">
        <w:rPr>
          <w:rFonts w:cstheme="minorHAnsi"/>
        </w:rPr>
        <w:t xml:space="preserve">. Cet abondement annuel est d’un montant de </w:t>
      </w:r>
      <w:r w:rsidRPr="001A2A70">
        <w:rPr>
          <w:rFonts w:cstheme="minorHAnsi"/>
          <w:b/>
          <w:bCs/>
        </w:rPr>
        <w:t>200€</w:t>
      </w:r>
      <w:r w:rsidRPr="00FD238E">
        <w:rPr>
          <w:rFonts w:cstheme="minorHAnsi"/>
        </w:rPr>
        <w:t xml:space="preserve"> maximum pour 200€ d’intéressement placés sur le PEE. </w:t>
      </w:r>
    </w:p>
    <w:p w14:paraId="14365258" w14:textId="2A4474F0" w:rsidP="00FD238E" w:rsidR="00FD238E" w:rsidRDefault="00FD238E">
      <w:pPr>
        <w:pStyle w:val="Sansinterligne"/>
        <w:spacing w:before="40"/>
        <w:jc w:val="both"/>
        <w:rPr>
          <w:rFonts w:cstheme="minorHAnsi"/>
        </w:rPr>
      </w:pPr>
      <w:r w:rsidRPr="00FD238E">
        <w:rPr>
          <w:rFonts w:cstheme="minorHAnsi"/>
        </w:rPr>
        <w:t>Afin d’être valide, cette mesure doit faire l’objet d’un avenant spécifique à l’accord relatif à l’épargne salariale et approuvé à la majorité.</w:t>
      </w:r>
      <w:r>
        <w:rPr>
          <w:rFonts w:cstheme="minorHAnsi"/>
        </w:rPr>
        <w:t xml:space="preserve"> </w:t>
      </w:r>
      <w:r w:rsidR="0090748E">
        <w:rPr>
          <w:rFonts w:cstheme="minorHAnsi"/>
        </w:rPr>
        <w:t>Cet avenant sera à durée indéterminée afin de pérenniser le dispositif.</w:t>
      </w:r>
    </w:p>
    <w:p w14:paraId="6F11B949" w14:textId="77777777" w:rsidP="009F7931" w:rsidR="00BF4BB0" w:rsidRDefault="00BF4BB0">
      <w:pPr>
        <w:pStyle w:val="Sansinterligne"/>
        <w:spacing w:before="40"/>
        <w:jc w:val="both"/>
        <w:rPr>
          <w:rFonts w:cstheme="minorHAnsi"/>
        </w:rPr>
      </w:pPr>
    </w:p>
    <w:p w14:paraId="15FE1757" w14:textId="68886B65" w:rsidP="0090748E" w:rsidR="00D7366C" w:rsidRDefault="00FD238E" w:rsidRPr="001A2A70">
      <w:pPr>
        <w:pStyle w:val="Titre2"/>
        <w:numPr>
          <w:ilvl w:val="1"/>
          <w:numId w:val="11"/>
        </w:numPr>
      </w:pPr>
      <w:bookmarkStart w:id="10" w:name="_Toc94685854"/>
      <w:r w:rsidRPr="001A2A70">
        <w:t>Autres thèmes qui feront l’objet d’échanges au cours de l’année 2022</w:t>
      </w:r>
      <w:bookmarkEnd w:id="10"/>
    </w:p>
    <w:p w14:paraId="4FD214C9" w14:textId="17823F06" w:rsidP="00D7366C" w:rsidR="00D7366C" w:rsidRDefault="002A3128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Les parties conviennent notamment </w:t>
      </w:r>
      <w:r w:rsidR="0090748E">
        <w:rPr>
          <w:rFonts w:cstheme="minorHAnsi"/>
        </w:rPr>
        <w:t>de poursuivre les échanges</w:t>
      </w:r>
      <w:r w:rsidR="000573FE">
        <w:rPr>
          <w:rFonts w:cstheme="minorHAnsi"/>
        </w:rPr>
        <w:t xml:space="preserve"> sur </w:t>
      </w:r>
      <w:r>
        <w:rPr>
          <w:rFonts w:cstheme="minorHAnsi"/>
        </w:rPr>
        <w:t>:</w:t>
      </w:r>
    </w:p>
    <w:p w14:paraId="34DC652A" w14:textId="47ABF01C" w:rsidP="002A3128" w:rsidR="002A3128" w:rsidRDefault="000573FE" w:rsidRPr="000573FE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 w:rsidRPr="000573FE">
        <w:rPr>
          <w:rFonts w:cstheme="minorHAnsi"/>
        </w:rPr>
        <w:t>Le Compte Epargne Temps (CET)</w:t>
      </w:r>
    </w:p>
    <w:p w14:paraId="49656409" w14:textId="7AB88618" w:rsidP="002A3128" w:rsidR="000573FE" w:rsidRDefault="00FD238E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>
        <w:rPr>
          <w:rFonts w:cstheme="minorHAnsi"/>
        </w:rPr>
        <w:t>Le télétravail</w:t>
      </w:r>
    </w:p>
    <w:p w14:paraId="13FD3A69" w14:textId="309B96B3" w:rsidP="002A3128" w:rsidR="0090748E" w:rsidRDefault="0090748E" w:rsidRPr="000573FE">
      <w:pPr>
        <w:pStyle w:val="Sansinterligne"/>
        <w:numPr>
          <w:ilvl w:val="0"/>
          <w:numId w:val="5"/>
        </w:numPr>
        <w:spacing w:before="40"/>
        <w:jc w:val="both"/>
        <w:rPr>
          <w:rFonts w:cstheme="minorHAnsi"/>
        </w:rPr>
      </w:pPr>
      <w:r>
        <w:rPr>
          <w:rFonts w:cstheme="minorHAnsi"/>
        </w:rPr>
        <w:t>La Q</w:t>
      </w:r>
      <w:r w:rsidR="00362BDB">
        <w:rPr>
          <w:rFonts w:cstheme="minorHAnsi"/>
        </w:rPr>
        <w:t xml:space="preserve">ualité de </w:t>
      </w:r>
      <w:r>
        <w:rPr>
          <w:rFonts w:cstheme="minorHAnsi"/>
        </w:rPr>
        <w:t>V</w:t>
      </w:r>
      <w:r w:rsidR="00362BDB">
        <w:rPr>
          <w:rFonts w:cstheme="minorHAnsi"/>
        </w:rPr>
        <w:t xml:space="preserve">ie au </w:t>
      </w:r>
      <w:r>
        <w:rPr>
          <w:rFonts w:cstheme="minorHAnsi"/>
        </w:rPr>
        <w:t>T</w:t>
      </w:r>
      <w:r w:rsidR="00362BDB">
        <w:rPr>
          <w:rFonts w:cstheme="minorHAnsi"/>
        </w:rPr>
        <w:t>ravail (QVT)</w:t>
      </w:r>
      <w:r>
        <w:rPr>
          <w:rFonts w:cstheme="minorHAnsi"/>
        </w:rPr>
        <w:t xml:space="preserve"> et notamment les risques psychosociaux (RPS)</w:t>
      </w:r>
    </w:p>
    <w:p w14:paraId="497434FE" w14:textId="77777777" w:rsidP="008D3FC0" w:rsidR="00D7366C" w:rsidRDefault="00D7366C">
      <w:pPr>
        <w:pStyle w:val="Sansinterligne"/>
        <w:spacing w:before="40"/>
        <w:jc w:val="both"/>
        <w:rPr>
          <w:rFonts w:cstheme="minorHAnsi"/>
        </w:rPr>
      </w:pPr>
    </w:p>
    <w:p w14:paraId="09BA0274" w14:textId="4BD6567C" w:rsidP="006F18A5" w:rsidR="006F18A5" w:rsidRDefault="006F18A5">
      <w:pPr>
        <w:pStyle w:val="Titre1"/>
      </w:pPr>
      <w:bookmarkStart w:id="11" w:name="_Toc94685855"/>
      <w:r>
        <w:t xml:space="preserve">ARTICLE </w:t>
      </w:r>
      <w:r w:rsidR="00B830DD">
        <w:t>4</w:t>
      </w:r>
      <w:r>
        <w:t xml:space="preserve"> – REGLEMENT DES DIFFERENDS</w:t>
      </w:r>
      <w:bookmarkEnd w:id="11"/>
    </w:p>
    <w:p w14:paraId="0A21C32D" w14:textId="7EBD3235" w:rsidP="008D3FC0" w:rsidR="00D7366C" w:rsidRDefault="006F18A5">
      <w:pPr>
        <w:pStyle w:val="Sansinterligne"/>
        <w:spacing w:before="40"/>
        <w:jc w:val="both"/>
        <w:rPr>
          <w:rFonts w:cstheme="minorHAnsi"/>
        </w:rPr>
      </w:pPr>
      <w:r w:rsidRPr="006F18A5">
        <w:rPr>
          <w:rFonts w:cstheme="minorHAnsi"/>
        </w:rPr>
        <w:t>En cas de différend survenant à l'occasion de l'application du présent accord, les parties signataires s'engagent à rechercher une solution amiable. Si une solution amiable ne peut être trouvée, les parties concernées pourront saisir les juridictions compétentes.</w:t>
      </w:r>
    </w:p>
    <w:p w14:paraId="3B3C23A0" w14:textId="77777777" w:rsidP="008D3FC0" w:rsidR="006F18A5" w:rsidRDefault="006F18A5">
      <w:pPr>
        <w:pStyle w:val="Sansinterligne"/>
        <w:spacing w:before="40"/>
        <w:jc w:val="both"/>
        <w:rPr>
          <w:rFonts w:cstheme="minorHAnsi"/>
        </w:rPr>
      </w:pPr>
    </w:p>
    <w:p w14:paraId="4C495317" w14:textId="11650145" w:rsidP="00A52448" w:rsidR="0004025E" w:rsidRDefault="0004025E">
      <w:pPr>
        <w:pStyle w:val="Titre1"/>
      </w:pPr>
      <w:bookmarkStart w:id="12" w:name="_Toc94685856"/>
      <w:r>
        <w:t xml:space="preserve">ARTICLE </w:t>
      </w:r>
      <w:r w:rsidR="00B830DD">
        <w:t>5</w:t>
      </w:r>
      <w:r>
        <w:t xml:space="preserve"> </w:t>
      </w:r>
      <w:r w:rsidR="00D7366C">
        <w:t>–</w:t>
      </w:r>
      <w:r>
        <w:t xml:space="preserve"> DÉPÔT</w:t>
      </w:r>
      <w:r w:rsidR="00D7366C">
        <w:t xml:space="preserve"> ET PUBLICITE</w:t>
      </w:r>
      <w:bookmarkEnd w:id="12"/>
    </w:p>
    <w:p w14:paraId="3405669C" w14:textId="77777777" w:rsidP="008D3FC0" w:rsidR="00F41127" w:rsidRDefault="0004025E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 xml:space="preserve">Conformément aux articles L.2231-6 et D.2231-2 et suivants du Code du travail, </w:t>
      </w:r>
      <w:r w:rsidR="00F41127" w:rsidRPr="00F41127">
        <w:rPr>
          <w:rFonts w:cstheme="minorHAnsi"/>
        </w:rPr>
        <w:t xml:space="preserve">deux exemplaires </w:t>
      </w:r>
      <w:r>
        <w:rPr>
          <w:rFonts w:cstheme="minorHAnsi"/>
        </w:rPr>
        <w:t xml:space="preserve">du présent accord seront déposés </w:t>
      </w:r>
      <w:r w:rsidR="00F41127" w:rsidRPr="00F41127">
        <w:rPr>
          <w:rFonts w:cstheme="minorHAnsi"/>
        </w:rPr>
        <w:t>auprès de la DIRECCTE des Hauts-de-Seine à Nanterre, dont une version sur support électronique signée des parties, et une version sur support électronique anonyme. Un exemplaire sera également remis au secrétariat-greffe du Conseil de prud'hommes de Nanterre. En outre, un exemplaire original sera établi pour chaque partie.</w:t>
      </w:r>
    </w:p>
    <w:p w14:paraId="4E3E2C90" w14:textId="77777777" w:rsidP="008D3FC0" w:rsidR="00F41127" w:rsidRDefault="00F41127">
      <w:pPr>
        <w:pStyle w:val="Sansinterligne"/>
        <w:spacing w:before="40"/>
        <w:jc w:val="both"/>
        <w:rPr>
          <w:rFonts w:cstheme="minorHAnsi"/>
        </w:rPr>
      </w:pPr>
    </w:p>
    <w:p w14:paraId="42406B80" w14:textId="2960FE3A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 xml:space="preserve">Fait, en 6 exemplaires, à Levallois-Perret, </w:t>
      </w:r>
      <w:r w:rsidRPr="000573FE">
        <w:rPr>
          <w:rFonts w:cstheme="minorHAnsi"/>
        </w:rPr>
        <w:t xml:space="preserve">le </w:t>
      </w:r>
      <w:r w:rsidR="0090748E">
        <w:rPr>
          <w:rFonts w:cstheme="minorHAnsi"/>
        </w:rPr>
        <w:t>2</w:t>
      </w:r>
      <w:r w:rsidR="00FD238E">
        <w:rPr>
          <w:rFonts w:cstheme="minorHAnsi"/>
        </w:rPr>
        <w:t xml:space="preserve"> février 2022</w:t>
      </w:r>
    </w:p>
    <w:p w14:paraId="3C68E983" w14:textId="77777777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</w:p>
    <w:p w14:paraId="1FD32287" w14:textId="6DD5FC24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>Pour Saft SAS</w:t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  <w:t>Pour la CFDT</w:t>
      </w:r>
    </w:p>
    <w:p w14:paraId="01E06A04" w14:textId="3FC1D574" w:rsidP="008D3FC0" w:rsidR="00F41127" w:rsidRDefault="0052583D" w:rsidRPr="00F41127">
      <w:pPr>
        <w:pStyle w:val="Sansinterligne"/>
        <w:spacing w:before="40"/>
        <w:jc w:val="both"/>
        <w:rPr>
          <w:rFonts w:cstheme="minorHAnsi"/>
        </w:rPr>
      </w:pPr>
      <w:r>
        <w:rPr>
          <w:rFonts w:cstheme="minorHAnsi"/>
        </w:rPr>
        <w:t>xxxxxxxx</w:t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xxxxxxxx</w:t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  <w:r w:rsidR="00F41127" w:rsidRPr="00F41127">
        <w:rPr>
          <w:rFonts w:cstheme="minorHAnsi"/>
        </w:rPr>
        <w:tab/>
      </w:r>
    </w:p>
    <w:p w14:paraId="194FCE2F" w14:textId="2D72C83A" w:rsidP="008D3FC0" w:rsidR="00F41127" w:rsidRDefault="00F41127">
      <w:pPr>
        <w:pStyle w:val="Sansinterligne"/>
        <w:spacing w:before="40"/>
        <w:jc w:val="both"/>
        <w:rPr>
          <w:rFonts w:cstheme="minorHAnsi"/>
        </w:rPr>
      </w:pPr>
    </w:p>
    <w:p w14:paraId="27782280" w14:textId="46D062A3" w:rsidP="008D3FC0" w:rsidR="0090748E" w:rsidRDefault="0090748E">
      <w:pPr>
        <w:pStyle w:val="Sansinterligne"/>
        <w:spacing w:before="40"/>
        <w:jc w:val="both"/>
        <w:rPr>
          <w:rFonts w:cstheme="minorHAnsi"/>
        </w:rPr>
      </w:pPr>
    </w:p>
    <w:p w14:paraId="4364F4C3" w14:textId="667DAA82" w:rsidP="008D3FC0" w:rsidR="0090748E" w:rsidRDefault="0090748E">
      <w:pPr>
        <w:pStyle w:val="Sansinterligne"/>
        <w:spacing w:before="40"/>
        <w:jc w:val="both"/>
        <w:rPr>
          <w:rFonts w:cstheme="minorHAnsi"/>
        </w:rPr>
      </w:pPr>
    </w:p>
    <w:p w14:paraId="7E03309D" w14:textId="77777777" w:rsidP="008D3FC0" w:rsidR="0090748E" w:rsidRDefault="0090748E">
      <w:pPr>
        <w:pStyle w:val="Sansinterligne"/>
        <w:spacing w:before="40"/>
        <w:jc w:val="both"/>
        <w:rPr>
          <w:rFonts w:cstheme="minorHAnsi"/>
        </w:rPr>
      </w:pPr>
    </w:p>
    <w:p w14:paraId="3CF605CB" w14:textId="77777777" w:rsidP="008D3FC0" w:rsidR="0090748E" w:rsidRDefault="0090748E">
      <w:pPr>
        <w:pStyle w:val="Sansinterligne"/>
        <w:spacing w:before="40"/>
        <w:jc w:val="both"/>
        <w:rPr>
          <w:rFonts w:cstheme="minorHAnsi"/>
        </w:rPr>
      </w:pPr>
    </w:p>
    <w:p w14:paraId="414B0474" w14:textId="77777777" w:rsidP="008D3FC0" w:rsidR="00811ED2" w:rsidRDefault="00811ED2" w:rsidRPr="00F41127">
      <w:pPr>
        <w:pStyle w:val="Sansinterligne"/>
        <w:spacing w:before="40"/>
        <w:jc w:val="both"/>
        <w:rPr>
          <w:rFonts w:cstheme="minorHAnsi"/>
        </w:rPr>
      </w:pPr>
    </w:p>
    <w:p w14:paraId="25A5936E" w14:textId="77777777" w:rsidP="008D3FC0" w:rsidR="00F41127" w:rsidRDefault="00F41127" w:rsidRPr="0090748E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90748E">
        <w:rPr>
          <w:rFonts w:cstheme="minorHAnsi"/>
        </w:rPr>
        <w:t>Pour la CFE-CGC</w:t>
      </w:r>
    </w:p>
    <w:p w14:paraId="5C15AFD6" w14:textId="04C32D7B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90748E">
        <w:rPr>
          <w:rFonts w:cstheme="minorHAnsi"/>
        </w:rPr>
        <w:tab/>
      </w:r>
      <w:r w:rsidRPr="0090748E">
        <w:rPr>
          <w:rFonts w:cstheme="minorHAnsi"/>
        </w:rPr>
        <w:tab/>
      </w:r>
      <w:r w:rsidRPr="0090748E">
        <w:rPr>
          <w:rFonts w:cstheme="minorHAnsi"/>
        </w:rPr>
        <w:tab/>
      </w:r>
      <w:r w:rsidRPr="0090748E">
        <w:rPr>
          <w:rFonts w:cstheme="minorHAnsi"/>
        </w:rPr>
        <w:tab/>
      </w:r>
      <w:r w:rsidRPr="0090748E">
        <w:rPr>
          <w:rFonts w:cstheme="minorHAnsi"/>
        </w:rPr>
        <w:tab/>
      </w:r>
      <w:r w:rsidRPr="0090748E">
        <w:rPr>
          <w:rFonts w:cstheme="minorHAnsi"/>
        </w:rPr>
        <w:tab/>
      </w:r>
      <w:r w:rsidRPr="0090748E">
        <w:rPr>
          <w:rFonts w:cstheme="minorHAnsi"/>
        </w:rPr>
        <w:tab/>
      </w:r>
      <w:r w:rsidRPr="0090748E">
        <w:rPr>
          <w:rFonts w:cstheme="minorHAnsi"/>
        </w:rPr>
        <w:tab/>
      </w:r>
      <w:r w:rsidR="0052583D">
        <w:rPr>
          <w:rFonts w:cstheme="minorHAnsi"/>
        </w:rPr>
        <w:t>xxxxxxxx</w:t>
      </w:r>
    </w:p>
    <w:p w14:paraId="47078C85" w14:textId="75F6C09C" w:rsidP="008D3FC0" w:rsidR="00F41127" w:rsidRDefault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</w:p>
    <w:p w14:paraId="16482526" w14:textId="45491C5B" w:rsidP="008D3FC0" w:rsidR="00811ED2" w:rsidRDefault="00811ED2">
      <w:pPr>
        <w:pStyle w:val="Sansinterligne"/>
        <w:spacing w:before="40"/>
        <w:jc w:val="both"/>
        <w:rPr>
          <w:rFonts w:cstheme="minorHAnsi"/>
        </w:rPr>
      </w:pPr>
    </w:p>
    <w:p w14:paraId="20D1A035" w14:textId="130EA5C0" w:rsidP="008D3FC0" w:rsidR="0090748E" w:rsidRDefault="0090748E">
      <w:pPr>
        <w:pStyle w:val="Sansinterligne"/>
        <w:spacing w:before="40"/>
        <w:jc w:val="both"/>
        <w:rPr>
          <w:rFonts w:cstheme="minorHAnsi"/>
        </w:rPr>
      </w:pPr>
    </w:p>
    <w:p w14:paraId="33F9601D" w14:textId="00E8F635" w:rsidP="008D3FC0" w:rsidR="0090748E" w:rsidRDefault="0090748E">
      <w:pPr>
        <w:pStyle w:val="Sansinterligne"/>
        <w:spacing w:before="40"/>
        <w:jc w:val="both"/>
        <w:rPr>
          <w:rFonts w:cstheme="minorHAnsi"/>
        </w:rPr>
      </w:pPr>
    </w:p>
    <w:p w14:paraId="0439EF2D" w14:textId="3D99535C" w:rsidP="008D3FC0" w:rsidR="0090748E" w:rsidRDefault="0090748E">
      <w:pPr>
        <w:pStyle w:val="Sansinterligne"/>
        <w:spacing w:before="40"/>
        <w:jc w:val="both"/>
        <w:rPr>
          <w:rFonts w:cstheme="minorHAnsi"/>
        </w:rPr>
      </w:pPr>
    </w:p>
    <w:p w14:paraId="3E1FD6BB" w14:textId="77777777" w:rsidP="008D3FC0" w:rsidR="0090748E" w:rsidRDefault="0090748E" w:rsidRPr="00F41127">
      <w:pPr>
        <w:pStyle w:val="Sansinterligne"/>
        <w:spacing w:before="40"/>
        <w:jc w:val="both"/>
        <w:rPr>
          <w:rFonts w:cstheme="minorHAnsi"/>
        </w:rPr>
      </w:pPr>
    </w:p>
    <w:p w14:paraId="07A693C0" w14:textId="77777777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</w:p>
    <w:p w14:paraId="1C7EE087" w14:textId="77777777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  <w:t>Pour la CGT</w:t>
      </w:r>
    </w:p>
    <w:p w14:paraId="075D13FB" w14:textId="7F86474D" w:rsidP="008D3FC0" w:rsidR="00F41127" w:rsidRDefault="00F41127" w:rsidRPr="00F41127">
      <w:pPr>
        <w:pStyle w:val="Sansinterligne"/>
        <w:spacing w:before="40"/>
        <w:jc w:val="both"/>
        <w:rPr>
          <w:rFonts w:cstheme="minorHAnsi"/>
        </w:rPr>
      </w:pP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Pr="00F41127">
        <w:rPr>
          <w:rFonts w:cstheme="minorHAnsi"/>
        </w:rPr>
        <w:tab/>
      </w:r>
      <w:r w:rsidR="0052583D">
        <w:rPr>
          <w:rFonts w:cstheme="minorHAnsi"/>
        </w:rPr>
        <w:t>xxxxxxxx</w:t>
      </w:r>
    </w:p>
    <w:sectPr w:rsidR="00F41127" w:rsidRPr="00F41127" w:rsidSect="00A77FA3">
      <w:footerReference r:id="rId8" w:type="default"/>
      <w:headerReference r:id="rId9" w:type="first"/>
      <w:footerReference r:id="rId10" w:type="first"/>
      <w:pgSz w:h="16838" w:w="11906"/>
      <w:pgMar w:bottom="1417" w:footer="708" w:gutter="0" w:header="708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75DC1" w14:textId="77777777" w:rsidR="00B777BC" w:rsidRDefault="00B777BC" w:rsidP="00105369">
      <w:pPr>
        <w:spacing w:after="0" w:line="240" w:lineRule="auto"/>
      </w:pPr>
      <w:r>
        <w:separator/>
      </w:r>
    </w:p>
  </w:endnote>
  <w:endnote w:type="continuationSeparator" w:id="0">
    <w:p w14:paraId="003555DD" w14:textId="77777777" w:rsidR="00B777BC" w:rsidRDefault="00B777BC" w:rsidP="0010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sz w:val="20"/>
      </w:rPr>
      <w:id w:val="47233845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CE93FE" w14:textId="3C1BB6AE" w:rsidP="00105369" w:rsidR="00105369" w:rsidRDefault="00105369" w:rsidRPr="00105369">
            <w:pPr>
              <w:pStyle w:val="Pieddepage"/>
              <w:jc w:val="center"/>
              <w:rPr>
                <w:sz w:val="16"/>
                <w:szCs w:val="16"/>
              </w:rPr>
            </w:pPr>
            <w:r w:rsidRPr="00105369">
              <w:rPr>
                <w:sz w:val="16"/>
                <w:szCs w:val="16"/>
              </w:rPr>
              <w:t xml:space="preserve">Accord </w:t>
            </w:r>
            <w:r w:rsidR="00592BB0">
              <w:rPr>
                <w:sz w:val="16"/>
                <w:szCs w:val="16"/>
              </w:rPr>
              <w:t xml:space="preserve">salarial </w:t>
            </w:r>
            <w:r w:rsidR="0090748E">
              <w:rPr>
                <w:sz w:val="16"/>
                <w:szCs w:val="16"/>
              </w:rPr>
              <w:t>2022</w:t>
            </w:r>
            <w:r w:rsidRPr="00105369">
              <w:rPr>
                <w:sz w:val="16"/>
                <w:szCs w:val="16"/>
              </w:rPr>
              <w:t xml:space="preserve"> – Saft SAS</w:t>
            </w:r>
          </w:p>
          <w:p w14:paraId="311034DE" w14:textId="77777777" w:rsidR="00105369" w:rsidRDefault="00105369" w:rsidRPr="00105369">
            <w:pPr>
              <w:pStyle w:val="Pieddepage"/>
              <w:jc w:val="right"/>
              <w:rPr>
                <w:sz w:val="20"/>
              </w:rPr>
            </w:pPr>
            <w:r w:rsidRPr="00105369">
              <w:rPr>
                <w:sz w:val="16"/>
                <w:szCs w:val="18"/>
              </w:rPr>
              <w:t xml:space="preserve">Page </w:t>
            </w:r>
            <w:r w:rsidRPr="00105369">
              <w:rPr>
                <w:b/>
                <w:bCs/>
                <w:sz w:val="16"/>
                <w:szCs w:val="18"/>
              </w:rPr>
              <w:fldChar w:fldCharType="begin"/>
            </w:r>
            <w:r w:rsidRPr="00105369">
              <w:rPr>
                <w:b/>
                <w:bCs/>
                <w:sz w:val="16"/>
                <w:szCs w:val="18"/>
              </w:rPr>
              <w:instrText>PAGE</w:instrText>
            </w:r>
            <w:r w:rsidRPr="00105369">
              <w:rPr>
                <w:b/>
                <w:bCs/>
                <w:sz w:val="16"/>
                <w:szCs w:val="18"/>
              </w:rPr>
              <w:fldChar w:fldCharType="separate"/>
            </w:r>
            <w:r w:rsidR="002A228F">
              <w:rPr>
                <w:b/>
                <w:bCs/>
                <w:noProof/>
                <w:sz w:val="16"/>
                <w:szCs w:val="18"/>
              </w:rPr>
              <w:t>2</w:t>
            </w:r>
            <w:r w:rsidRPr="00105369">
              <w:rPr>
                <w:b/>
                <w:bCs/>
                <w:sz w:val="16"/>
                <w:szCs w:val="18"/>
              </w:rPr>
              <w:fldChar w:fldCharType="end"/>
            </w:r>
            <w:r w:rsidRPr="00105369">
              <w:rPr>
                <w:sz w:val="16"/>
                <w:szCs w:val="18"/>
              </w:rPr>
              <w:t xml:space="preserve"> sur </w:t>
            </w:r>
            <w:r w:rsidRPr="00105369">
              <w:rPr>
                <w:b/>
                <w:bCs/>
                <w:sz w:val="16"/>
                <w:szCs w:val="18"/>
              </w:rPr>
              <w:fldChar w:fldCharType="begin"/>
            </w:r>
            <w:r w:rsidRPr="00105369">
              <w:rPr>
                <w:b/>
                <w:bCs/>
                <w:sz w:val="16"/>
                <w:szCs w:val="18"/>
              </w:rPr>
              <w:instrText>NUMPAGES</w:instrText>
            </w:r>
            <w:r w:rsidRPr="00105369">
              <w:rPr>
                <w:b/>
                <w:bCs/>
                <w:sz w:val="16"/>
                <w:szCs w:val="18"/>
              </w:rPr>
              <w:fldChar w:fldCharType="separate"/>
            </w:r>
            <w:r w:rsidR="002A228F">
              <w:rPr>
                <w:b/>
                <w:bCs/>
                <w:noProof/>
                <w:sz w:val="16"/>
                <w:szCs w:val="18"/>
              </w:rPr>
              <w:t>2</w:t>
            </w:r>
            <w:r w:rsidRPr="00105369">
              <w:rPr>
                <w:b/>
                <w:bCs/>
                <w:sz w:val="16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rPr>
        <w:sz w:val="20"/>
      </w:rPr>
      <w:id w:val="927776440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85470742"/>
          <w:docPartObj>
            <w:docPartGallery w:val="Page Numbers (Top of Page)"/>
            <w:docPartUnique/>
          </w:docPartObj>
        </w:sdtPr>
        <w:sdtEndPr/>
        <w:sdtContent>
          <w:p w14:paraId="668C0843" w14:textId="6AF5A6B5" w:rsidP="009F25F4" w:rsidR="009F25F4" w:rsidRDefault="009F25F4" w:rsidRPr="00105369">
            <w:pPr>
              <w:pStyle w:val="Pieddepage"/>
              <w:jc w:val="center"/>
              <w:rPr>
                <w:sz w:val="16"/>
                <w:szCs w:val="16"/>
              </w:rPr>
            </w:pPr>
            <w:r w:rsidRPr="00105369">
              <w:rPr>
                <w:sz w:val="16"/>
                <w:szCs w:val="16"/>
              </w:rPr>
              <w:t xml:space="preserve">Accord </w:t>
            </w:r>
            <w:r w:rsidR="00592BB0">
              <w:rPr>
                <w:sz w:val="16"/>
                <w:szCs w:val="16"/>
              </w:rPr>
              <w:t xml:space="preserve">salarial </w:t>
            </w:r>
            <w:r w:rsidR="00FD238E">
              <w:rPr>
                <w:sz w:val="16"/>
                <w:szCs w:val="16"/>
              </w:rPr>
              <w:t>2022</w:t>
            </w:r>
            <w:r w:rsidRPr="00105369">
              <w:rPr>
                <w:sz w:val="16"/>
                <w:szCs w:val="16"/>
              </w:rPr>
              <w:t xml:space="preserve"> – Saft SAS</w:t>
            </w:r>
          </w:p>
          <w:p w14:paraId="2525D120" w14:textId="77777777" w:rsidP="009F25F4" w:rsidR="009F25F4" w:rsidRDefault="009F25F4" w:rsidRPr="009F25F4">
            <w:pPr>
              <w:pStyle w:val="Pieddepage"/>
              <w:jc w:val="right"/>
              <w:rPr>
                <w:sz w:val="20"/>
              </w:rPr>
            </w:pPr>
            <w:r w:rsidRPr="00105369">
              <w:rPr>
                <w:sz w:val="16"/>
                <w:szCs w:val="18"/>
              </w:rPr>
              <w:t xml:space="preserve">Page </w:t>
            </w:r>
            <w:r w:rsidRPr="00105369">
              <w:rPr>
                <w:b/>
                <w:bCs/>
                <w:sz w:val="16"/>
                <w:szCs w:val="18"/>
              </w:rPr>
              <w:fldChar w:fldCharType="begin"/>
            </w:r>
            <w:r w:rsidRPr="00105369">
              <w:rPr>
                <w:b/>
                <w:bCs/>
                <w:sz w:val="16"/>
                <w:szCs w:val="18"/>
              </w:rPr>
              <w:instrText>PAGE</w:instrText>
            </w:r>
            <w:r w:rsidRPr="00105369">
              <w:rPr>
                <w:b/>
                <w:bCs/>
                <w:sz w:val="16"/>
                <w:szCs w:val="18"/>
              </w:rPr>
              <w:fldChar w:fldCharType="separate"/>
            </w:r>
            <w:r w:rsidR="002A228F">
              <w:rPr>
                <w:b/>
                <w:bCs/>
                <w:noProof/>
                <w:sz w:val="16"/>
                <w:szCs w:val="18"/>
              </w:rPr>
              <w:t>1</w:t>
            </w:r>
            <w:r w:rsidRPr="00105369">
              <w:rPr>
                <w:b/>
                <w:bCs/>
                <w:sz w:val="16"/>
                <w:szCs w:val="18"/>
              </w:rPr>
              <w:fldChar w:fldCharType="end"/>
            </w:r>
            <w:r w:rsidRPr="00105369">
              <w:rPr>
                <w:sz w:val="16"/>
                <w:szCs w:val="18"/>
              </w:rPr>
              <w:t xml:space="preserve"> sur </w:t>
            </w:r>
            <w:r w:rsidRPr="00105369">
              <w:rPr>
                <w:b/>
                <w:bCs/>
                <w:sz w:val="16"/>
                <w:szCs w:val="18"/>
              </w:rPr>
              <w:fldChar w:fldCharType="begin"/>
            </w:r>
            <w:r w:rsidRPr="00105369">
              <w:rPr>
                <w:b/>
                <w:bCs/>
                <w:sz w:val="16"/>
                <w:szCs w:val="18"/>
              </w:rPr>
              <w:instrText>NUMPAGES</w:instrText>
            </w:r>
            <w:r w:rsidRPr="00105369">
              <w:rPr>
                <w:b/>
                <w:bCs/>
                <w:sz w:val="16"/>
                <w:szCs w:val="18"/>
              </w:rPr>
              <w:fldChar w:fldCharType="separate"/>
            </w:r>
            <w:r w:rsidR="002A228F">
              <w:rPr>
                <w:b/>
                <w:bCs/>
                <w:noProof/>
                <w:sz w:val="16"/>
                <w:szCs w:val="18"/>
              </w:rPr>
              <w:t>2</w:t>
            </w:r>
            <w:r w:rsidRPr="00105369">
              <w:rPr>
                <w:b/>
                <w:bCs/>
                <w:sz w:val="16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6614000" w14:textId="77777777" w:rsidP="00105369" w:rsidR="00B777BC" w:rsidRDefault="00B777BC">
      <w:pPr>
        <w:spacing w:after="0" w:line="240" w:lineRule="auto"/>
      </w:pPr>
      <w:r>
        <w:separator/>
      </w:r>
    </w:p>
  </w:footnote>
  <w:footnote w:id="0" w:type="continuationSeparator">
    <w:p w14:paraId="00DAD622" w14:textId="77777777" w:rsidP="00105369" w:rsidR="00B777BC" w:rsidRDefault="00B7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1777B4DE" w14:textId="66878674" w:rsidR="00A77FA3" w:rsidRDefault="001A2A70">
    <w:pPr>
      <w:pStyle w:val="En-tte"/>
    </w:pPr>
    <w:r>
      <w:rPr>
        <w:noProof/>
      </w:rPr>
      <w:drawing>
        <wp:inline distB="0" distL="0" distR="0" distT="0" wp14:anchorId="2ADE1462" wp14:editId="4AB0936A">
          <wp:extent cx="1558637" cy="620422"/>
          <wp:effectExtent b="0" l="0" r="0" t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7200" cy="627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1A11D18"/>
    <w:multiLevelType w:val="hybridMultilevel"/>
    <w:tmpl w:val="77CAE404"/>
    <w:lvl w:ilvl="0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">
    <w:nsid w:val="04C05F54"/>
    <w:multiLevelType w:val="multilevel"/>
    <w:tmpl w:val="BE3484F0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hint="default"/>
      </w:rPr>
    </w:lvl>
  </w:abstractNum>
  <w:abstractNum w15:restartNumberingAfterBreak="0" w:abstractNumId="2">
    <w:nsid w:val="060C17A2"/>
    <w:multiLevelType w:val="multilevel"/>
    <w:tmpl w:val="65F4A8F4"/>
    <w:lvl w:ilvl="0">
      <w:start w:val="4"/>
      <w:numFmt w:val="decimal"/>
      <w:lvlText w:val="%1"/>
      <w:lvlJc w:val="left"/>
      <w:pPr>
        <w:ind w:hanging="360" w:left="360"/>
      </w:pPr>
      <w:rPr>
        <w:rFonts w:cstheme="minorBidi" w:hint="default"/>
        <w:i/>
      </w:rPr>
    </w:lvl>
    <w:lvl w:ilvl="1">
      <w:start w:val="1"/>
      <w:numFmt w:val="decimal"/>
      <w:lvlText w:val="%1.%2"/>
      <w:lvlJc w:val="left"/>
      <w:pPr>
        <w:ind w:hanging="360" w:left="1068"/>
      </w:pPr>
      <w:rPr>
        <w:rFonts w:cstheme="minorBidi" w:hint="default"/>
        <w:i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cstheme="minorBidi" w:hint="default"/>
        <w:i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cstheme="minorBidi" w:hint="default"/>
        <w:i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cstheme="minorBidi" w:hint="default"/>
        <w:i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cstheme="minorBidi" w:hint="default"/>
        <w:i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cstheme="minorBidi" w:hint="default"/>
        <w:i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cstheme="minorBidi" w:hint="default"/>
        <w:i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cstheme="minorBidi" w:hint="default"/>
        <w:i/>
      </w:rPr>
    </w:lvl>
  </w:abstractNum>
  <w:abstractNum w15:restartNumberingAfterBreak="0" w:abstractNumId="3">
    <w:nsid w:val="0F154C1F"/>
    <w:multiLevelType w:val="hybridMultilevel"/>
    <w:tmpl w:val="9E024CA0"/>
    <w:lvl w:ilvl="0" w:tplc="5B10E7BC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F6F6239"/>
    <w:multiLevelType w:val="hybridMultilevel"/>
    <w:tmpl w:val="EE6AE86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4D735D4"/>
    <w:multiLevelType w:val="hybridMultilevel"/>
    <w:tmpl w:val="A9D28D3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4C4F4908"/>
    <w:multiLevelType w:val="multilevel"/>
    <w:tmpl w:val="14E854C6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hint="default"/>
      </w:rPr>
    </w:lvl>
  </w:abstractNum>
  <w:abstractNum w15:restartNumberingAfterBreak="0" w:abstractNumId="7">
    <w:nsid w:val="4CF769D6"/>
    <w:multiLevelType w:val="hybridMultilevel"/>
    <w:tmpl w:val="FC5863E0"/>
    <w:lvl w:ilvl="0" w:tplc="8746F52A">
      <w:numFmt w:val="bullet"/>
      <w:lvlText w:val="•"/>
      <w:lvlJc w:val="left"/>
      <w:pPr>
        <w:ind w:hanging="708" w:left="1068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0CB24C6"/>
    <w:multiLevelType w:val="multilevel"/>
    <w:tmpl w:val="6A7C9BEA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1068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hint="default"/>
      </w:rPr>
    </w:lvl>
  </w:abstractNum>
  <w:abstractNum w15:restartNumberingAfterBreak="0" w:abstractNumId="9">
    <w:nsid w:val="64B24443"/>
    <w:multiLevelType w:val="multilevel"/>
    <w:tmpl w:val="BE3484F0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hint="default"/>
      </w:rPr>
    </w:lvl>
  </w:abstractNum>
  <w:abstractNum w15:restartNumberingAfterBreak="0" w:abstractNumId="10">
    <w:nsid w:val="7F2E598C"/>
    <w:multiLevelType w:val="multilevel"/>
    <w:tmpl w:val="BE3484F0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0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39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0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defaultTabStop w:val="708"/>
  <w:hyphenationZone w:val="425"/>
  <w:characterSpacingControl w:val="doNotCompress"/>
  <w:savePreviewPicture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3D"/>
    <w:rsid w:val="0004025E"/>
    <w:rsid w:val="000573FE"/>
    <w:rsid w:val="000E4746"/>
    <w:rsid w:val="00105369"/>
    <w:rsid w:val="00147AC1"/>
    <w:rsid w:val="001A2A70"/>
    <w:rsid w:val="001C6A19"/>
    <w:rsid w:val="001E0D09"/>
    <w:rsid w:val="001F02DC"/>
    <w:rsid w:val="001F4DA4"/>
    <w:rsid w:val="002A228F"/>
    <w:rsid w:val="002A3128"/>
    <w:rsid w:val="002E3261"/>
    <w:rsid w:val="00331FA0"/>
    <w:rsid w:val="00345E39"/>
    <w:rsid w:val="00350398"/>
    <w:rsid w:val="00362BDB"/>
    <w:rsid w:val="004D1E75"/>
    <w:rsid w:val="004F091D"/>
    <w:rsid w:val="0052583D"/>
    <w:rsid w:val="005801AE"/>
    <w:rsid w:val="00592BB0"/>
    <w:rsid w:val="005B6AA9"/>
    <w:rsid w:val="005C2BC6"/>
    <w:rsid w:val="005D3FE6"/>
    <w:rsid w:val="005F2A96"/>
    <w:rsid w:val="00601DEE"/>
    <w:rsid w:val="0063285F"/>
    <w:rsid w:val="00651A5A"/>
    <w:rsid w:val="0066289E"/>
    <w:rsid w:val="006F18A5"/>
    <w:rsid w:val="006F2B3B"/>
    <w:rsid w:val="006F3F87"/>
    <w:rsid w:val="00720F2E"/>
    <w:rsid w:val="007255AF"/>
    <w:rsid w:val="00796B9C"/>
    <w:rsid w:val="007C0DA9"/>
    <w:rsid w:val="00811ED2"/>
    <w:rsid w:val="00871E06"/>
    <w:rsid w:val="0089269F"/>
    <w:rsid w:val="008C4DFD"/>
    <w:rsid w:val="008D3FC0"/>
    <w:rsid w:val="0090748E"/>
    <w:rsid w:val="00980CA7"/>
    <w:rsid w:val="009C303D"/>
    <w:rsid w:val="009F25F4"/>
    <w:rsid w:val="009F7931"/>
    <w:rsid w:val="00A00C44"/>
    <w:rsid w:val="00A3740C"/>
    <w:rsid w:val="00A52448"/>
    <w:rsid w:val="00A77FA3"/>
    <w:rsid w:val="00A912E4"/>
    <w:rsid w:val="00B1500E"/>
    <w:rsid w:val="00B52E29"/>
    <w:rsid w:val="00B777BC"/>
    <w:rsid w:val="00B830DD"/>
    <w:rsid w:val="00B948AF"/>
    <w:rsid w:val="00BF4BB0"/>
    <w:rsid w:val="00C10920"/>
    <w:rsid w:val="00C156EB"/>
    <w:rsid w:val="00C34685"/>
    <w:rsid w:val="00C4246D"/>
    <w:rsid w:val="00C80C4A"/>
    <w:rsid w:val="00CB71B5"/>
    <w:rsid w:val="00CC7916"/>
    <w:rsid w:val="00CE3170"/>
    <w:rsid w:val="00D72CBC"/>
    <w:rsid w:val="00D7366C"/>
    <w:rsid w:val="00E15C40"/>
    <w:rsid w:val="00E50773"/>
    <w:rsid w:val="00EA14A0"/>
    <w:rsid w:val="00F05414"/>
    <w:rsid w:val="00F41127"/>
    <w:rsid w:val="00F42F18"/>
    <w:rsid w:val="00F57E0F"/>
    <w:rsid w:val="00F779C4"/>
    <w:rsid w:val="00F80F0D"/>
    <w:rsid w:val="00FD238E"/>
    <w:rsid w:val="00FD51FD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79A8E2EE"/>
  <w15:chartTrackingRefBased/>
  <w15:docId w15:val="{04DE158F-0A90-4E70-87F9-36ABB496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itre1" w:type="paragraph">
    <w:name w:val="heading 1"/>
    <w:basedOn w:val="Sous-titre"/>
    <w:next w:val="Normal"/>
    <w:link w:val="Titre1Car"/>
    <w:uiPriority w:val="9"/>
    <w:qFormat/>
    <w:rsid w:val="007C0DA9"/>
    <w:pPr>
      <w:outlineLvl w:val="0"/>
    </w:pPr>
    <w:rPr>
      <w:color w:val="FF0000"/>
    </w:rPr>
  </w:style>
  <w:style w:styleId="Titre2" w:type="paragraph">
    <w:name w:val="heading 2"/>
    <w:basedOn w:val="Sansinterligne"/>
    <w:next w:val="Normal"/>
    <w:link w:val="Titre2Car"/>
    <w:uiPriority w:val="9"/>
    <w:unhideWhenUsed/>
    <w:qFormat/>
    <w:rsid w:val="007C0DA9"/>
    <w:pPr>
      <w:numPr>
        <w:ilvl w:val="1"/>
        <w:numId w:val="1"/>
      </w:numPr>
      <w:spacing w:before="40"/>
      <w:jc w:val="both"/>
      <w:outlineLvl w:val="1"/>
    </w:pPr>
    <w:rPr>
      <w:rFonts w:asciiTheme="majorHAnsi" w:hAnsiTheme="majorHAnsi"/>
      <w:i/>
      <w:color w:val="FF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Sansinterligne" w:type="paragraph">
    <w:name w:val="No Spacing"/>
    <w:uiPriority w:val="1"/>
    <w:qFormat/>
    <w:rsid w:val="00A3740C"/>
    <w:pPr>
      <w:spacing w:after="0" w:line="240" w:lineRule="auto"/>
    </w:pPr>
  </w:style>
  <w:style w:styleId="Sous-titre" w:type="paragraph">
    <w:name w:val="Subtitle"/>
    <w:aliases w:val="ARTICLE"/>
    <w:basedOn w:val="Sansinterligne"/>
    <w:next w:val="Normal"/>
    <w:link w:val="Sous-titreCar"/>
    <w:uiPriority w:val="11"/>
    <w:qFormat/>
    <w:rsid w:val="00C34685"/>
    <w:pPr>
      <w:spacing w:before="40"/>
      <w:jc w:val="both"/>
    </w:pPr>
    <w:rPr>
      <w:rFonts w:asciiTheme="majorHAnsi" w:cstheme="majorHAnsi" w:hAnsiTheme="majorHAnsi"/>
      <w:b/>
      <w:noProof/>
      <w:color w:val="C00000"/>
    </w:rPr>
  </w:style>
  <w:style w:customStyle="1" w:styleId="Sous-titreCar" w:type="character">
    <w:name w:val="Sous-titre Car"/>
    <w:aliases w:val="ARTICLE Car"/>
    <w:basedOn w:val="Policepardfaut"/>
    <w:link w:val="Sous-titre"/>
    <w:uiPriority w:val="11"/>
    <w:rsid w:val="00C34685"/>
    <w:rPr>
      <w:rFonts w:asciiTheme="majorHAnsi" w:cstheme="majorHAnsi" w:hAnsiTheme="majorHAnsi"/>
      <w:b/>
      <w:noProof/>
      <w:color w:val="C00000"/>
    </w:rPr>
  </w:style>
  <w:style w:styleId="Titre" w:type="paragraph">
    <w:name w:val="Title"/>
    <w:basedOn w:val="Normal"/>
    <w:next w:val="Normal"/>
    <w:link w:val="TitreCar"/>
    <w:uiPriority w:val="10"/>
    <w:qFormat/>
    <w:rsid w:val="005F2A96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b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5F2A96"/>
    <w:rPr>
      <w:rFonts w:asciiTheme="majorHAnsi" w:cstheme="majorBidi" w:eastAsiaTheme="majorEastAsia" w:hAnsiTheme="majorHAnsi"/>
      <w:b/>
      <w:spacing w:val="-10"/>
      <w:kern w:val="28"/>
      <w:sz w:val="56"/>
      <w:szCs w:val="56"/>
    </w:rPr>
  </w:style>
  <w:style w:styleId="Accentuationintense" w:type="character">
    <w:name w:val="Intense Emphasis"/>
    <w:aliases w:val="SOUS-TITRE"/>
    <w:basedOn w:val="Policepardfaut"/>
    <w:uiPriority w:val="21"/>
    <w:qFormat/>
    <w:rsid w:val="00C34685"/>
    <w:rPr>
      <w:rFonts w:asciiTheme="majorHAnsi" w:cstheme="majorHAnsi" w:hAnsiTheme="majorHAnsi"/>
      <w:i/>
      <w:iCs/>
      <w:color w:val="C00000"/>
    </w:rPr>
  </w:style>
  <w:style w:customStyle="1" w:styleId="Titre1Car" w:type="character">
    <w:name w:val="Titre 1 Car"/>
    <w:basedOn w:val="Policepardfaut"/>
    <w:link w:val="Titre1"/>
    <w:uiPriority w:val="9"/>
    <w:rsid w:val="007C0DA9"/>
    <w:rPr>
      <w:rFonts w:asciiTheme="majorHAnsi" w:cstheme="majorHAnsi" w:hAnsiTheme="majorHAnsi"/>
      <w:b/>
      <w:noProof/>
      <w:color w:val="FF0000"/>
    </w:rPr>
  </w:style>
  <w:style w:customStyle="1" w:styleId="Titre2Car" w:type="character">
    <w:name w:val="Titre 2 Car"/>
    <w:basedOn w:val="Policepardfaut"/>
    <w:link w:val="Titre2"/>
    <w:uiPriority w:val="9"/>
    <w:rsid w:val="007C0DA9"/>
    <w:rPr>
      <w:rFonts w:asciiTheme="majorHAnsi" w:hAnsiTheme="majorHAnsi"/>
      <w:i/>
      <w:color w:val="FF0000"/>
    </w:rPr>
  </w:style>
  <w:style w:styleId="En-tte" w:type="paragraph">
    <w:name w:val="header"/>
    <w:basedOn w:val="Normal"/>
    <w:link w:val="En-tteCar"/>
    <w:uiPriority w:val="99"/>
    <w:unhideWhenUsed/>
    <w:rsid w:val="0010536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05369"/>
  </w:style>
  <w:style w:styleId="Pieddepage" w:type="paragraph">
    <w:name w:val="footer"/>
    <w:basedOn w:val="Normal"/>
    <w:link w:val="PieddepageCar"/>
    <w:uiPriority w:val="99"/>
    <w:unhideWhenUsed/>
    <w:rsid w:val="0010536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05369"/>
  </w:style>
  <w:style w:styleId="En-ttedetabledesmatires" w:type="paragraph">
    <w:name w:val="TOC Heading"/>
    <w:basedOn w:val="Titre1"/>
    <w:next w:val="Normal"/>
    <w:uiPriority w:val="39"/>
    <w:unhideWhenUsed/>
    <w:qFormat/>
    <w:rsid w:val="001F02DC"/>
    <w:pPr>
      <w:keepNext/>
      <w:keepLines/>
      <w:spacing w:before="240" w:line="259" w:lineRule="auto"/>
      <w:jc w:val="left"/>
      <w:outlineLvl w:val="9"/>
    </w:pPr>
    <w:rPr>
      <w:rFonts w:cstheme="majorBidi" w:eastAsiaTheme="majorEastAsia"/>
      <w:b w:val="0"/>
      <w:noProof w:val="0"/>
      <w:color w:themeColor="accent1" w:themeShade="BF" w:val="2F5496"/>
      <w:sz w:val="32"/>
      <w:szCs w:val="32"/>
      <w:lang w:eastAsia="fr-FR"/>
    </w:rPr>
  </w:style>
  <w:style w:styleId="TM1" w:type="paragraph">
    <w:name w:val="toc 1"/>
    <w:basedOn w:val="Normal"/>
    <w:next w:val="Normal"/>
    <w:autoRedefine/>
    <w:uiPriority w:val="39"/>
    <w:unhideWhenUsed/>
    <w:rsid w:val="001F02DC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1F02DC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1F02DC"/>
    <w:rPr>
      <w:color w:themeColor="hyperlink" w:val="0563C1"/>
      <w:u w:val="single"/>
    </w:rPr>
  </w:style>
  <w:style w:styleId="Marquedecommentaire" w:type="character">
    <w:name w:val="annotation reference"/>
    <w:basedOn w:val="Policepardfaut"/>
    <w:uiPriority w:val="99"/>
    <w:semiHidden/>
    <w:unhideWhenUsed/>
    <w:rsid w:val="00BF4BB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BF4BB0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BF4BB0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BF4BB0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BF4BB0"/>
    <w:rPr>
      <w:b/>
      <w:bCs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F4B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F4BB0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389E2-1531-464F-A8BF-B4731657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854</Words>
  <Characters>4701</Characters>
  <Application>Microsoft Office Word</Application>
  <DocSecurity>0</DocSecurity>
  <Lines>39</Lines>
  <Paragraphs>11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baseType="lpstr" size="14">
      <vt:lpstr/>
      <vt:lpstr>PREAMBULE</vt:lpstr>
      <vt:lpstr>ARTICLE 1 – CHAMP D’APPLICATION</vt:lpstr>
      <vt:lpstr>ARTICLE 2 – DUREE DE L’ACCORD</vt:lpstr>
      <vt:lpstr>ARTICLE 3 – DISPOSITIONS SALARIALES</vt:lpstr>
      <vt:lpstr>    Augmentation générale</vt:lpstr>
      <vt:lpstr>    Augmentations individuelles </vt:lpstr>
      <vt:lpstr>    Augmentations promotionnelles </vt:lpstr>
      <vt:lpstr>    Primes d'Equipe</vt:lpstr>
      <vt:lpstr>    Mesures additionnelles</vt:lpstr>
      <vt:lpstr>    Abondement du Plan d’Epargne Entreprise</vt:lpstr>
      <vt:lpstr>    Autres thèmes qui feront l’objet d’échanges au cours de l’année 2022</vt:lpstr>
      <vt:lpstr>ARTICLE 4 – REGLEMENT DES DIFFERENDS</vt:lpstr>
      <vt:lpstr>ARTICLE 5 – DÉPÔT ET PUBLICITE</vt:lpstr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2018-02-12T12:31:00Z</dcterms:created>
  <cp:lastPrinted>2022-02-02T08:17:00Z</cp:lastPrinted>
  <dcterms:modified xsi:type="dcterms:W3CDTF">2022-02-08T16:45:00Z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61e3985f-f701-4a1c-a97f-401c0b5e51f9_Enabled" pid="2">
    <vt:lpwstr>true</vt:lpwstr>
  </property>
  <property fmtid="{D5CDD505-2E9C-101B-9397-08002B2CF9AE}" name="MSIP_Label_61e3985f-f701-4a1c-a97f-401c0b5e51f9_SetDate" pid="3">
    <vt:lpwstr>2022-02-08T16:45:06Z</vt:lpwstr>
  </property>
  <property fmtid="{D5CDD505-2E9C-101B-9397-08002B2CF9AE}" name="MSIP_Label_61e3985f-f701-4a1c-a97f-401c0b5e51f9_Method" pid="4">
    <vt:lpwstr>Standard</vt:lpwstr>
  </property>
  <property fmtid="{D5CDD505-2E9C-101B-9397-08002B2CF9AE}" name="MSIP_Label_61e3985f-f701-4a1c-a97f-401c0b5e51f9_Name" pid="5">
    <vt:lpwstr>C2 - Restricted</vt:lpwstr>
  </property>
  <property fmtid="{D5CDD505-2E9C-101B-9397-08002B2CF9AE}" name="MSIP_Label_61e3985f-f701-4a1c-a97f-401c0b5e51f9_SiteId" pid="6">
    <vt:lpwstr>0f111499-fe47-4d09-9cbe-6a59b98c9107</vt:lpwstr>
  </property>
  <property fmtid="{D5CDD505-2E9C-101B-9397-08002B2CF9AE}" name="MSIP_Label_61e3985f-f701-4a1c-a97f-401c0b5e51f9_ActionId" pid="7">
    <vt:lpwstr>8d429020-5dba-425d-ba22-cce65f9988d1</vt:lpwstr>
  </property>
  <property fmtid="{D5CDD505-2E9C-101B-9397-08002B2CF9AE}" name="MSIP_Label_61e3985f-f701-4a1c-a97f-401c0b5e51f9_ContentBits" pid="8">
    <vt:lpwstr>0</vt:lpwstr>
  </property>
</Properties>
</file>