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pBdr>
          <w:top w:val="single" w:sz="4" w:space="8" w:color="000000"/>
          <w:left w:val="single" w:sz="4" w:space="4" w:color="000000"/>
          <w:bottom w:val="single" w:sz="4" w:space="8" w:color="000000"/>
          <w:right w:val="single" w:sz="4" w:space="4" w:color="000000"/>
        </w:pBdr>
        <w:ind w:left="360" w:right="252" w:hanging="0"/>
        <w:rPr>
          <w:rFonts w:ascii="Calibri" w:hAnsi="Calibri" w:cs="Calibri"/>
          <w:color w:val="002060"/>
          <w:szCs w:val="28"/>
        </w:rPr>
      </w:pPr>
      <w:r>
        <w:rPr>
          <w:rFonts w:cs="Calibri" w:ascii="Calibri" w:hAnsi="Calibri"/>
          <w:color w:val="002060"/>
          <w:szCs w:val="28"/>
        </w:rPr>
        <w:t xml:space="preserve">ACCORD ANNUEL </w:t>
      </w:r>
      <w:r>
        <w:rPr>
          <w:rFonts w:cs="Calibri" w:ascii="Calibri" w:hAnsi="Calibri"/>
          <w:caps/>
          <w:color w:val="002060"/>
          <w:szCs w:val="28"/>
        </w:rPr>
        <w:t xml:space="preserve">sur les rémunérations, le temps de travail et le partage de la valeur ajoutée </w:t>
      </w:r>
    </w:p>
    <w:p>
      <w:pPr>
        <w:pStyle w:val="Normal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cs="Calibri" w:ascii="Calibri" w:hAnsi="Calibri"/>
          <w:color w:val="002060"/>
          <w:sz w:val="24"/>
          <w:szCs w:val="24"/>
        </w:rPr>
      </w:r>
    </w:p>
    <w:p>
      <w:pPr>
        <w:pStyle w:val="Normal"/>
        <w:spacing w:before="400" w:after="120"/>
        <w:ind w:left="-539" w:right="-828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Entre :</w:t>
      </w:r>
    </w:p>
    <w:p>
      <w:pPr>
        <w:pStyle w:val="Normal"/>
        <w:spacing w:before="120" w:after="0"/>
        <w:ind w:left="-540" w:right="-828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</w:r>
    </w:p>
    <w:p>
      <w:pPr>
        <w:pStyle w:val="Normal"/>
        <w:spacing w:before="120" w:after="0"/>
        <w:ind w:left="-540" w:right="-828" w:hanging="0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b/>
          <w:color w:val="002060"/>
          <w:sz w:val="28"/>
          <w:szCs w:val="28"/>
        </w:rPr>
        <w:t>L’UES PLASTIC OMNIUM AUTO EXTERIEUR</w:t>
      </w:r>
      <w:r>
        <w:rPr>
          <w:rFonts w:cs="Calibri" w:ascii="Calibri" w:hAnsi="Calibri"/>
          <w:color w:val="002060"/>
          <w:sz w:val="28"/>
          <w:szCs w:val="28"/>
        </w:rPr>
        <w:t>, composée des sociétés Plastic Omnium Auto Exterieur SAS et Plastic Omnium Auto Exterieur Services SAS, représentée par Monsieur XXX en qualité de Directeur Ressources Humaines France &amp; Maroc</w:t>
      </w:r>
    </w:p>
    <w:p>
      <w:pPr>
        <w:pStyle w:val="Normal"/>
        <w:tabs>
          <w:tab w:val="left" w:pos="4815" w:leader="none"/>
        </w:tabs>
        <w:spacing w:before="40" w:after="0"/>
        <w:ind w:left="-539" w:right="-828" w:firstLine="1247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d’une part,</w:t>
        <w:tab/>
      </w:r>
    </w:p>
    <w:p>
      <w:pPr>
        <w:pStyle w:val="Normal"/>
        <w:spacing w:before="120" w:after="0"/>
        <w:ind w:left="-540" w:right="-828" w:hanging="0"/>
        <w:jc w:val="both"/>
        <w:rPr>
          <w:rFonts w:ascii="Calibri" w:hAnsi="Calibri" w:cs="Calibri"/>
          <w:b/>
          <w:b/>
          <w:color w:val="002060"/>
          <w:sz w:val="28"/>
          <w:szCs w:val="28"/>
        </w:rPr>
      </w:pPr>
      <w:r>
        <w:rPr>
          <w:rFonts w:cs="Calibri" w:ascii="Calibri" w:hAnsi="Calibri"/>
          <w:b/>
          <w:color w:val="002060"/>
          <w:sz w:val="28"/>
          <w:szCs w:val="28"/>
        </w:rPr>
      </w:r>
    </w:p>
    <w:p>
      <w:pPr>
        <w:pStyle w:val="Normal"/>
        <w:spacing w:before="120" w:after="0"/>
        <w:ind w:left="-540" w:right="-828" w:hanging="0"/>
        <w:jc w:val="both"/>
        <w:rPr>
          <w:rFonts w:ascii="Calibri" w:hAnsi="Calibri" w:cs="Calibri"/>
          <w:b/>
          <w:b/>
          <w:color w:val="002060"/>
          <w:sz w:val="28"/>
          <w:szCs w:val="28"/>
        </w:rPr>
      </w:pPr>
      <w:r>
        <w:rPr>
          <w:rFonts w:cs="Calibri" w:ascii="Calibri" w:hAnsi="Calibri"/>
          <w:b/>
          <w:color w:val="002060"/>
          <w:sz w:val="28"/>
          <w:szCs w:val="28"/>
        </w:rPr>
        <w:t>Les organisations syndicales, CFDT, CFE-CGC, CGT, et CGT-FO</w:t>
      </w:r>
    </w:p>
    <w:p>
      <w:pPr>
        <w:pStyle w:val="Normal"/>
        <w:tabs>
          <w:tab w:val="left" w:pos="4815" w:leader="none"/>
        </w:tabs>
        <w:spacing w:before="40" w:after="0"/>
        <w:ind w:left="-539" w:right="-828" w:firstLine="1247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d’autre part,</w:t>
      </w:r>
    </w:p>
    <w:p>
      <w:pPr>
        <w:pStyle w:val="Normal"/>
        <w:spacing w:before="400" w:after="120"/>
        <w:ind w:left="-539" w:right="-828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Préambule :</w:t>
      </w:r>
    </w:p>
    <w:p>
      <w:pPr>
        <w:pStyle w:val="Normal"/>
        <w:spacing w:before="120" w:after="0"/>
        <w:ind w:left="-540" w:right="-828" w:hanging="0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Les réunions de négociation sur les rémunérations, le temps de travail et le partage de la valeur ajoutée se sont déroulées les 18 et 25 janvier 2022 à Levallois.</w:t>
      </w:r>
    </w:p>
    <w:p>
      <w:pPr>
        <w:pStyle w:val="Normal"/>
        <w:spacing w:before="400" w:after="120"/>
        <w:ind w:left="-539" w:right="-828" w:hanging="0"/>
        <w:jc w:val="both"/>
        <w:rPr/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Article 1 - Champ d’application de l’accord</w:t>
      </w:r>
    </w:p>
    <w:p>
      <w:pPr>
        <w:pStyle w:val="Normal"/>
        <w:spacing w:before="400" w:after="120"/>
        <w:ind w:left="-539" w:right="-828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color w:val="002060"/>
          <w:sz w:val="28"/>
          <w:szCs w:val="28"/>
        </w:rPr>
        <w:t xml:space="preserve">Le présent accord s’applique à l’ensemble des salariés des sociétés Plastic Omnium Auto Extérieur et Plastic Omnium Auto Extérieur Services en France. </w:t>
      </w:r>
    </w:p>
    <w:p>
      <w:pPr>
        <w:pStyle w:val="Normal"/>
        <w:spacing w:before="400" w:after="120"/>
        <w:ind w:left="-539" w:right="-828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 xml:space="preserve">Article 2 - Salaires </w:t>
      </w:r>
    </w:p>
    <w:p>
      <w:pPr>
        <w:pStyle w:val="Normal"/>
        <w:spacing w:before="400" w:after="120"/>
        <w:ind w:left="-539" w:right="-828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color w:val="002060"/>
          <w:sz w:val="28"/>
          <w:szCs w:val="28"/>
        </w:rPr>
        <w:t>L’augmentation des salaires de base pour l’année 2022 est la suivante :</w:t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spacing w:before="120" w:after="0"/>
        <w:ind w:left="1134" w:right="-828" w:hanging="709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b/>
          <w:color w:val="002060"/>
          <w:sz w:val="28"/>
          <w:szCs w:val="28"/>
        </w:rPr>
        <w:t>Coefficients 710 à 830 :</w:t>
      </w:r>
    </w:p>
    <w:p>
      <w:pPr>
        <w:pStyle w:val="Normal"/>
        <w:ind w:left="993" w:right="-828" w:firstLine="141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 xml:space="preserve">Augmentation générale de </w:t>
      </w:r>
      <w:r>
        <w:rPr>
          <w:rFonts w:cs="Calibri" w:ascii="Calibri" w:hAnsi="Calibri"/>
          <w:b/>
          <w:color w:val="002060"/>
          <w:sz w:val="28"/>
          <w:szCs w:val="28"/>
        </w:rPr>
        <w:t>3%</w:t>
      </w:r>
      <w:r>
        <w:rPr>
          <w:rFonts w:cs="Calibri" w:ascii="Calibri" w:hAnsi="Calibri"/>
          <w:color w:val="002060"/>
          <w:sz w:val="28"/>
          <w:szCs w:val="28"/>
        </w:rPr>
        <w:t xml:space="preserve"> avec un </w:t>
      </w:r>
      <w:r>
        <w:rPr>
          <w:rFonts w:cs="Calibri" w:ascii="Calibri" w:hAnsi="Calibri"/>
          <w:b/>
          <w:color w:val="002060"/>
          <w:sz w:val="28"/>
          <w:szCs w:val="28"/>
        </w:rPr>
        <w:t>talon de 60 €</w:t>
      </w:r>
      <w:r>
        <w:rPr>
          <w:rFonts w:cs="Calibri" w:ascii="Calibri" w:hAnsi="Calibri"/>
          <w:color w:val="002060"/>
          <w:sz w:val="28"/>
          <w:szCs w:val="28"/>
        </w:rPr>
        <w:t xml:space="preserve"> brut au 1</w:t>
      </w:r>
      <w:r>
        <w:rPr>
          <w:rFonts w:cs="Calibri" w:ascii="Calibri" w:hAnsi="Calibri"/>
          <w:color w:val="002060"/>
          <w:sz w:val="28"/>
          <w:szCs w:val="28"/>
          <w:vertAlign w:val="superscript"/>
        </w:rPr>
        <w:t>er</w:t>
      </w:r>
      <w:r>
        <w:rPr>
          <w:rFonts w:cs="Calibri" w:ascii="Calibri" w:hAnsi="Calibri"/>
          <w:color w:val="002060"/>
          <w:sz w:val="28"/>
          <w:szCs w:val="28"/>
        </w:rPr>
        <w:t xml:space="preserve"> mars 2022</w:t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spacing w:before="120" w:after="0"/>
        <w:ind w:left="1134" w:right="-828" w:hanging="709"/>
        <w:jc w:val="both"/>
        <w:rPr/>
      </w:pPr>
      <w:r>
        <w:rPr>
          <w:rFonts w:cs="Calibri" w:ascii="Calibri" w:hAnsi="Calibri"/>
          <w:b/>
          <w:color w:val="002060"/>
          <w:sz w:val="28"/>
          <w:szCs w:val="28"/>
        </w:rPr>
        <w:t>Coefficients 900 à 930 :</w:t>
      </w:r>
    </w:p>
    <w:p>
      <w:pPr>
        <w:pStyle w:val="Normal"/>
        <w:ind w:left="993" w:right="-828" w:firstLine="141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 xml:space="preserve">Augmentation individuelle moyenne de </w:t>
      </w:r>
      <w:r>
        <w:rPr>
          <w:rFonts w:cs="Calibri" w:ascii="Calibri" w:hAnsi="Calibri"/>
          <w:b/>
          <w:color w:val="002060"/>
          <w:sz w:val="28"/>
          <w:szCs w:val="28"/>
        </w:rPr>
        <w:t>3%</w:t>
      </w:r>
      <w:r>
        <w:rPr>
          <w:rFonts w:cs="Calibri" w:ascii="Calibri" w:hAnsi="Calibri"/>
          <w:color w:val="002060"/>
          <w:sz w:val="28"/>
          <w:szCs w:val="28"/>
        </w:rPr>
        <w:t xml:space="preserve"> au 1</w:t>
      </w:r>
      <w:r>
        <w:rPr>
          <w:rFonts w:cs="Calibri" w:ascii="Calibri" w:hAnsi="Calibri"/>
          <w:color w:val="002060"/>
          <w:sz w:val="28"/>
          <w:szCs w:val="28"/>
          <w:vertAlign w:val="superscript"/>
        </w:rPr>
        <w:t>er</w:t>
      </w:r>
      <w:r>
        <w:rPr>
          <w:rFonts w:cs="Calibri" w:ascii="Calibri" w:hAnsi="Calibri"/>
          <w:color w:val="002060"/>
          <w:sz w:val="28"/>
          <w:szCs w:val="28"/>
        </w:rPr>
        <w:t xml:space="preserve"> juillet 2022</w:t>
      </w:r>
    </w:p>
    <w:p>
      <w:pPr>
        <w:pStyle w:val="Normal"/>
        <w:spacing w:before="400" w:after="120"/>
        <w:ind w:left="-539" w:right="-828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Article 3 - Temps de travail et partage de la valeur ajoutée</w:t>
      </w:r>
    </w:p>
    <w:p>
      <w:pPr>
        <w:pStyle w:val="Normal"/>
        <w:spacing w:before="100" w:after="0"/>
        <w:ind w:left="360" w:right="-828" w:hanging="0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Les dispositions relatives au temps de travail demeurent inchangées</w:t>
      </w:r>
    </w:p>
    <w:p>
      <w:pPr>
        <w:pStyle w:val="Normal"/>
        <w:spacing w:before="400" w:after="120"/>
        <w:ind w:left="-539" w:right="-828" w:hanging="0"/>
        <w:jc w:val="both"/>
        <w:rPr/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Article 4 - Durée et application de l’accord</w:t>
      </w:r>
    </w:p>
    <w:p>
      <w:pPr>
        <w:pStyle w:val="Normal"/>
        <w:spacing w:before="100" w:after="0"/>
        <w:ind w:right="-828" w:hanging="0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Le présent accord est conclu pour une durée déterminée d’un an à compter du 1</w:t>
      </w:r>
      <w:r>
        <w:rPr>
          <w:rFonts w:cs="Calibri" w:ascii="Calibri" w:hAnsi="Calibri"/>
          <w:color w:val="002060"/>
          <w:sz w:val="28"/>
          <w:szCs w:val="28"/>
          <w:vertAlign w:val="superscript"/>
        </w:rPr>
        <w:t>er</w:t>
      </w:r>
      <w:r>
        <w:rPr>
          <w:rFonts w:cs="Calibri" w:ascii="Calibri" w:hAnsi="Calibri"/>
          <w:color w:val="002060"/>
          <w:sz w:val="28"/>
          <w:szCs w:val="28"/>
        </w:rPr>
        <w:t xml:space="preserve"> mars 2022.</w:t>
      </w:r>
    </w:p>
    <w:p>
      <w:pPr>
        <w:pStyle w:val="Normal"/>
        <w:spacing w:before="400" w:after="120"/>
        <w:ind w:left="-539" w:right="-828" w:hanging="0"/>
        <w:jc w:val="both"/>
        <w:rPr/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Article 5 - Dépôt de l’accord</w:t>
      </w:r>
    </w:p>
    <w:p>
      <w:pPr>
        <w:pStyle w:val="Normal"/>
        <w:spacing w:before="100" w:after="0"/>
        <w:ind w:right="-828" w:hanging="0"/>
        <w:jc w:val="both"/>
        <w:rPr/>
      </w:pPr>
      <w:r>
        <w:rPr>
          <w:rFonts w:cs="Calibri" w:ascii="Calibri" w:hAnsi="Calibri"/>
          <w:color w:val="002060"/>
          <w:sz w:val="28"/>
          <w:szCs w:val="28"/>
        </w:rPr>
        <w:t>Le présent accord sera déposé par l’entreprise sur la plateforme de télé-procédure travail-emploi du Ministère.</w:t>
      </w:r>
    </w:p>
    <w:p>
      <w:pPr>
        <w:pStyle w:val="Normal"/>
        <w:spacing w:before="100" w:after="0"/>
        <w:ind w:right="-828" w:hanging="0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Un exemplaire sera également déposé par courrier postal recommandé au Secrétariat Greffe du Conseil de Prud’hommes de Nanterre.</w:t>
      </w:r>
    </w:p>
    <w:p>
      <w:pPr>
        <w:pStyle w:val="Normal"/>
        <w:spacing w:before="100" w:after="0"/>
        <w:ind w:right="-828" w:hanging="0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Conformément à l’article L.2231-5 du Code du Travail, le texte du présent accord est notifié à l’ensemble des organisations syndicales représentatives au sein de l’UES POAE.</w:t>
      </w:r>
    </w:p>
    <w:p>
      <w:pPr>
        <w:pStyle w:val="Normal"/>
        <w:ind w:left="-540" w:right="-828" w:hanging="0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</w:r>
    </w:p>
    <w:p>
      <w:pPr>
        <w:pStyle w:val="Normal"/>
        <w:ind w:left="-540" w:right="-828" w:hanging="0"/>
        <w:jc w:val="both"/>
        <w:rPr>
          <w:rFonts w:ascii="Calibri" w:hAnsi="Calibri" w:cs="Calibri"/>
          <w:color w:val="002060"/>
        </w:rPr>
      </w:pPr>
      <w:r>
        <w:rPr>
          <w:rFonts w:cs="Calibri" w:ascii="Calibri" w:hAnsi="Calibri"/>
          <w:color w:val="002060"/>
        </w:rPr>
      </w:r>
    </w:p>
    <w:p>
      <w:pPr>
        <w:pStyle w:val="Normal"/>
        <w:ind w:left="-540" w:right="-828" w:hanging="0"/>
        <w:jc w:val="both"/>
        <w:rPr>
          <w:rFonts w:ascii="Calibri" w:hAnsi="Calibri" w:cs="Calibri"/>
          <w:color w:val="002060"/>
        </w:rPr>
      </w:pPr>
      <w:r>
        <w:rPr>
          <w:rFonts w:cs="Calibri" w:ascii="Calibri" w:hAnsi="Calibri"/>
          <w:color w:val="002060"/>
        </w:rPr>
      </w:r>
    </w:p>
    <w:p>
      <w:pPr>
        <w:pStyle w:val="Normal"/>
        <w:ind w:left="-540" w:right="-828" w:hanging="0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Fait à Levallois-Perret, le 27 janvier 2022</w:t>
      </w:r>
    </w:p>
    <w:p>
      <w:pPr>
        <w:pStyle w:val="Normal"/>
        <w:ind w:left="-540" w:right="-828" w:hanging="0"/>
        <w:jc w:val="both"/>
        <w:rPr>
          <w:rFonts w:ascii="Calibri" w:hAnsi="Calibri" w:cs="Calibri"/>
          <w:b/>
          <w:b/>
          <w:color w:val="002060"/>
          <w:sz w:val="36"/>
          <w:szCs w:val="36"/>
        </w:rPr>
      </w:pPr>
      <w:r>
        <w:rPr>
          <w:rFonts w:cs="Calibri" w:ascii="Calibri" w:hAnsi="Calibri"/>
          <w:b/>
          <w:color w:val="002060"/>
          <w:sz w:val="36"/>
          <w:szCs w:val="36"/>
        </w:rPr>
      </w:r>
    </w:p>
    <w:p>
      <w:pPr>
        <w:pStyle w:val="TextBody"/>
        <w:tabs>
          <w:tab w:val="left" w:pos="5040" w:leader="none"/>
          <w:tab w:val="left" w:pos="5220" w:leader="none"/>
          <w:tab w:val="left" w:pos="5760" w:leader="none"/>
        </w:tabs>
        <w:ind w:right="-828" w:hanging="0"/>
        <w:jc w:val="left"/>
        <w:rPr>
          <w:rFonts w:ascii="Calibri" w:hAnsi="Calibri" w:cs="Calibri"/>
          <w:b/>
          <w:b/>
          <w:color w:val="002060"/>
          <w:sz w:val="36"/>
          <w:szCs w:val="36"/>
        </w:rPr>
      </w:pPr>
      <w:r>
        <w:rPr>
          <w:rFonts w:cs="Calibri" w:ascii="Calibri" w:hAnsi="Calibri"/>
          <w:b/>
          <w:color w:val="002060"/>
          <w:sz w:val="36"/>
          <w:szCs w:val="36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 w:val="36"/>
          <w:szCs w:val="24"/>
        </w:rPr>
      </w:pPr>
      <w:r>
        <w:rPr>
          <w:color w:val="002060"/>
          <w:sz w:val="36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  <w:t>DSC CFDT</w:t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  <w:t>DSC CGT</w:t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  <w:t>DSC CFE-CGC</w:t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  <w:t>DSC CGT-FO</w:t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</w:r>
    </w:p>
    <w:p>
      <w:pPr>
        <w:pStyle w:val="TextBody"/>
        <w:tabs>
          <w:tab w:val="left" w:pos="5220" w:leader="none"/>
          <w:tab w:val="left" w:pos="5760" w:leader="none"/>
        </w:tabs>
        <w:ind w:right="-828" w:hanging="0"/>
        <w:jc w:val="center"/>
        <w:rPr>
          <w:color w:val="002060"/>
          <w:szCs w:val="24"/>
        </w:rPr>
      </w:pPr>
      <w:r>
        <w:rPr>
          <w:color w:val="002060"/>
          <w:szCs w:val="24"/>
        </w:rPr>
        <w:t>DRH France &amp; Maroc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sectPr>
          <w:footerReference w:type="default" r:id="rId2"/>
          <w:type w:val="nextPage"/>
          <w:pgSz w:w="11906" w:h="16838"/>
          <w:pgMar w:left="1134" w:right="1418" w:header="0" w:top="1021" w:footer="709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Gautami">
    <w:charset w:val="01"/>
    <w:family w:val="roman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>
        <w:rStyle w:val="PageNumber"/>
        <w:color w:val="00206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2060"/>
      </w:rPr>
      <w:t>/2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8"/>
        <w:szCs w:val="28"/>
        <w:rFonts w:cs="Wingdings"/>
        <w:color w:val="00206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fr-FR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Calibri" w:hAnsi="Calibri" w:eastAsia="Times New Roman" w:cs="Calibri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Calibri" w:hAnsi="Calibri" w:eastAsia="Times New Roman" w:cs="Calibri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Gautami" w:hAnsi="Gautami" w:cs="Gautami"/>
      <w:color w:val="00008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2z0">
    <w:name w:val="WW8Num12z0"/>
    <w:qFormat/>
    <w:rPr>
      <w:rFonts w:ascii="Arial" w:hAnsi="Arial" w:cs="Arial"/>
    </w:rPr>
  </w:style>
  <w:style w:type="character" w:styleId="WW8Num13z0">
    <w:name w:val="WW8Num13z0"/>
    <w:qFormat/>
    <w:rPr>
      <w:rFonts w:ascii="Times New Roman" w:hAnsi="Times New Roman" w:cs="Times New Roman"/>
    </w:rPr>
  </w:style>
  <w:style w:type="character" w:styleId="WW8Num14z0">
    <w:name w:val="WW8Num14z0"/>
    <w:qFormat/>
    <w:rPr>
      <w:rFonts w:ascii="Arial" w:hAnsi="Arial" w:cs="Aria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  <w:color w:val="002060"/>
      <w:sz w:val="28"/>
      <w:szCs w:val="28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28"/>
    </w:rPr>
  </w:style>
  <w:style w:type="paragraph" w:styleId="TextBody">
    <w:name w:val="Body Text"/>
    <w:basedOn w:val="Normal"/>
    <w:pPr>
      <w:jc w:val="both"/>
    </w:pPr>
    <w:rPr>
      <w:sz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rpsdetexte2">
    <w:name w:val="Corps de texte 2"/>
    <w:basedOn w:val="Normal"/>
    <w:qFormat/>
    <w:pPr>
      <w:jc w:val="both"/>
    </w:pPr>
    <w:rPr>
      <w:color w:val="333399"/>
      <w:sz w:val="28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Paragraphedeliste">
    <w:name w:val="Paragraphe de liste"/>
    <w:basedOn w:val="Normal"/>
    <w:qFormat/>
    <w:pPr>
      <w:spacing w:before="0" w:after="0"/>
      <w:ind w:left="720" w:hanging="0"/>
      <w:contextualSpacing/>
    </w:pPr>
    <w:rPr>
      <w:sz w:val="24"/>
      <w:szCs w:val="24"/>
    </w:rPr>
  </w:style>
  <w:style w:type="paragraph" w:styleId="Default">
    <w:name w:val="Default"/>
    <w:qFormat/>
    <w:pPr>
      <w:widowControl/>
      <w:autoSpaceDE w:val="false"/>
    </w:pPr>
    <w:rPr>
      <w:rFonts w:ascii="Arial" w:hAnsi="Arial" w:eastAsia="Times New Roman" w:cs="Arial"/>
      <w:color w:val="000000"/>
      <w:sz w:val="24"/>
      <w:szCs w:val="24"/>
      <w:lang w:val="fr-FR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2022-02-09T10:42:00Z</dcterms:created>
  <dc:creator/>
  <dc:description/>
  <dc:language>en-GB</dc:language>
  <cp:lastModifiedBy/>
  <cp:lastPrinted>2019-02-05T15:26:00Z</cp:lastPrinted>
  <dcterms:modified xsi:type="dcterms:W3CDTF">2022-02-09T10:43:00Z</dcterms:modified>
  <cp:revision>3</cp:revision>
  <dc:subject/>
  <dc:title>ACCORD ANNUEL SUR LES SALAIRES EFFECTIFS,</dc:title>
</cp:coreProperties>
</file>