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header1.xml" ContentType="application/vnd.openxmlformats-officedocument.wordprocessingml.header+xml"/>
  <Override PartName="/word/_rels/document.xml.rels" ContentType="application/vnd.openxmlformats-package.relationships+xml"/>
  <Override PartName="/word/settings.xml" ContentType="application/vnd.openxmlformats-officedocument.wordprocessingml.settings+xml"/>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pBdr>
          <w:top w:val="single" w:sz="12" w:space="10" w:color="000000" w:shadow="1"/>
          <w:left w:val="single" w:sz="12" w:space="4" w:color="000000" w:shadow="1"/>
          <w:bottom w:val="single" w:sz="12" w:space="10" w:color="000000" w:shadow="1"/>
          <w:right w:val="single" w:sz="12" w:space="4" w:color="000000" w:shadow="1"/>
        </w:pBdr>
        <w:spacing w:before="120" w:after="0"/>
        <w:jc w:val="center"/>
        <w:rPr>
          <w:rFonts w:ascii="Tahoma" w:hAnsi="Tahoma" w:cs="Tahoma"/>
          <w:b/>
          <w:b/>
          <w:sz w:val="24"/>
        </w:rPr>
      </w:pPr>
      <w:r>
        <w:rPr>
          <w:rFonts w:cs="Tahoma" w:ascii="Tahoma" w:hAnsi="Tahoma"/>
          <w:b/>
          <w:sz w:val="24"/>
        </w:rPr>
        <w:t>ACCORD RELATIF AUX THEMES DE LA NEGOCIATION ANNUELLE OBLIGATOIRE POUR 2022 AU SEIN D’INEO AUTOMOTIVE</w:t>
      </w:r>
    </w:p>
    <w:p>
      <w:pPr>
        <w:pStyle w:val="Texte"/>
        <w:rPr>
          <w:rFonts w:ascii="Tahoma" w:hAnsi="Tahoma" w:cs="Tahoma"/>
          <w:b/>
          <w:b/>
          <w:sz w:val="20"/>
        </w:rPr>
      </w:pPr>
      <w:r>
        <w:rPr>
          <w:rFonts w:cs="Tahoma" w:ascii="Tahoma" w:hAnsi="Tahoma"/>
          <w:b/>
          <w:sz w:val="20"/>
        </w:rPr>
      </w:r>
    </w:p>
    <w:p>
      <w:pPr>
        <w:pStyle w:val="Texte"/>
        <w:rPr>
          <w:rFonts w:ascii="Tahoma" w:hAnsi="Tahoma" w:cs="Tahoma"/>
          <w:sz w:val="20"/>
        </w:rPr>
      </w:pPr>
      <w:r>
        <w:rPr>
          <w:rFonts w:cs="Tahoma" w:ascii="Tahoma" w:hAnsi="Tahoma"/>
          <w:sz w:val="20"/>
        </w:rPr>
      </w:r>
    </w:p>
    <w:p>
      <w:pPr>
        <w:pStyle w:val="Texte"/>
        <w:rPr>
          <w:rFonts w:ascii="Tahoma" w:hAnsi="Tahoma" w:cs="Tahoma"/>
          <w:sz w:val="20"/>
        </w:rPr>
      </w:pPr>
      <w:r>
        <w:rPr>
          <w:rFonts w:cs="Tahoma" w:ascii="Tahoma" w:hAnsi="Tahoma"/>
          <w:sz w:val="20"/>
        </w:rPr>
      </w:r>
    </w:p>
    <w:p>
      <w:pPr>
        <w:pStyle w:val="Texte"/>
        <w:rPr/>
      </w:pPr>
      <w:r>
        <w:rPr>
          <w:rFonts w:cs="Tahoma" w:ascii="Tahoma" w:hAnsi="Tahoma"/>
          <w:b/>
          <w:bCs/>
          <w:sz w:val="20"/>
        </w:rPr>
        <w:t>Entre</w:t>
      </w:r>
      <w:r>
        <w:rPr>
          <w:rFonts w:cs="Tahoma" w:ascii="Tahoma" w:hAnsi="Tahoma"/>
          <w:sz w:val="20"/>
        </w:rPr>
        <w:t xml:space="preserve"> :</w:t>
      </w:r>
    </w:p>
    <w:p>
      <w:pPr>
        <w:pStyle w:val="Texte"/>
        <w:rPr>
          <w:rFonts w:ascii="Tahoma" w:hAnsi="Tahoma" w:cs="Tahoma"/>
          <w:sz w:val="20"/>
        </w:rPr>
      </w:pPr>
      <w:r>
        <w:rPr>
          <w:rFonts w:cs="Tahoma" w:ascii="Tahoma" w:hAnsi="Tahoma"/>
          <w:sz w:val="20"/>
        </w:rPr>
      </w:r>
    </w:p>
    <w:p>
      <w:pPr>
        <w:pStyle w:val="Texte"/>
        <w:rPr>
          <w:rFonts w:ascii="Tahoma" w:hAnsi="Tahoma" w:cs="Tahoma"/>
          <w:sz w:val="20"/>
        </w:rPr>
      </w:pPr>
      <w:r>
        <w:rPr>
          <w:rFonts w:cs="Tahoma" w:ascii="Tahoma" w:hAnsi="Tahoma"/>
          <w:sz w:val="20"/>
        </w:rPr>
        <w:t>La société INEO Automotive ayant son siège social 1, Place Samuel de Champlain 92930 Paris La Défense, représentée par,</w:t>
      </w:r>
    </w:p>
    <w:p>
      <w:pPr>
        <w:pStyle w:val="Texte"/>
        <w:rPr>
          <w:rFonts w:ascii="Tahoma" w:hAnsi="Tahoma" w:cs="Tahoma"/>
          <w:sz w:val="20"/>
        </w:rPr>
      </w:pPr>
      <w:r>
        <w:rPr>
          <w:rFonts w:cs="Tahoma" w:ascii="Tahoma" w:hAnsi="Tahoma"/>
          <w:sz w:val="20"/>
        </w:rPr>
      </w:r>
    </w:p>
    <w:p>
      <w:pPr>
        <w:pStyle w:val="Texte"/>
        <w:jc w:val="right"/>
        <w:rPr>
          <w:rFonts w:ascii="Tahoma" w:hAnsi="Tahoma" w:cs="Tahoma"/>
          <w:b/>
          <w:b/>
          <w:bCs/>
          <w:sz w:val="20"/>
        </w:rPr>
      </w:pPr>
      <w:r>
        <w:rPr>
          <w:rFonts w:cs="Tahoma" w:ascii="Tahoma" w:hAnsi="Tahoma"/>
          <w:b/>
          <w:bCs/>
          <w:sz w:val="20"/>
        </w:rPr>
        <w:t>D'une part</w:t>
      </w:r>
    </w:p>
    <w:p>
      <w:pPr>
        <w:pStyle w:val="Texte"/>
        <w:rPr>
          <w:rFonts w:ascii="Tahoma" w:hAnsi="Tahoma" w:cs="Tahoma"/>
          <w:b/>
          <w:b/>
          <w:bCs/>
          <w:sz w:val="20"/>
        </w:rPr>
      </w:pPr>
      <w:r>
        <w:rPr>
          <w:rFonts w:cs="Tahoma" w:ascii="Tahoma" w:hAnsi="Tahoma"/>
          <w:b/>
          <w:bCs/>
          <w:sz w:val="20"/>
        </w:rPr>
      </w:r>
    </w:p>
    <w:p>
      <w:pPr>
        <w:pStyle w:val="Texte"/>
        <w:rPr>
          <w:rFonts w:ascii="Tahoma" w:hAnsi="Tahoma" w:cs="Tahoma"/>
          <w:sz w:val="20"/>
        </w:rPr>
      </w:pPr>
      <w:r>
        <w:rPr>
          <w:rFonts w:cs="Tahoma" w:ascii="Tahoma" w:hAnsi="Tahoma"/>
          <w:b/>
          <w:bCs/>
          <w:sz w:val="20"/>
        </w:rPr>
        <w:t>Et :</w:t>
      </w:r>
    </w:p>
    <w:p>
      <w:pPr>
        <w:pStyle w:val="Texte"/>
        <w:spacing w:before="120" w:after="0"/>
        <w:rPr>
          <w:rFonts w:ascii="Tahoma" w:hAnsi="Tahoma" w:cs="Tahoma"/>
          <w:sz w:val="20"/>
        </w:rPr>
      </w:pPr>
      <w:r>
        <w:rPr>
          <w:rFonts w:cs="Tahoma" w:ascii="Tahoma" w:hAnsi="Tahoma"/>
          <w:sz w:val="20"/>
        </w:rPr>
        <w:t xml:space="preserve">L'organisation syndicale C.F.D.T., représentée par </w:t>
      </w:r>
    </w:p>
    <w:p>
      <w:pPr>
        <w:pStyle w:val="Texte"/>
        <w:spacing w:before="120" w:after="0"/>
        <w:rPr>
          <w:rFonts w:ascii="Tahoma" w:hAnsi="Tahoma" w:cs="Tahoma"/>
          <w:sz w:val="20"/>
        </w:rPr>
      </w:pPr>
      <w:r>
        <w:rPr>
          <w:rFonts w:cs="Tahoma" w:ascii="Tahoma" w:hAnsi="Tahoma"/>
          <w:sz w:val="20"/>
        </w:rPr>
        <w:t xml:space="preserve">L'organisation syndicale C.F.T.C., représentée par </w:t>
      </w:r>
    </w:p>
    <w:p>
      <w:pPr>
        <w:pStyle w:val="Texte"/>
        <w:spacing w:before="120" w:after="0"/>
        <w:rPr>
          <w:rFonts w:ascii="Tahoma" w:hAnsi="Tahoma" w:cs="Tahoma"/>
          <w:sz w:val="20"/>
        </w:rPr>
      </w:pPr>
      <w:r>
        <w:rPr>
          <w:rFonts w:cs="Tahoma" w:ascii="Tahoma" w:hAnsi="Tahoma"/>
          <w:sz w:val="20"/>
        </w:rPr>
        <w:t xml:space="preserve">L'organisation syndicale C.F.E.-C.G.C., représentée par </w:t>
      </w:r>
    </w:p>
    <w:p>
      <w:pPr>
        <w:pStyle w:val="Texte"/>
        <w:spacing w:before="120" w:after="0"/>
        <w:rPr>
          <w:rFonts w:ascii="Tahoma" w:hAnsi="Tahoma" w:cs="Tahoma"/>
          <w:sz w:val="20"/>
        </w:rPr>
      </w:pPr>
      <w:r>
        <w:rPr>
          <w:rFonts w:cs="Tahoma" w:ascii="Tahoma" w:hAnsi="Tahoma"/>
          <w:sz w:val="20"/>
        </w:rPr>
        <w:t>L’organisation syndicale CGT, représentée par,</w:t>
      </w:r>
    </w:p>
    <w:p>
      <w:pPr>
        <w:pStyle w:val="Texte"/>
        <w:spacing w:before="120" w:after="0"/>
        <w:rPr>
          <w:rFonts w:ascii="Tahoma" w:hAnsi="Tahoma" w:cs="Tahoma"/>
          <w:sz w:val="20"/>
        </w:rPr>
      </w:pPr>
      <w:r>
        <w:rPr>
          <w:rFonts w:cs="Tahoma" w:ascii="Tahoma" w:hAnsi="Tahoma"/>
          <w:sz w:val="20"/>
        </w:rPr>
      </w:r>
    </w:p>
    <w:p>
      <w:pPr>
        <w:pStyle w:val="Texte"/>
        <w:rPr>
          <w:rFonts w:ascii="Tahoma" w:hAnsi="Tahoma" w:cs="Tahoma"/>
          <w:sz w:val="20"/>
        </w:rPr>
      </w:pPr>
      <w:r>
        <w:rPr>
          <w:rFonts w:cs="Tahoma" w:ascii="Tahoma" w:hAnsi="Tahoma"/>
          <w:sz w:val="20"/>
        </w:rPr>
      </w:r>
    </w:p>
    <w:p>
      <w:pPr>
        <w:pStyle w:val="Texte"/>
        <w:jc w:val="right"/>
        <w:rPr/>
      </w:pPr>
      <w:r>
        <w:rPr>
          <w:rFonts w:cs="Tahoma" w:ascii="Tahoma" w:hAnsi="Tahoma"/>
          <w:b/>
          <w:bCs/>
          <w:sz w:val="20"/>
        </w:rPr>
        <w:t>D'autre part</w:t>
      </w:r>
    </w:p>
    <w:p>
      <w:pPr>
        <w:pStyle w:val="Texte"/>
        <w:spacing w:before="120" w:after="0"/>
        <w:rPr>
          <w:rFonts w:ascii="Tahoma" w:hAnsi="Tahoma" w:cs="Tahoma"/>
          <w:sz w:val="20"/>
        </w:rPr>
      </w:pPr>
      <w:r>
        <w:rPr>
          <w:rFonts w:cs="Tahoma" w:ascii="Tahoma" w:hAnsi="Tahoma"/>
          <w:sz w:val="20"/>
        </w:rPr>
        <w:t>Il a été conclu le présent accord.</w:t>
      </w:r>
    </w:p>
    <w:p>
      <w:pPr>
        <w:pStyle w:val="Texte"/>
        <w:rPr>
          <w:rFonts w:ascii="Tahoma" w:hAnsi="Tahoma" w:cs="Tahoma"/>
          <w:sz w:val="20"/>
        </w:rPr>
      </w:pPr>
      <w:r>
        <w:rPr>
          <w:rFonts w:cs="Tahoma" w:ascii="Tahoma" w:hAnsi="Tahoma"/>
          <w:sz w:val="20"/>
        </w:rPr>
      </w:r>
    </w:p>
    <w:p>
      <w:pPr>
        <w:pStyle w:val="Normal"/>
        <w:spacing w:before="120" w:after="0"/>
        <w:rPr>
          <w:rFonts w:ascii="Tahoma" w:hAnsi="Tahoma" w:cs="Tahoma"/>
          <w:b/>
          <w:b/>
          <w:sz w:val="20"/>
          <w:szCs w:val="20"/>
        </w:rPr>
      </w:pPr>
      <w:r>
        <w:rPr>
          <w:rFonts w:cs="Tahoma" w:ascii="Tahoma" w:hAnsi="Tahoma"/>
          <w:b/>
          <w:sz w:val="20"/>
          <w:szCs w:val="20"/>
        </w:rPr>
        <w:t>PREAMBULE</w:t>
      </w:r>
    </w:p>
    <w:p>
      <w:pPr>
        <w:pStyle w:val="Texte"/>
        <w:spacing w:before="120" w:after="0"/>
        <w:rPr>
          <w:rFonts w:ascii="Tahoma" w:hAnsi="Tahoma" w:cs="Tahoma"/>
          <w:sz w:val="20"/>
        </w:rPr>
      </w:pPr>
      <w:r>
        <w:rPr>
          <w:rFonts w:cs="Tahoma" w:ascii="Tahoma" w:hAnsi="Tahoma"/>
          <w:sz w:val="20"/>
        </w:rPr>
        <w:t>Conformément aux articles L. 2242-1 à L.2242-14 du Code du travail, la Direction et les Organisations Syndicales formées en délégation se sont réunies successivement les 4 janvier 2022, 11 janvier 2022, le 18 janvier 2022 et enfin le 4 février 2022.</w:t>
      </w:r>
    </w:p>
    <w:p>
      <w:pPr>
        <w:pStyle w:val="Texte"/>
        <w:spacing w:before="120" w:after="0"/>
        <w:rPr/>
      </w:pPr>
      <w:r>
        <w:rPr>
          <w:rFonts w:cs="Tahoma" w:ascii="Tahoma" w:hAnsi="Tahoma"/>
          <w:sz w:val="20"/>
        </w:rPr>
        <w:t>Lors de la première réunion, la Direction a remis aux Organisations syndicales et commenté, conformément principes arrêtés chaque année, les informations suivantes portant sur les effectifs, l’organisation du travail et la rémunération :</w:t>
      </w:r>
    </w:p>
    <w:p>
      <w:pPr>
        <w:pStyle w:val="Texte"/>
        <w:spacing w:before="120" w:after="0"/>
        <w:rPr>
          <w:rFonts w:ascii="Tahoma" w:hAnsi="Tahoma" w:cs="Tahoma"/>
          <w:sz w:val="20"/>
          <w:u w:val="single"/>
        </w:rPr>
      </w:pPr>
      <w:r>
        <w:rPr>
          <w:rFonts w:cs="Tahoma" w:ascii="Tahoma" w:hAnsi="Tahoma"/>
          <w:sz w:val="20"/>
          <w:u w:val="single"/>
        </w:rPr>
        <w:t>Volet 1 – Conditions générales d’emploi</w:t>
      </w:r>
    </w:p>
    <w:p>
      <w:pPr>
        <w:pStyle w:val="Texte"/>
        <w:numPr>
          <w:ilvl w:val="0"/>
          <w:numId w:val="8"/>
        </w:numPr>
        <w:spacing w:before="120" w:after="0"/>
        <w:rPr>
          <w:rFonts w:ascii="Tahoma" w:hAnsi="Tahoma" w:cs="Tahoma"/>
          <w:sz w:val="20"/>
        </w:rPr>
      </w:pPr>
      <w:r>
        <w:rPr>
          <w:rFonts w:cs="Tahoma" w:ascii="Tahoma" w:hAnsi="Tahoma"/>
          <w:sz w:val="20"/>
        </w:rPr>
        <w:t>Effectif total moyen sur la période considérée hors intérimaires et stagiaires</w:t>
      </w:r>
    </w:p>
    <w:p>
      <w:pPr>
        <w:pStyle w:val="Texte"/>
        <w:numPr>
          <w:ilvl w:val="0"/>
          <w:numId w:val="8"/>
        </w:numPr>
        <w:spacing w:before="120" w:after="0"/>
        <w:rPr>
          <w:rFonts w:ascii="Tahoma" w:hAnsi="Tahoma" w:cs="Tahoma"/>
          <w:sz w:val="20"/>
        </w:rPr>
      </w:pPr>
      <w:r>
        <w:rPr>
          <w:rFonts w:cs="Tahoma" w:ascii="Tahoma" w:hAnsi="Tahoma"/>
          <w:sz w:val="20"/>
        </w:rPr>
        <w:t>Répartition des effectifs par CSP / Contrat / Sexe</w:t>
      </w:r>
    </w:p>
    <w:p>
      <w:pPr>
        <w:pStyle w:val="Texte"/>
        <w:numPr>
          <w:ilvl w:val="0"/>
          <w:numId w:val="8"/>
        </w:numPr>
        <w:spacing w:before="120" w:after="0"/>
        <w:rPr>
          <w:rFonts w:ascii="Tahoma" w:hAnsi="Tahoma" w:cs="Tahoma"/>
          <w:sz w:val="20"/>
        </w:rPr>
      </w:pPr>
      <w:r>
        <w:rPr>
          <w:rFonts w:cs="Tahoma" w:ascii="Tahoma" w:hAnsi="Tahoma"/>
          <w:sz w:val="20"/>
        </w:rPr>
        <w:t>Répartition des effectifs par tranche d’âge à fin novembre 2021</w:t>
      </w:r>
    </w:p>
    <w:p>
      <w:pPr>
        <w:pStyle w:val="Texte"/>
        <w:numPr>
          <w:ilvl w:val="0"/>
          <w:numId w:val="8"/>
        </w:numPr>
        <w:spacing w:before="120" w:after="0"/>
        <w:rPr>
          <w:rFonts w:ascii="Tahoma" w:hAnsi="Tahoma" w:cs="Tahoma"/>
          <w:sz w:val="20"/>
        </w:rPr>
      </w:pPr>
      <w:r>
        <w:rPr>
          <w:rFonts w:cs="Tahoma" w:ascii="Tahoma" w:hAnsi="Tahoma"/>
          <w:sz w:val="20"/>
        </w:rPr>
        <w:t>Répartition des effectifs par tranche d’ancienneté à fin novembre 2021</w:t>
      </w:r>
    </w:p>
    <w:p>
      <w:pPr>
        <w:pStyle w:val="Texte"/>
        <w:numPr>
          <w:ilvl w:val="0"/>
          <w:numId w:val="8"/>
        </w:numPr>
        <w:spacing w:before="120" w:after="0"/>
        <w:rPr/>
      </w:pPr>
      <w:r>
        <w:rPr>
          <w:rFonts w:cs="Tahoma" w:ascii="Tahoma" w:hAnsi="Tahoma"/>
          <w:sz w:val="20"/>
        </w:rPr>
        <w:t>Répartition des effectifs par Convention Collective / Sexe à fin novembre 2021 hors alternance</w:t>
      </w:r>
    </w:p>
    <w:p>
      <w:pPr>
        <w:pStyle w:val="Texte"/>
        <w:numPr>
          <w:ilvl w:val="0"/>
          <w:numId w:val="8"/>
        </w:numPr>
        <w:spacing w:before="120" w:after="0"/>
        <w:rPr/>
      </w:pPr>
      <w:r>
        <w:rPr>
          <w:rFonts w:cs="Tahoma" w:ascii="Tahoma" w:hAnsi="Tahoma"/>
          <w:sz w:val="20"/>
        </w:rPr>
        <w:t>Embauches à fin novembre 2021 hors mobilité interne, transfert et stage</w:t>
      </w:r>
    </w:p>
    <w:p>
      <w:pPr>
        <w:pStyle w:val="Texte"/>
        <w:numPr>
          <w:ilvl w:val="0"/>
          <w:numId w:val="8"/>
        </w:numPr>
        <w:spacing w:before="120" w:after="0"/>
        <w:rPr/>
      </w:pPr>
      <w:r>
        <w:rPr>
          <w:rFonts w:cs="Tahoma" w:ascii="Tahoma" w:hAnsi="Tahoma"/>
          <w:sz w:val="20"/>
        </w:rPr>
        <w:t>Départs à fin novembre 2021 hors mobilité interne, transfert et stage</w:t>
      </w:r>
    </w:p>
    <w:p>
      <w:pPr>
        <w:pStyle w:val="Texte"/>
        <w:numPr>
          <w:ilvl w:val="0"/>
          <w:numId w:val="8"/>
        </w:numPr>
        <w:spacing w:before="120" w:after="0"/>
        <w:rPr>
          <w:rFonts w:ascii="Tahoma" w:hAnsi="Tahoma" w:cs="Tahoma"/>
          <w:sz w:val="20"/>
        </w:rPr>
      </w:pPr>
      <w:r>
        <w:rPr>
          <w:rFonts w:cs="Tahoma" w:ascii="Tahoma" w:hAnsi="Tahoma"/>
          <w:sz w:val="20"/>
        </w:rPr>
        <w:t>Effectifs en CDD et intérim – Période de Janvier à novembre 2021</w:t>
      </w:r>
    </w:p>
    <w:p>
      <w:pPr>
        <w:pStyle w:val="Texte"/>
        <w:spacing w:before="120" w:after="0"/>
        <w:rPr>
          <w:rFonts w:ascii="Tahoma" w:hAnsi="Tahoma" w:cs="Tahoma"/>
          <w:sz w:val="20"/>
        </w:rPr>
      </w:pPr>
      <w:r>
        <w:rPr>
          <w:rFonts w:cs="Tahoma" w:ascii="Tahoma" w:hAnsi="Tahoma"/>
          <w:sz w:val="20"/>
        </w:rPr>
      </w:r>
    </w:p>
    <w:p>
      <w:pPr>
        <w:pStyle w:val="Texte"/>
        <w:spacing w:before="120" w:after="0"/>
        <w:rPr/>
      </w:pPr>
      <w:r>
        <w:rPr>
          <w:rFonts w:cs="Tahoma" w:ascii="Tahoma" w:hAnsi="Tahoma"/>
          <w:sz w:val="20"/>
          <w:u w:val="single"/>
        </w:rPr>
        <w:t>Volet 2 – Information sur la durée et l’organisation du temps de travail</w:t>
      </w:r>
    </w:p>
    <w:p>
      <w:pPr>
        <w:pStyle w:val="Texte"/>
        <w:numPr>
          <w:ilvl w:val="0"/>
          <w:numId w:val="5"/>
        </w:numPr>
        <w:spacing w:before="120" w:after="0"/>
        <w:rPr/>
      </w:pPr>
      <w:r>
        <w:rPr>
          <w:rFonts w:cs="Tahoma" w:ascii="Tahoma" w:hAnsi="Tahoma"/>
          <w:sz w:val="20"/>
        </w:rPr>
        <w:t>Temps de travail, heures supplémentaires, congés payés et RTT</w:t>
      </w:r>
    </w:p>
    <w:p>
      <w:pPr>
        <w:pStyle w:val="Texte"/>
        <w:numPr>
          <w:ilvl w:val="0"/>
          <w:numId w:val="5"/>
        </w:numPr>
        <w:spacing w:before="120" w:after="0"/>
        <w:rPr>
          <w:rFonts w:ascii="Tahoma" w:hAnsi="Tahoma" w:cs="Tahoma"/>
          <w:sz w:val="20"/>
        </w:rPr>
      </w:pPr>
      <w:r>
        <w:rPr>
          <w:rFonts w:cs="Tahoma" w:ascii="Tahoma" w:hAnsi="Tahoma"/>
          <w:sz w:val="20"/>
        </w:rPr>
        <w:t>Répartition des effectifs selon la durée du temps de travail – Fin novembre 2021</w:t>
      </w:r>
    </w:p>
    <w:p>
      <w:pPr>
        <w:pStyle w:val="Texte"/>
        <w:spacing w:before="120" w:after="0"/>
        <w:rPr>
          <w:rFonts w:ascii="Tahoma" w:hAnsi="Tahoma" w:cs="Tahoma"/>
          <w:sz w:val="20"/>
          <w:u w:val="single"/>
        </w:rPr>
      </w:pPr>
      <w:r>
        <w:rPr>
          <w:rFonts w:cs="Tahoma" w:ascii="Tahoma" w:hAnsi="Tahoma"/>
          <w:sz w:val="20"/>
          <w:u w:val="single"/>
        </w:rPr>
      </w:r>
    </w:p>
    <w:p>
      <w:pPr>
        <w:pStyle w:val="Texte"/>
        <w:spacing w:before="120" w:after="0"/>
        <w:rPr/>
      </w:pPr>
      <w:r>
        <w:rPr>
          <w:rFonts w:cs="Tahoma" w:ascii="Tahoma" w:hAnsi="Tahoma"/>
          <w:sz w:val="20"/>
          <w:u w:val="single"/>
        </w:rPr>
        <w:t>Volet 3 – Information sur les salaires effectifs</w:t>
      </w:r>
    </w:p>
    <w:p>
      <w:pPr>
        <w:pStyle w:val="Texte"/>
        <w:numPr>
          <w:ilvl w:val="0"/>
          <w:numId w:val="6"/>
        </w:numPr>
        <w:spacing w:before="120" w:after="0"/>
        <w:rPr/>
      </w:pPr>
      <w:r>
        <w:rPr>
          <w:rFonts w:cs="Tahoma" w:ascii="Tahoma" w:hAnsi="Tahoma"/>
          <w:sz w:val="20"/>
        </w:rPr>
        <w:t>Salaire mensuel moyen par coefficient / sexe – Contrats à temps plein (effectif permanent) hors alternance et stages</w:t>
      </w:r>
    </w:p>
    <w:p>
      <w:pPr>
        <w:pStyle w:val="Texte"/>
        <w:numPr>
          <w:ilvl w:val="0"/>
          <w:numId w:val="6"/>
        </w:numPr>
        <w:spacing w:before="120" w:after="0"/>
        <w:rPr>
          <w:rFonts w:ascii="Tahoma" w:hAnsi="Tahoma" w:cs="Tahoma"/>
          <w:sz w:val="20"/>
        </w:rPr>
      </w:pPr>
      <w:r>
        <w:rPr>
          <w:rFonts w:cs="Tahoma" w:ascii="Tahoma" w:hAnsi="Tahoma"/>
          <w:sz w:val="20"/>
        </w:rPr>
        <w:t>Etat des augmentations 2021 – Salariés en CDI – Présents au 31/12/2021</w:t>
      </w:r>
    </w:p>
    <w:p>
      <w:pPr>
        <w:pStyle w:val="Normal"/>
        <w:rPr>
          <w:rFonts w:ascii="Tahoma" w:hAnsi="Tahoma" w:cs="Tahoma"/>
          <w:sz w:val="20"/>
          <w:szCs w:val="20"/>
        </w:rPr>
      </w:pPr>
      <w:r>
        <w:rPr>
          <w:rFonts w:cs="Tahoma" w:ascii="Tahoma" w:hAnsi="Tahoma"/>
          <w:sz w:val="20"/>
          <w:szCs w:val="20"/>
        </w:rPr>
      </w:r>
    </w:p>
    <w:p>
      <w:pPr>
        <w:pStyle w:val="Texte"/>
        <w:rPr>
          <w:rFonts w:ascii="Tahoma" w:hAnsi="Tahoma" w:cs="Tahoma"/>
          <w:sz w:val="20"/>
          <w:szCs w:val="20"/>
        </w:rPr>
      </w:pPr>
      <w:r>
        <w:rPr>
          <w:rFonts w:cs="Tahoma" w:ascii="Tahoma" w:hAnsi="Tahoma"/>
          <w:sz w:val="20"/>
          <w:szCs w:val="20"/>
        </w:rPr>
      </w:r>
    </w:p>
    <w:p>
      <w:pPr>
        <w:pStyle w:val="Texte"/>
        <w:spacing w:before="120" w:after="0"/>
        <w:rPr/>
      </w:pPr>
      <w:r>
        <w:rPr>
          <w:rFonts w:cs="Tahoma" w:ascii="Tahoma" w:hAnsi="Tahoma"/>
          <w:b/>
          <w:bCs/>
          <w:sz w:val="20"/>
        </w:rPr>
        <w:t>Article 1</w:t>
      </w:r>
      <w:r>
        <w:rPr>
          <w:rFonts w:cs="Tahoma" w:ascii="Tahoma" w:hAnsi="Tahoma"/>
          <w:b/>
          <w:bCs/>
          <w:sz w:val="20"/>
          <w:vertAlign w:val="superscript"/>
        </w:rPr>
        <w:t>er</w:t>
      </w:r>
      <w:r>
        <w:rPr>
          <w:rFonts w:cs="Tahoma" w:ascii="Tahoma" w:hAnsi="Tahoma"/>
          <w:b/>
          <w:sz w:val="20"/>
        </w:rPr>
        <w:t xml:space="preserve"> – CHAMP D’APPLICATION</w:t>
      </w:r>
    </w:p>
    <w:p>
      <w:pPr>
        <w:pStyle w:val="Texte"/>
        <w:spacing w:before="120" w:after="0"/>
        <w:rPr>
          <w:rFonts w:ascii="Tahoma" w:hAnsi="Tahoma" w:cs="Tahoma"/>
          <w:sz w:val="20"/>
        </w:rPr>
      </w:pPr>
      <w:r>
        <w:rPr>
          <w:rFonts w:cs="Tahoma" w:ascii="Tahoma" w:hAnsi="Tahoma"/>
          <w:sz w:val="20"/>
        </w:rPr>
        <w:t xml:space="preserve">Les mesures s’appliquent à l’ensemble du personnel travaillant au sein du périmètre d’INEO </w:t>
      </w:r>
      <w:bookmarkStart w:id="0" w:name="_Hlk95143356"/>
      <w:r>
        <w:rPr>
          <w:rFonts w:cs="Tahoma" w:ascii="Tahoma" w:hAnsi="Tahoma"/>
          <w:sz w:val="20"/>
        </w:rPr>
        <w:t>Automotive</w:t>
      </w:r>
      <w:bookmarkEnd w:id="0"/>
      <w:r>
        <w:rPr>
          <w:rFonts w:cs="Tahoma" w:ascii="Tahoma" w:hAnsi="Tahoma"/>
          <w:sz w:val="20"/>
        </w:rPr>
        <w:t>.</w:t>
      </w:r>
    </w:p>
    <w:p>
      <w:pPr>
        <w:pStyle w:val="Texte"/>
        <w:rPr>
          <w:rFonts w:ascii="Tahoma" w:hAnsi="Tahoma" w:cs="Tahoma"/>
          <w:sz w:val="20"/>
        </w:rPr>
      </w:pPr>
      <w:r>
        <w:rPr>
          <w:rFonts w:cs="Tahoma" w:ascii="Tahoma" w:hAnsi="Tahoma"/>
          <w:sz w:val="20"/>
        </w:rPr>
      </w:r>
    </w:p>
    <w:p>
      <w:pPr>
        <w:pStyle w:val="Texte"/>
        <w:spacing w:before="120" w:after="0"/>
        <w:rPr/>
      </w:pPr>
      <w:r>
        <w:rPr>
          <w:rFonts w:cs="Tahoma" w:ascii="Tahoma" w:hAnsi="Tahoma"/>
          <w:b/>
          <w:bCs/>
          <w:sz w:val="20"/>
        </w:rPr>
        <w:t>Article 2 –</w:t>
      </w:r>
      <w:r>
        <w:rPr>
          <w:rFonts w:cs="Tahoma" w:ascii="Tahoma" w:hAnsi="Tahoma"/>
          <w:b/>
          <w:sz w:val="20"/>
        </w:rPr>
        <w:t xml:space="preserve"> DUREE</w:t>
      </w:r>
    </w:p>
    <w:p>
      <w:pPr>
        <w:pStyle w:val="Texte"/>
        <w:spacing w:before="120" w:after="0"/>
        <w:rPr>
          <w:rFonts w:ascii="Tahoma" w:hAnsi="Tahoma" w:cs="Tahoma"/>
          <w:sz w:val="20"/>
        </w:rPr>
      </w:pPr>
      <w:r>
        <w:rPr>
          <w:rFonts w:cs="Tahoma" w:ascii="Tahoma" w:hAnsi="Tahoma"/>
          <w:sz w:val="20"/>
        </w:rPr>
        <w:t>Le présent accord est conclu pour une durée déterminée de douze mois, correspondant à l'exercice social de la société, pour laquelle sont établies les prévisions économiques, à savoir pour la période du 1</w:t>
      </w:r>
      <w:r>
        <w:rPr>
          <w:rFonts w:cs="Tahoma" w:ascii="Tahoma" w:hAnsi="Tahoma"/>
          <w:sz w:val="20"/>
          <w:vertAlign w:val="superscript"/>
        </w:rPr>
        <w:t>er</w:t>
      </w:r>
      <w:r>
        <w:rPr>
          <w:rFonts w:cs="Tahoma" w:ascii="Tahoma" w:hAnsi="Tahoma"/>
          <w:sz w:val="20"/>
        </w:rPr>
        <w:t xml:space="preserve"> janvier 2022 au 31 décembre 2022.</w:t>
      </w:r>
    </w:p>
    <w:p>
      <w:pPr>
        <w:pStyle w:val="Texte"/>
        <w:spacing w:before="120" w:after="0"/>
        <w:rPr/>
      </w:pPr>
      <w:r>
        <w:rPr>
          <w:rFonts w:cs="Tahoma" w:ascii="Tahoma" w:hAnsi="Tahoma"/>
          <w:sz w:val="20"/>
        </w:rPr>
        <w:t>À cette dernière date, il prendra fin automatiquement, sans se transformer en accord à durée indéterminée, en raison de l'obligation de négocier un nouvel accord et du rattachement des avantages ci-après aux objectifs économiques de la période pendant laquelle il produira effet.</w:t>
      </w:r>
    </w:p>
    <w:p>
      <w:pPr>
        <w:pStyle w:val="Texte"/>
        <w:rPr>
          <w:rFonts w:ascii="Tahoma" w:hAnsi="Tahoma" w:cs="Tahoma"/>
          <w:sz w:val="20"/>
        </w:rPr>
      </w:pPr>
      <w:r>
        <w:rPr>
          <w:rFonts w:cs="Tahoma" w:ascii="Tahoma" w:hAnsi="Tahoma"/>
          <w:sz w:val="20"/>
        </w:rPr>
      </w:r>
    </w:p>
    <w:p>
      <w:pPr>
        <w:pStyle w:val="Normal"/>
        <w:spacing w:before="120" w:after="0"/>
        <w:rPr/>
      </w:pPr>
      <w:r>
        <w:rPr>
          <w:rFonts w:cs="Tahoma" w:ascii="Tahoma" w:hAnsi="Tahoma"/>
          <w:b/>
          <w:bCs/>
          <w:sz w:val="20"/>
          <w:szCs w:val="20"/>
        </w:rPr>
        <w:t>Article 3 –</w:t>
      </w:r>
      <w:r>
        <w:rPr>
          <w:rFonts w:cs="Tahoma" w:ascii="Tahoma" w:hAnsi="Tahoma"/>
          <w:b/>
          <w:sz w:val="20"/>
          <w:szCs w:val="20"/>
        </w:rPr>
        <w:t xml:space="preserve"> OBJET</w:t>
      </w:r>
    </w:p>
    <w:p>
      <w:pPr>
        <w:pStyle w:val="Normal"/>
        <w:spacing w:before="120" w:after="0"/>
        <w:rPr>
          <w:rFonts w:ascii="Tahoma" w:hAnsi="Tahoma" w:eastAsia="MS Mincho;ＭＳ 明朝" w:cs="Tahoma"/>
          <w:sz w:val="20"/>
          <w:szCs w:val="20"/>
        </w:rPr>
      </w:pPr>
      <w:r>
        <w:rPr>
          <w:rFonts w:eastAsia="MS Mincho;ＭＳ 明朝" w:cs="Tahoma" w:ascii="Tahoma" w:hAnsi="Tahoma"/>
          <w:sz w:val="20"/>
          <w:szCs w:val="20"/>
        </w:rPr>
        <w:t>La présente négociation s’inscrit pleinement dans le prolongement du processus de NAO pour 2022 engagé au niveau de l’UES, conformément au schéma d’organisation d’ENGIE Ineo tant sur le plan juridique, social que managérial.</w:t>
      </w:r>
    </w:p>
    <w:p>
      <w:pPr>
        <w:pStyle w:val="Normal"/>
        <w:spacing w:before="120" w:after="0"/>
        <w:rPr>
          <w:rFonts w:ascii="Tahoma" w:hAnsi="Tahoma" w:eastAsia="MS Mincho;ＭＳ 明朝" w:cs="Tahoma"/>
          <w:sz w:val="20"/>
          <w:szCs w:val="20"/>
        </w:rPr>
      </w:pPr>
      <w:r>
        <w:rPr>
          <w:rFonts w:eastAsia="MS Mincho;ＭＳ 明朝" w:cs="Tahoma" w:ascii="Tahoma" w:hAnsi="Tahoma"/>
          <w:sz w:val="20"/>
          <w:szCs w:val="20"/>
        </w:rPr>
      </w:r>
    </w:p>
    <w:p>
      <w:pPr>
        <w:pStyle w:val="Normal"/>
        <w:spacing w:before="120" w:after="0"/>
        <w:rPr/>
      </w:pPr>
      <w:r>
        <w:rPr>
          <w:rFonts w:cs="Tahoma" w:ascii="Tahoma" w:hAnsi="Tahoma"/>
          <w:b/>
          <w:sz w:val="20"/>
          <w:szCs w:val="20"/>
        </w:rPr>
        <w:t xml:space="preserve">Article 4 </w:t>
      </w:r>
      <w:r>
        <w:rPr>
          <w:rFonts w:cs="Tahoma" w:ascii="Tahoma" w:hAnsi="Tahoma"/>
          <w:b/>
          <w:bCs/>
          <w:sz w:val="20"/>
          <w:szCs w:val="20"/>
        </w:rPr>
        <w:t>–</w:t>
      </w:r>
      <w:r>
        <w:rPr>
          <w:rFonts w:cs="Tahoma" w:ascii="Tahoma" w:hAnsi="Tahoma"/>
          <w:b/>
          <w:sz w:val="20"/>
          <w:szCs w:val="20"/>
        </w:rPr>
        <w:t xml:space="preserve"> CALENDRIER DES REVISIONS SALARIALES</w:t>
      </w:r>
    </w:p>
    <w:p>
      <w:pPr>
        <w:pStyle w:val="Normal"/>
        <w:spacing w:before="120" w:after="0"/>
        <w:rPr/>
      </w:pPr>
      <w:r>
        <w:rPr>
          <w:rFonts w:cs="Tahoma" w:ascii="Tahoma" w:hAnsi="Tahoma"/>
          <w:sz w:val="20"/>
        </w:rPr>
        <w:t>Pour l’ensemble des collaborateurs, les révisions salariales interviendront</w:t>
      </w:r>
      <w:r>
        <w:rPr>
          <w:rFonts w:cs="Tahoma" w:ascii="Tahoma" w:hAnsi="Tahoma"/>
          <w:b/>
          <w:bCs/>
          <w:sz w:val="20"/>
        </w:rPr>
        <w:t xml:space="preserve"> au 31/03/2022 avec effet rétroactif au 01/01/2022</w:t>
      </w:r>
      <w:r>
        <w:rPr>
          <w:rFonts w:cs="Tahoma" w:ascii="Tahoma" w:hAnsi="Tahoma"/>
          <w:sz w:val="20"/>
        </w:rPr>
        <w:t>.</w:t>
      </w:r>
    </w:p>
    <w:p>
      <w:pPr>
        <w:pStyle w:val="Normal"/>
        <w:spacing w:before="120" w:after="0"/>
        <w:rPr/>
      </w:pPr>
      <w:r>
        <w:rPr>
          <w:rFonts w:cs="Tahoma" w:ascii="Tahoma" w:hAnsi="Tahoma"/>
          <w:sz w:val="20"/>
        </w:rPr>
        <w:t>S’agissant des primes versées au titre de l’exercice 2021 :</w:t>
      </w:r>
    </w:p>
    <w:p>
      <w:pPr>
        <w:pStyle w:val="Normal"/>
        <w:numPr>
          <w:ilvl w:val="0"/>
          <w:numId w:val="7"/>
        </w:numPr>
        <w:tabs>
          <w:tab w:val="left" w:pos="720" w:leader="none"/>
        </w:tabs>
        <w:spacing w:before="120" w:after="0"/>
        <w:ind w:left="720" w:hanging="360"/>
        <w:rPr/>
      </w:pPr>
      <w:r>
        <w:rPr>
          <w:rFonts w:cs="Tahoma" w:ascii="Tahoma" w:hAnsi="Tahoma"/>
          <w:sz w:val="20"/>
        </w:rPr>
        <w:t>pour les ETAM : dates de versement des GFA selon les usages en vigueur au sein des sociétés concernées ;</w:t>
      </w:r>
    </w:p>
    <w:p>
      <w:pPr>
        <w:pStyle w:val="Normal"/>
        <w:numPr>
          <w:ilvl w:val="0"/>
          <w:numId w:val="7"/>
        </w:numPr>
        <w:tabs>
          <w:tab w:val="left" w:pos="720" w:leader="none"/>
        </w:tabs>
        <w:spacing w:before="120" w:after="0"/>
        <w:ind w:left="720" w:hanging="360"/>
        <w:rPr/>
      </w:pPr>
      <w:r>
        <w:rPr>
          <w:rFonts w:cs="Tahoma" w:ascii="Tahoma" w:hAnsi="Tahoma"/>
          <w:sz w:val="20"/>
        </w:rPr>
        <w:t xml:space="preserve">pour les IAC : versement </w:t>
      </w:r>
      <w:r>
        <w:rPr>
          <w:rFonts w:cs="Tahoma" w:ascii="Tahoma" w:hAnsi="Tahoma"/>
          <w:b/>
          <w:sz w:val="20"/>
        </w:rPr>
        <w:t>en mars 2022</w:t>
      </w:r>
      <w:r>
        <w:rPr>
          <w:rFonts w:cs="Tahoma" w:ascii="Tahoma" w:hAnsi="Tahoma"/>
          <w:sz w:val="20"/>
        </w:rPr>
        <w:t xml:space="preserve"> des PVA.</w:t>
      </w:r>
    </w:p>
    <w:p>
      <w:pPr>
        <w:pStyle w:val="Texte"/>
        <w:spacing w:before="120" w:after="0"/>
        <w:rPr>
          <w:rFonts w:ascii="Tahoma" w:hAnsi="Tahoma" w:cs="Tahoma"/>
          <w:sz w:val="20"/>
        </w:rPr>
      </w:pPr>
      <w:r>
        <w:rPr>
          <w:rFonts w:cs="Tahoma" w:ascii="Tahoma" w:hAnsi="Tahoma"/>
          <w:sz w:val="20"/>
        </w:rPr>
        <w:t>Indépendamment du salaire annuel brut de base contractuel, les primes ou gratifications doivent être basées sur le principe de fixation d’objectifs et d’appréciation de la performance.</w:t>
      </w:r>
    </w:p>
    <w:p>
      <w:pPr>
        <w:pStyle w:val="Texte"/>
        <w:spacing w:before="120" w:after="0"/>
        <w:rPr>
          <w:rFonts w:ascii="Tahoma" w:hAnsi="Tahoma" w:cs="Tahoma"/>
          <w:sz w:val="20"/>
        </w:rPr>
      </w:pPr>
      <w:r>
        <w:rPr>
          <w:rFonts w:cs="Tahoma" w:ascii="Tahoma" w:hAnsi="Tahoma"/>
          <w:sz w:val="20"/>
        </w:rPr>
      </w:r>
    </w:p>
    <w:p>
      <w:pPr>
        <w:pStyle w:val="Normal"/>
        <w:spacing w:before="120" w:after="0"/>
        <w:rPr>
          <w:rFonts w:ascii="Tahoma" w:hAnsi="Tahoma" w:cs="Tahoma"/>
          <w:b/>
          <w:b/>
          <w:bCs/>
          <w:sz w:val="20"/>
          <w:szCs w:val="20"/>
        </w:rPr>
      </w:pPr>
      <w:r>
        <w:rPr>
          <w:rFonts w:cs="Tahoma" w:ascii="Tahoma" w:hAnsi="Tahoma"/>
          <w:b/>
          <w:bCs/>
          <w:sz w:val="20"/>
          <w:szCs w:val="20"/>
        </w:rPr>
        <w:t>Article 5 – BUDGET 2022</w:t>
      </w:r>
    </w:p>
    <w:p>
      <w:pPr>
        <w:pStyle w:val="Normal"/>
        <w:spacing w:before="120" w:after="0"/>
        <w:rPr>
          <w:rFonts w:ascii="Tahoma" w:hAnsi="Tahoma" w:cs="Tahoma"/>
          <w:b/>
          <w:b/>
          <w:bCs/>
          <w:sz w:val="20"/>
          <w:szCs w:val="20"/>
        </w:rPr>
      </w:pPr>
      <w:r>
        <w:rPr>
          <w:rFonts w:cs="Tahoma" w:ascii="Tahoma" w:hAnsi="Tahoma"/>
          <w:b/>
          <w:bCs/>
          <w:sz w:val="20"/>
          <w:szCs w:val="20"/>
        </w:rPr>
      </w:r>
    </w:p>
    <w:p>
      <w:pPr>
        <w:pStyle w:val="Texte"/>
        <w:numPr>
          <w:ilvl w:val="0"/>
          <w:numId w:val="2"/>
        </w:numPr>
        <w:spacing w:before="120" w:after="0"/>
        <w:rPr>
          <w:rFonts w:ascii="Tahoma" w:hAnsi="Tahoma" w:cs="Tahoma"/>
          <w:b/>
          <w:b/>
          <w:sz w:val="20"/>
        </w:rPr>
      </w:pPr>
      <w:r>
        <w:rPr>
          <w:rFonts w:cs="Tahoma" w:ascii="Tahoma" w:hAnsi="Tahoma"/>
          <w:b/>
          <w:sz w:val="20"/>
        </w:rPr>
        <w:t xml:space="preserve">Structure de rémunération </w:t>
      </w:r>
    </w:p>
    <w:p>
      <w:pPr>
        <w:pStyle w:val="Texte"/>
        <w:spacing w:before="120" w:after="0"/>
        <w:rPr/>
      </w:pPr>
      <w:r>
        <w:rPr>
          <w:rFonts w:cs="Tahoma" w:ascii="Tahoma" w:hAnsi="Tahoma"/>
          <w:sz w:val="20"/>
          <w:szCs w:val="24"/>
        </w:rPr>
        <w:t xml:space="preserve">Conformément aux accords NAO signés, la Direction rappelle que tous les nouveaux embauchés (ETAM &amp; Cadres) au sein d’INEO </w:t>
      </w:r>
      <w:r>
        <w:rPr>
          <w:rFonts w:cs="Tahoma" w:ascii="Tahoma" w:hAnsi="Tahoma"/>
          <w:sz w:val="20"/>
        </w:rPr>
        <w:t>Automotive</w:t>
      </w:r>
      <w:r>
        <w:rPr>
          <w:rFonts w:cs="Tahoma" w:ascii="Tahoma" w:hAnsi="Tahoma"/>
          <w:sz w:val="20"/>
          <w:szCs w:val="24"/>
        </w:rPr>
        <w:t xml:space="preserve"> sont rémunérés sur la base de 12,3 mois de salaire.</w:t>
      </w:r>
    </w:p>
    <w:p>
      <w:pPr>
        <w:pStyle w:val="Normal"/>
        <w:spacing w:before="120" w:after="0"/>
        <w:rPr/>
      </w:pPr>
      <w:r>
        <w:rPr>
          <w:rFonts w:eastAsia="MS Mincho;ＭＳ 明朝" w:cs="Tahoma" w:ascii="Tahoma" w:hAnsi="Tahoma"/>
          <w:sz w:val="20"/>
        </w:rPr>
        <w:t>Pour les ETAM dont la rémunération est basée sur 12,3 mois, il s’ajoute à la rémunération annuelle une Gratification de Fin d’Année (GFA) dont le montant varie de 0 à 1 mois des appointements mensuels bruts de base. Cette gratification est déterminée en fonction des performances individuelles du salarié.</w:t>
      </w:r>
    </w:p>
    <w:p>
      <w:pPr>
        <w:pStyle w:val="Normal"/>
        <w:spacing w:before="120" w:after="0"/>
        <w:rPr/>
      </w:pPr>
      <w:r>
        <w:rPr>
          <w:rFonts w:eastAsia="MS Mincho;ＭＳ 明朝" w:cs="Tahoma" w:ascii="Tahoma" w:hAnsi="Tahoma"/>
          <w:sz w:val="20"/>
        </w:rPr>
        <w:t>Pour les Cadres, compte tenu de la nature de leurs responsabilités, ils bénéficient d’une Prime Variable Annuelle (PVA) basée sur le principe de fixation d’objectifs et de suivi de la performance individuelle.</w:t>
      </w:r>
    </w:p>
    <w:p>
      <w:pPr>
        <w:pStyle w:val="Normal"/>
        <w:spacing w:before="120" w:after="0"/>
        <w:rPr>
          <w:rFonts w:ascii="Tahoma" w:hAnsi="Tahoma" w:eastAsia="MS Mincho;ＭＳ 明朝" w:cs="Tahoma"/>
          <w:b/>
          <w:b/>
          <w:bCs/>
          <w:sz w:val="20"/>
          <w:szCs w:val="20"/>
        </w:rPr>
      </w:pPr>
      <w:r>
        <w:rPr>
          <w:rFonts w:eastAsia="MS Mincho;ＭＳ 明朝" w:cs="Tahoma" w:ascii="Tahoma" w:hAnsi="Tahoma"/>
          <w:b/>
          <w:bCs/>
          <w:sz w:val="20"/>
          <w:szCs w:val="20"/>
        </w:rPr>
      </w:r>
    </w:p>
    <w:p>
      <w:pPr>
        <w:pStyle w:val="Texte"/>
        <w:numPr>
          <w:ilvl w:val="0"/>
          <w:numId w:val="2"/>
        </w:numPr>
        <w:spacing w:before="120" w:after="0"/>
        <w:rPr>
          <w:rFonts w:ascii="Tahoma" w:hAnsi="Tahoma" w:cs="Tahoma"/>
          <w:b/>
          <w:b/>
          <w:sz w:val="20"/>
        </w:rPr>
      </w:pPr>
      <w:r>
        <w:rPr>
          <w:rFonts w:cs="Tahoma" w:ascii="Tahoma" w:hAnsi="Tahoma"/>
          <w:b/>
          <w:sz w:val="20"/>
        </w:rPr>
        <w:t>Budget 2022</w:t>
      </w:r>
    </w:p>
    <w:p>
      <w:pPr>
        <w:pStyle w:val="Normal"/>
        <w:spacing w:before="120" w:after="0"/>
        <w:rPr>
          <w:rFonts w:ascii="Tahoma" w:hAnsi="Tahoma" w:eastAsia="MS Mincho;ＭＳ 明朝" w:cs="Tahoma"/>
          <w:sz w:val="20"/>
        </w:rPr>
      </w:pPr>
      <w:r>
        <w:rPr>
          <w:rFonts w:eastAsia="MS Mincho;ＭＳ 明朝" w:cs="Tahoma" w:ascii="Tahoma" w:hAnsi="Tahoma"/>
          <w:sz w:val="20"/>
        </w:rPr>
        <w:t xml:space="preserve">Pour l’année 2022, </w:t>
      </w:r>
      <w:r>
        <w:rPr>
          <w:rFonts w:eastAsia="MS Mincho;ＭＳ 明朝" w:cs="Tahoma" w:ascii="Tahoma" w:hAnsi="Tahoma"/>
          <w:b/>
          <w:bCs/>
          <w:sz w:val="20"/>
        </w:rPr>
        <w:t>le budget de revalorisation salariale est fixé à 3% de la masse des salaires mensuels bruts de base de l’effectif permanent</w:t>
      </w:r>
      <w:r>
        <w:rPr>
          <w:rFonts w:eastAsia="MS Mincho;ＭＳ 明朝" w:cs="Tahoma" w:ascii="Tahoma" w:hAnsi="Tahoma"/>
          <w:sz w:val="20"/>
        </w:rPr>
        <w:t xml:space="preserve"> </w:t>
      </w:r>
      <w:r>
        <w:rPr>
          <w:rFonts w:cs="Tahoma" w:ascii="Tahoma" w:hAnsi="Tahoma"/>
          <w:bCs/>
          <w:sz w:val="20"/>
        </w:rPr>
        <w:t xml:space="preserve">(présents du 01/01/2021 au 01/01/2022) </w:t>
      </w:r>
      <w:r>
        <w:rPr>
          <w:rFonts w:eastAsia="MS Mincho;ＭＳ 明朝" w:cs="Tahoma" w:ascii="Tahoma" w:hAnsi="Tahoma"/>
          <w:sz w:val="20"/>
        </w:rPr>
        <w:t>qui respecte les dispositions du PV d’accord de NAO Centrale ENGIE Ineo du 2 février 2022.</w:t>
      </w:r>
    </w:p>
    <w:p>
      <w:pPr>
        <w:pStyle w:val="Normal"/>
        <w:rPr>
          <w:rFonts w:ascii="Tahoma" w:hAnsi="Tahoma" w:eastAsia="MS Mincho;ＭＳ 明朝" w:cs="Tahoma"/>
          <w:sz w:val="20"/>
        </w:rPr>
      </w:pPr>
      <w:r>
        <w:rPr>
          <w:rFonts w:eastAsia="MS Mincho;ＭＳ 明朝" w:cs="Tahoma" w:ascii="Tahoma" w:hAnsi="Tahoma"/>
          <w:sz w:val="20"/>
        </w:rPr>
      </w:r>
    </w:p>
    <w:p>
      <w:pPr>
        <w:pStyle w:val="Normal"/>
        <w:rPr>
          <w:rFonts w:ascii="Tahoma" w:hAnsi="Tahoma" w:eastAsia="MS Mincho;ＭＳ 明朝" w:cs="Tahoma"/>
          <w:sz w:val="20"/>
        </w:rPr>
      </w:pPr>
      <w:bookmarkStart w:id="1" w:name="_Hlk31105628"/>
      <w:bookmarkEnd w:id="1"/>
      <w:r>
        <w:rPr>
          <w:rFonts w:eastAsia="MS Mincho;ＭＳ 明朝" w:cs="Tahoma" w:ascii="Tahoma" w:hAnsi="Tahoma"/>
          <w:sz w:val="20"/>
        </w:rPr>
        <w:t xml:space="preserve">Il est convenu entre les parties que dès lors qu’un salarié bénéficierait d’une revalorisation salariale, </w:t>
      </w:r>
      <w:r>
        <w:rPr>
          <w:rFonts w:eastAsia="MS Mincho;ＭＳ 明朝" w:cs="Tahoma" w:ascii="Tahoma" w:hAnsi="Tahoma"/>
          <w:b/>
          <w:bCs/>
          <w:sz w:val="20"/>
        </w:rPr>
        <w:t>celle-ci ne pourrait être inférieure à 35 € bruts pour un salarié à temps plein</w:t>
      </w:r>
      <w:r>
        <w:rPr>
          <w:rFonts w:eastAsia="MS Mincho;ＭＳ 明朝" w:cs="Tahoma" w:ascii="Tahoma" w:hAnsi="Tahoma"/>
          <w:sz w:val="20"/>
        </w:rPr>
        <w:t xml:space="preserve">.  </w:t>
      </w:r>
    </w:p>
    <w:p>
      <w:pPr>
        <w:pStyle w:val="Normal"/>
        <w:spacing w:before="120" w:after="0"/>
        <w:rPr/>
      </w:pPr>
      <w:bookmarkStart w:id="2" w:name="_Hlk31105628"/>
      <w:bookmarkEnd w:id="2"/>
      <w:r>
        <w:rPr>
          <w:rFonts w:cs="Tahoma" w:ascii="Tahoma" w:hAnsi="Tahoma"/>
          <w:sz w:val="20"/>
        </w:rPr>
        <w:t>Concernant les promotions, il conviendra de distinguer les éléments suivants :</w:t>
      </w:r>
    </w:p>
    <w:p>
      <w:pPr>
        <w:pStyle w:val="Normal"/>
        <w:numPr>
          <w:ilvl w:val="0"/>
          <w:numId w:val="4"/>
        </w:numPr>
        <w:spacing w:before="60" w:after="0"/>
        <w:rPr/>
      </w:pPr>
      <w:r>
        <w:rPr>
          <w:rFonts w:cs="Tahoma" w:ascii="Tahoma" w:hAnsi="Tahoma"/>
          <w:sz w:val="20"/>
        </w:rPr>
        <w:t>Changement de coefficient à l’intérieur d’une même catégorie socio-professionnelle : nécessairement compris dans l’enveloppe ;</w:t>
      </w:r>
    </w:p>
    <w:p>
      <w:pPr>
        <w:pStyle w:val="Normal"/>
        <w:numPr>
          <w:ilvl w:val="0"/>
          <w:numId w:val="4"/>
        </w:numPr>
        <w:ind w:left="714" w:hanging="357"/>
        <w:rPr/>
      </w:pPr>
      <w:r>
        <w:rPr>
          <w:rFonts w:cs="Tahoma" w:ascii="Tahoma" w:hAnsi="Tahoma"/>
          <w:sz w:val="20"/>
        </w:rPr>
        <w:t>Changement de catégorie socio-professionnelle (ouvrier vers ETAM ou ETAM vers cadre) : traitement hors enveloppe ;</w:t>
      </w:r>
    </w:p>
    <w:p>
      <w:pPr>
        <w:pStyle w:val="Normal"/>
        <w:numPr>
          <w:ilvl w:val="0"/>
          <w:numId w:val="4"/>
        </w:numPr>
        <w:ind w:left="714" w:hanging="357"/>
        <w:rPr>
          <w:rFonts w:ascii="Tahoma" w:hAnsi="Tahoma" w:cs="Tahoma"/>
          <w:sz w:val="20"/>
        </w:rPr>
      </w:pPr>
      <w:r>
        <w:rPr>
          <w:rFonts w:cs="Tahoma" w:ascii="Tahoma" w:hAnsi="Tahoma"/>
          <w:sz w:val="20"/>
        </w:rPr>
        <w:t>Evolution professionnelle entraînant un changement de poste en cours d’année et justifiant une revalorisation salariale : traitement dans l’enveloppe à la date de la prise des nouvelles fonctions.</w:t>
      </w:r>
    </w:p>
    <w:p>
      <w:pPr>
        <w:pStyle w:val="Normal"/>
        <w:ind w:left="720" w:hanging="0"/>
        <w:rPr>
          <w:rFonts w:ascii="Tahoma" w:hAnsi="Tahoma" w:eastAsia="MS Mincho;ＭＳ 明朝" w:cs="Tahoma"/>
          <w:sz w:val="20"/>
        </w:rPr>
      </w:pPr>
      <w:r>
        <w:rPr>
          <w:rFonts w:eastAsia="MS Mincho;ＭＳ 明朝" w:cs="Tahoma" w:ascii="Tahoma" w:hAnsi="Tahoma"/>
          <w:sz w:val="20"/>
        </w:rPr>
      </w:r>
    </w:p>
    <w:p>
      <w:pPr>
        <w:pStyle w:val="Normal"/>
        <w:rPr>
          <w:rFonts w:ascii="Tahoma" w:hAnsi="Tahoma" w:eastAsia="MS Mincho;ＭＳ 明朝" w:cs="Tahoma"/>
          <w:sz w:val="20"/>
        </w:rPr>
      </w:pPr>
      <w:r>
        <w:rPr>
          <w:rFonts w:eastAsia="MS Mincho;ＭＳ 明朝" w:cs="Tahoma" w:ascii="Tahoma" w:hAnsi="Tahoma"/>
          <w:sz w:val="20"/>
        </w:rPr>
        <w:t>En complément des mesures précédentes, la Direction précise qu’à compter du 1</w:t>
      </w:r>
      <w:r>
        <w:rPr>
          <w:rFonts w:eastAsia="MS Mincho;ＭＳ 明朝" w:cs="Tahoma" w:ascii="Tahoma" w:hAnsi="Tahoma"/>
          <w:sz w:val="20"/>
          <w:vertAlign w:val="superscript"/>
        </w:rPr>
        <w:t>er</w:t>
      </w:r>
      <w:r>
        <w:rPr>
          <w:rFonts w:eastAsia="MS Mincho;ＭＳ 明朝" w:cs="Tahoma" w:ascii="Tahoma" w:hAnsi="Tahoma"/>
          <w:sz w:val="20"/>
        </w:rPr>
        <w:t xml:space="preserve"> janvier 2022, aucun salaire mensuel brut de base pour un horaire à temps complet et une rémunération annuelle basée sur 12,3 mois ne sera inférieur à </w:t>
      </w:r>
      <w:r>
        <w:rPr>
          <w:rFonts w:eastAsia="MS Mincho;ＭＳ 明朝" w:cs="Tahoma" w:ascii="Tahoma" w:hAnsi="Tahoma"/>
          <w:b/>
          <w:bCs/>
          <w:sz w:val="20"/>
        </w:rPr>
        <w:t>2 100,00€ pour les ETAM</w:t>
      </w:r>
      <w:r>
        <w:rPr>
          <w:rFonts w:eastAsia="MS Mincho;ＭＳ 明朝" w:cs="Tahoma" w:ascii="Tahoma" w:hAnsi="Tahoma"/>
          <w:sz w:val="20"/>
        </w:rPr>
        <w:t xml:space="preserve"> et </w:t>
      </w:r>
      <w:r>
        <w:rPr>
          <w:rFonts w:eastAsia="MS Mincho;ＭＳ 明朝" w:cs="Tahoma" w:ascii="Tahoma" w:hAnsi="Tahoma"/>
          <w:b/>
          <w:bCs/>
          <w:sz w:val="20"/>
        </w:rPr>
        <w:t>3 100,00€</w:t>
      </w:r>
      <w:r>
        <w:rPr>
          <w:rFonts w:eastAsia="MS Mincho;ＭＳ 明朝" w:cs="Tahoma" w:ascii="Tahoma" w:hAnsi="Tahoma"/>
          <w:sz w:val="20"/>
        </w:rPr>
        <w:t xml:space="preserve"> </w:t>
      </w:r>
      <w:r>
        <w:rPr>
          <w:rFonts w:eastAsia="MS Mincho;ＭＳ 明朝" w:cs="Tahoma" w:ascii="Tahoma" w:hAnsi="Tahoma"/>
          <w:b/>
          <w:bCs/>
          <w:sz w:val="20"/>
        </w:rPr>
        <w:t>pour les CADRES</w:t>
      </w:r>
      <w:r>
        <w:rPr>
          <w:rFonts w:eastAsia="MS Mincho;ＭＳ 明朝" w:cs="Tahoma" w:ascii="Tahoma" w:hAnsi="Tahoma"/>
          <w:sz w:val="20"/>
        </w:rPr>
        <w:t>. Cette rémunération s’appliquera à tous les cadres en CDI sauf aux jeunes cadres débutants et aux cadres nouvellement promus (moins de 2 années civiles pleines d’ancienneté dans le poste). L’atteinte de ces minima sera traitée hors enveloppe.</w:t>
      </w:r>
    </w:p>
    <w:p>
      <w:pPr>
        <w:pStyle w:val="Normal"/>
        <w:spacing w:before="120" w:after="0"/>
        <w:rPr/>
      </w:pPr>
      <w:r>
        <w:rPr>
          <w:rFonts w:cs="Tahoma" w:ascii="Tahoma" w:hAnsi="Tahoma"/>
          <w:sz w:val="20"/>
        </w:rPr>
        <w:t>Il est entendu que ces dispositions ne sont pas applicables en cas de congé sabbatique, de congé parental d’éducation et tout autre type de congé sans solde en cours à la date d’application de la revalorisation. La situation des salariés en longue maladie (plus de 90 jours) devra être examinée individuellement lors de la reprise du travail, le salaire de base pouvant ainsi être réactualisé sur la base des mesures d’augmentation généralisée non appliquées du fait de l’absence du salarié.</w:t>
      </w:r>
    </w:p>
    <w:p>
      <w:pPr>
        <w:pStyle w:val="Normal"/>
        <w:spacing w:before="120" w:after="0"/>
        <w:rPr/>
      </w:pPr>
      <w:r>
        <w:rPr>
          <w:rFonts w:cs="Tahoma" w:ascii="Tahoma" w:hAnsi="Tahoma"/>
          <w:bCs/>
          <w:sz w:val="20"/>
        </w:rPr>
        <w:t>De plus, tout salarié qui n’aurait bénéficié d’aucune revalorisation salariale pendant 3 années consécutives bénéficiera d’un entretien spécifique avec sa hiérarchie, distinct de l’entretien individuel d’appréciation, afin d’évoquer sa situation.</w:t>
      </w:r>
      <w:r>
        <w:rPr/>
        <w:t xml:space="preserve"> </w:t>
      </w:r>
      <w:r>
        <w:rPr>
          <w:rFonts w:cs="Tahoma" w:ascii="Tahoma" w:hAnsi="Tahoma"/>
          <w:bCs/>
          <w:sz w:val="20"/>
        </w:rPr>
        <w:t>Afin d’attester de la tenue de cet entretien et d’apprécier le degré des échanges, ce document devra être cosigné et transmis au service RH. Un état sera dressé pour recenser les personnes concernées.</w:t>
      </w:r>
    </w:p>
    <w:p>
      <w:pPr>
        <w:pStyle w:val="Normal"/>
        <w:spacing w:before="120" w:after="0"/>
        <w:rPr/>
      </w:pPr>
      <w:r>
        <w:rPr>
          <w:rFonts w:cs="Tahoma" w:ascii="Tahoma" w:hAnsi="Tahoma"/>
          <w:bCs/>
          <w:sz w:val="20"/>
        </w:rPr>
        <w:t xml:space="preserve">Au-delà, </w:t>
      </w:r>
      <w:r>
        <w:rPr>
          <w:rFonts w:cs="Tahoma" w:ascii="Tahoma" w:hAnsi="Tahoma"/>
          <w:b/>
          <w:sz w:val="20"/>
        </w:rPr>
        <w:t>le suivi de carrière des salariés est un élément important de leur développement professionnel. A ce titre, il est indispensable qu’ils puissent échanger régulièrement avec leur hiérarchie sur les thématiques relatives à l’évolution professionnelle et au développement des compétences</w:t>
      </w:r>
      <w:r>
        <w:rPr>
          <w:rFonts w:cs="Tahoma" w:ascii="Tahoma" w:hAnsi="Tahoma"/>
          <w:bCs/>
          <w:sz w:val="20"/>
        </w:rPr>
        <w:t>. Pour rappel, la loi a instauré la tenue d’un entretien professionnel tous les deux ans. Néanmoins, ENGIE Ineo mettra tout en œuvre pour que ces entretiens soient réalisés à échéance annuelle afin notamment d’aborder le projet professionnel du salarié et de déterminer ses besoins de formation.</w:t>
      </w:r>
    </w:p>
    <w:p>
      <w:pPr>
        <w:pStyle w:val="Normal"/>
        <w:tabs>
          <w:tab w:val="left" w:pos="426" w:leader="none"/>
          <w:tab w:val="left" w:pos="1080" w:leader="none"/>
        </w:tabs>
        <w:rPr>
          <w:rFonts w:ascii="Tahoma" w:hAnsi="Tahoma" w:eastAsia="MS Mincho;ＭＳ 明朝" w:cs="Tahoma"/>
          <w:bCs/>
          <w:sz w:val="20"/>
        </w:rPr>
      </w:pPr>
      <w:r>
        <w:rPr>
          <w:rFonts w:eastAsia="MS Mincho;ＭＳ 明朝" w:cs="Tahoma" w:ascii="Tahoma" w:hAnsi="Tahoma"/>
          <w:bCs/>
          <w:sz w:val="20"/>
        </w:rPr>
      </w:r>
    </w:p>
    <w:p>
      <w:pPr>
        <w:pStyle w:val="Normal"/>
        <w:tabs>
          <w:tab w:val="left" w:pos="2880" w:leader="none"/>
        </w:tabs>
        <w:rPr>
          <w:rFonts w:ascii="Tahoma" w:hAnsi="Tahoma" w:cs="Tahoma"/>
        </w:rPr>
      </w:pPr>
      <w:r>
        <w:rPr>
          <w:rFonts w:eastAsia="MS Mincho;ＭＳ 明朝" w:cs="Tahoma" w:ascii="Tahoma" w:hAnsi="Tahoma"/>
          <w:sz w:val="20"/>
        </w:rPr>
        <w:t>Pour rappel, les éventuelles mesures correctives liées à la reconnaissance des diplômes ne sont pas intégrées dans les enveloppes de NAO.</w:t>
      </w:r>
    </w:p>
    <w:p>
      <w:pPr>
        <w:pStyle w:val="Normal"/>
        <w:tabs>
          <w:tab w:val="left" w:pos="2880" w:leader="none"/>
        </w:tabs>
        <w:rPr>
          <w:rFonts w:ascii="Tahoma" w:hAnsi="Tahoma" w:cs="Tahoma"/>
        </w:rPr>
      </w:pPr>
      <w:r>
        <w:rPr>
          <w:rFonts w:cs="Tahoma" w:ascii="Tahoma" w:hAnsi="Tahoma"/>
        </w:rPr>
      </w:r>
    </w:p>
    <w:p>
      <w:pPr>
        <w:pStyle w:val="Normal"/>
        <w:spacing w:lineRule="auto" w:line="276" w:before="0" w:after="200"/>
        <w:contextualSpacing/>
        <w:rPr>
          <w:rFonts w:ascii="Tahoma" w:hAnsi="Tahoma" w:cs="Tahoma"/>
          <w:b/>
          <w:b/>
          <w:sz w:val="20"/>
        </w:rPr>
      </w:pPr>
      <w:r>
        <w:rPr>
          <w:rFonts w:cs="Tahoma" w:ascii="Tahoma" w:hAnsi="Tahoma"/>
          <w:b/>
          <w:sz w:val="20"/>
        </w:rPr>
        <w:t>La Direction s’engage à ce que chaque salarié bénéficiaire ou non d’une augmentation soit reçu par son manager au plus tard dans les 2 mois qui suivent la mise en œuvre de cette mesure.</w:t>
      </w:r>
    </w:p>
    <w:p>
      <w:pPr>
        <w:pStyle w:val="Normal"/>
        <w:tabs>
          <w:tab w:val="left" w:pos="2880" w:leader="none"/>
        </w:tabs>
        <w:rPr>
          <w:rFonts w:ascii="Tahoma" w:hAnsi="Tahoma" w:cs="Tahoma"/>
          <w:b/>
          <w:b/>
          <w:bCs/>
          <w:sz w:val="20"/>
        </w:rPr>
      </w:pPr>
      <w:r>
        <w:rPr>
          <w:rFonts w:cs="Tahoma" w:ascii="Tahoma" w:hAnsi="Tahoma"/>
          <w:b/>
          <w:bCs/>
          <w:sz w:val="20"/>
        </w:rPr>
      </w:r>
    </w:p>
    <w:p>
      <w:pPr>
        <w:pStyle w:val="Texte"/>
        <w:numPr>
          <w:ilvl w:val="0"/>
          <w:numId w:val="2"/>
        </w:numPr>
        <w:spacing w:before="120" w:after="0"/>
        <w:rPr>
          <w:rFonts w:ascii="Tahoma" w:hAnsi="Tahoma" w:cs="Tahoma"/>
          <w:b/>
          <w:b/>
          <w:sz w:val="20"/>
        </w:rPr>
      </w:pPr>
      <w:r>
        <w:rPr>
          <w:rFonts w:cs="Tahoma" w:ascii="Tahoma" w:hAnsi="Tahoma"/>
          <w:b/>
          <w:sz w:val="20"/>
        </w:rPr>
        <w:t xml:space="preserve">Application des barèmes conventionnels des Travaux Publics </w:t>
      </w:r>
    </w:p>
    <w:p>
      <w:pPr>
        <w:pStyle w:val="Texte"/>
        <w:spacing w:before="120" w:after="0"/>
        <w:ind w:left="1080" w:hanging="0"/>
        <w:rPr>
          <w:rFonts w:ascii="Tahoma" w:hAnsi="Tahoma" w:cs="Tahoma"/>
          <w:b/>
          <w:b/>
          <w:sz w:val="20"/>
        </w:rPr>
      </w:pPr>
      <w:r>
        <w:rPr>
          <w:rFonts w:cs="Tahoma" w:ascii="Tahoma" w:hAnsi="Tahoma"/>
          <w:b/>
          <w:sz w:val="20"/>
        </w:rPr>
      </w:r>
    </w:p>
    <w:p>
      <w:pPr>
        <w:pStyle w:val="Normal"/>
        <w:tabs>
          <w:tab w:val="left" w:pos="2880" w:leader="none"/>
        </w:tabs>
        <w:rPr/>
      </w:pPr>
      <w:r>
        <w:rPr>
          <w:rFonts w:eastAsia="MS Mincho;ＭＳ 明朝" w:cs="Tahoma" w:ascii="Tahoma" w:hAnsi="Tahoma"/>
          <w:sz w:val="20"/>
        </w:rPr>
        <w:t>S’agissant des minima annuels Travaux Publics, ceux-ci seront appliqués avec effet rétroactif au 1</w:t>
      </w:r>
      <w:r>
        <w:rPr>
          <w:rFonts w:eastAsia="MS Mincho;ＭＳ 明朝" w:cs="Tahoma" w:ascii="Tahoma" w:hAnsi="Tahoma"/>
          <w:sz w:val="20"/>
          <w:vertAlign w:val="superscript"/>
        </w:rPr>
        <w:t>er</w:t>
      </w:r>
      <w:r>
        <w:rPr>
          <w:rFonts w:eastAsia="MS Mincho;ＭＳ 明朝" w:cs="Tahoma" w:ascii="Tahoma" w:hAnsi="Tahoma"/>
          <w:sz w:val="20"/>
        </w:rPr>
        <w:t> janvier 2022.</w:t>
      </w:r>
    </w:p>
    <w:p>
      <w:pPr>
        <w:pStyle w:val="Normal"/>
        <w:spacing w:before="120" w:after="0"/>
        <w:rPr>
          <w:rFonts w:ascii="Tahoma" w:hAnsi="Tahoma" w:eastAsia="MS Mincho;ＭＳ 明朝" w:cs="Tahoma"/>
          <w:bCs/>
          <w:sz w:val="20"/>
        </w:rPr>
      </w:pPr>
      <w:r>
        <w:rPr>
          <w:rFonts w:eastAsia="MS Mincho;ＭＳ 明朝" w:cs="Tahoma" w:ascii="Tahoma" w:hAnsi="Tahoma"/>
          <w:bCs/>
          <w:sz w:val="20"/>
        </w:rPr>
      </w:r>
    </w:p>
    <w:p>
      <w:pPr>
        <w:pStyle w:val="Texte"/>
        <w:numPr>
          <w:ilvl w:val="0"/>
          <w:numId w:val="2"/>
        </w:numPr>
        <w:spacing w:before="120" w:after="0"/>
        <w:rPr>
          <w:rFonts w:ascii="Tahoma" w:hAnsi="Tahoma" w:cs="Tahoma"/>
          <w:b/>
          <w:b/>
          <w:sz w:val="20"/>
        </w:rPr>
      </w:pPr>
      <w:r>
        <w:rPr>
          <w:rFonts w:cs="Tahoma" w:ascii="Tahoma" w:hAnsi="Tahoma"/>
          <w:b/>
          <w:sz w:val="20"/>
        </w:rPr>
        <w:t xml:space="preserve">Abonnement transport </w:t>
      </w:r>
    </w:p>
    <w:p>
      <w:pPr>
        <w:pStyle w:val="Normal"/>
        <w:tabs>
          <w:tab w:val="left" w:pos="2880" w:leader="none"/>
        </w:tabs>
        <w:rPr>
          <w:rFonts w:ascii="Tahoma" w:hAnsi="Tahoma" w:cs="Tahoma"/>
          <w:b/>
          <w:b/>
          <w:sz w:val="20"/>
        </w:rPr>
      </w:pPr>
      <w:r>
        <w:rPr>
          <w:rFonts w:cs="Tahoma" w:ascii="Tahoma" w:hAnsi="Tahoma"/>
          <w:b/>
          <w:sz w:val="20"/>
        </w:rPr>
      </w:r>
    </w:p>
    <w:p>
      <w:pPr>
        <w:pStyle w:val="Normal"/>
        <w:tabs>
          <w:tab w:val="left" w:pos="2880" w:leader="none"/>
        </w:tabs>
        <w:rPr/>
      </w:pPr>
      <w:r>
        <w:rPr>
          <w:rFonts w:cs="Tahoma" w:ascii="Tahoma" w:hAnsi="Tahoma"/>
          <w:bCs/>
          <w:sz w:val="20"/>
        </w:rPr>
        <w:t>La loi de financement de la sécurité sociale pour 2009 généralise le dispositif de prise en charge</w:t>
        <w:br/>
        <w:t xml:space="preserve">des frais de transport engagés par les salariés pour se rendre sur leur lieu de travail. </w:t>
      </w:r>
    </w:p>
    <w:p>
      <w:pPr>
        <w:pStyle w:val="Normal"/>
        <w:tabs>
          <w:tab w:val="left" w:pos="2880" w:leader="none"/>
        </w:tabs>
        <w:rPr>
          <w:rFonts w:ascii="Tahoma" w:hAnsi="Tahoma" w:cs="Tahoma"/>
          <w:bCs/>
          <w:sz w:val="20"/>
        </w:rPr>
      </w:pPr>
      <w:r>
        <w:rPr>
          <w:rFonts w:cs="Tahoma" w:ascii="Tahoma" w:hAnsi="Tahoma"/>
          <w:bCs/>
          <w:sz w:val="20"/>
        </w:rPr>
      </w:r>
    </w:p>
    <w:p>
      <w:pPr>
        <w:pStyle w:val="Normal"/>
        <w:tabs>
          <w:tab w:val="left" w:pos="2880" w:leader="none"/>
        </w:tabs>
        <w:rPr/>
      </w:pPr>
      <w:r>
        <w:rPr>
          <w:rFonts w:cs="Tahoma" w:ascii="Tahoma" w:hAnsi="Tahoma"/>
          <w:bCs/>
          <w:sz w:val="20"/>
        </w:rPr>
        <w:t>A compter du 1</w:t>
      </w:r>
      <w:r>
        <w:rPr>
          <w:rFonts w:cs="Tahoma" w:ascii="Tahoma" w:hAnsi="Tahoma"/>
          <w:bCs/>
          <w:sz w:val="20"/>
          <w:vertAlign w:val="superscript"/>
        </w:rPr>
        <w:t>er</w:t>
      </w:r>
      <w:r>
        <w:rPr>
          <w:rFonts w:cs="Tahoma" w:ascii="Tahoma" w:hAnsi="Tahoma"/>
          <w:bCs/>
          <w:sz w:val="20"/>
        </w:rPr>
        <w:t xml:space="preserve"> janvier 2022, la société conserve une </w:t>
      </w:r>
      <w:r>
        <w:rPr>
          <w:rFonts w:cs="Tahoma" w:ascii="Tahoma" w:hAnsi="Tahoma"/>
          <w:b/>
          <w:sz w:val="20"/>
        </w:rPr>
        <w:t>prise en charge de 80% de l’abonnement aux transports publics</w:t>
      </w:r>
      <w:r>
        <w:rPr>
          <w:rFonts w:cs="Tahoma" w:ascii="Tahoma" w:hAnsi="Tahoma"/>
          <w:bCs/>
          <w:sz w:val="20"/>
        </w:rPr>
        <w:t>, sur la base des tarifs de 2ème classe (transport en commun).</w:t>
      </w:r>
    </w:p>
    <w:p>
      <w:pPr>
        <w:pStyle w:val="Normal"/>
        <w:spacing w:before="120" w:after="0"/>
        <w:rPr>
          <w:rFonts w:ascii="Tahoma" w:hAnsi="Tahoma" w:cs="Tahoma"/>
          <w:bCs/>
          <w:sz w:val="20"/>
        </w:rPr>
      </w:pPr>
      <w:r>
        <w:rPr>
          <w:rFonts w:cs="Tahoma" w:ascii="Tahoma" w:hAnsi="Tahoma"/>
          <w:bCs/>
          <w:sz w:val="20"/>
        </w:rPr>
      </w:r>
    </w:p>
    <w:p>
      <w:pPr>
        <w:pStyle w:val="Texte"/>
        <w:numPr>
          <w:ilvl w:val="0"/>
          <w:numId w:val="2"/>
        </w:numPr>
        <w:spacing w:before="120" w:after="0"/>
        <w:rPr>
          <w:rFonts w:ascii="Tahoma" w:hAnsi="Tahoma" w:cs="Tahoma"/>
          <w:b/>
          <w:b/>
          <w:sz w:val="20"/>
        </w:rPr>
      </w:pPr>
      <w:r>
        <w:rPr>
          <w:rFonts w:cs="Tahoma" w:ascii="Tahoma" w:hAnsi="Tahoma"/>
          <w:b/>
          <w:sz w:val="20"/>
        </w:rPr>
        <w:t>Prime de mobilité durable</w:t>
      </w:r>
    </w:p>
    <w:p>
      <w:pPr>
        <w:pStyle w:val="Normal"/>
        <w:rPr>
          <w:rFonts w:ascii="Tahoma" w:hAnsi="Tahoma" w:eastAsia="MS Mincho;ＭＳ 明朝" w:cs="Tahoma"/>
          <w:b/>
          <w:b/>
          <w:sz w:val="20"/>
        </w:rPr>
      </w:pPr>
      <w:r>
        <w:rPr>
          <w:rFonts w:eastAsia="MS Mincho;ＭＳ 明朝" w:cs="Tahoma" w:ascii="Tahoma" w:hAnsi="Tahoma"/>
          <w:b/>
          <w:sz w:val="20"/>
        </w:rPr>
      </w:r>
    </w:p>
    <w:p>
      <w:pPr>
        <w:pStyle w:val="Normal"/>
        <w:rPr/>
      </w:pPr>
      <w:r>
        <w:rPr>
          <w:rFonts w:cs="Tahoma" w:ascii="Tahoma" w:hAnsi="Tahoma"/>
          <w:bCs/>
          <w:sz w:val="20"/>
        </w:rPr>
        <w:t xml:space="preserve">La Direction propose de reconduire la prise en charge d’une indemnité kilométrique vélo via le dispositif « prime de mobilité durable » pour les salariés utilisant un vélo pour réaliser le trajet entre leur lieu de résidence habituel et leur lieu de travail. </w:t>
      </w:r>
    </w:p>
    <w:p>
      <w:pPr>
        <w:pStyle w:val="Normal"/>
        <w:rPr>
          <w:rFonts w:ascii="Tahoma" w:hAnsi="Tahoma" w:cs="Tahoma"/>
          <w:bCs/>
          <w:sz w:val="20"/>
        </w:rPr>
      </w:pPr>
      <w:r>
        <w:rPr>
          <w:rFonts w:cs="Tahoma" w:ascii="Tahoma" w:hAnsi="Tahoma"/>
          <w:bCs/>
          <w:sz w:val="20"/>
        </w:rPr>
      </w:r>
    </w:p>
    <w:p>
      <w:pPr>
        <w:pStyle w:val="Normal"/>
        <w:rPr/>
      </w:pPr>
      <w:r>
        <w:rPr>
          <w:rFonts w:cs="Tahoma" w:ascii="Tahoma" w:hAnsi="Tahoma"/>
          <w:bCs/>
          <w:sz w:val="20"/>
        </w:rPr>
        <w:t xml:space="preserve">La prise en charge des frais engagés pour se déplacer à vélo correspond au montant de </w:t>
      </w:r>
      <w:r>
        <w:rPr>
          <w:rFonts w:cs="Tahoma" w:ascii="Tahoma" w:hAnsi="Tahoma"/>
          <w:b/>
          <w:sz w:val="20"/>
        </w:rPr>
        <w:t>l’indemnité kilométrique vélo fixé à 0,25 € par kilomètre parcouru, dans la limite de 300€ par an et par salarié</w:t>
      </w:r>
      <w:r>
        <w:rPr>
          <w:rFonts w:cs="Tahoma" w:ascii="Tahoma" w:hAnsi="Tahoma"/>
          <w:bCs/>
          <w:sz w:val="20"/>
        </w:rPr>
        <w:t xml:space="preserve">. </w:t>
      </w:r>
    </w:p>
    <w:p>
      <w:pPr>
        <w:pStyle w:val="Normal"/>
        <w:rPr>
          <w:rFonts w:ascii="Tahoma" w:hAnsi="Tahoma" w:cs="Tahoma"/>
          <w:bCs/>
          <w:sz w:val="20"/>
        </w:rPr>
      </w:pPr>
      <w:r>
        <w:rPr>
          <w:rFonts w:cs="Tahoma" w:ascii="Tahoma" w:hAnsi="Tahoma"/>
          <w:bCs/>
          <w:sz w:val="20"/>
        </w:rPr>
      </w:r>
    </w:p>
    <w:p>
      <w:pPr>
        <w:pStyle w:val="Normal"/>
        <w:rPr>
          <w:rFonts w:ascii="Tahoma" w:hAnsi="Tahoma" w:cs="Tahoma"/>
          <w:bCs/>
          <w:sz w:val="20"/>
        </w:rPr>
      </w:pPr>
      <w:r>
        <w:rPr>
          <w:rFonts w:cs="Tahoma" w:ascii="Tahoma" w:hAnsi="Tahoma"/>
          <w:bCs/>
          <w:sz w:val="20"/>
        </w:rPr>
        <w:t>Cette mesure est cumulable avec la prise en charge des frais de transports en commun.</w:t>
      </w:r>
    </w:p>
    <w:p>
      <w:pPr>
        <w:pStyle w:val="Normal"/>
        <w:spacing w:before="120" w:after="0"/>
        <w:rPr>
          <w:rFonts w:ascii="Tahoma" w:hAnsi="Tahoma" w:cs="Tahoma"/>
          <w:bCs/>
          <w:sz w:val="20"/>
        </w:rPr>
      </w:pPr>
      <w:r>
        <w:rPr>
          <w:rFonts w:cs="Tahoma" w:ascii="Tahoma" w:hAnsi="Tahoma"/>
          <w:bCs/>
          <w:sz w:val="20"/>
        </w:rPr>
      </w:r>
    </w:p>
    <w:p>
      <w:pPr>
        <w:pStyle w:val="Texte"/>
        <w:numPr>
          <w:ilvl w:val="0"/>
          <w:numId w:val="2"/>
        </w:numPr>
        <w:spacing w:before="120" w:after="0"/>
        <w:rPr>
          <w:rFonts w:ascii="Tahoma" w:hAnsi="Tahoma" w:cs="Tahoma"/>
          <w:b/>
          <w:b/>
          <w:sz w:val="20"/>
        </w:rPr>
      </w:pPr>
      <w:bookmarkStart w:id="3" w:name="_Hlk503777974"/>
      <w:bookmarkEnd w:id="3"/>
      <w:r>
        <w:rPr>
          <w:rFonts w:cs="Tahoma" w:ascii="Tahoma" w:hAnsi="Tahoma"/>
          <w:b/>
          <w:sz w:val="20"/>
        </w:rPr>
        <w:t xml:space="preserve">Subvention RIE et Titres Restaurants </w:t>
      </w:r>
    </w:p>
    <w:p>
      <w:pPr>
        <w:pStyle w:val="Texte"/>
        <w:spacing w:before="120" w:after="0"/>
        <w:rPr>
          <w:rFonts w:ascii="Tahoma" w:hAnsi="Tahoma" w:cs="Tahoma"/>
          <w:sz w:val="20"/>
        </w:rPr>
      </w:pPr>
      <w:r>
        <w:rPr>
          <w:rFonts w:cs="Tahoma" w:ascii="Tahoma" w:hAnsi="Tahoma"/>
          <w:sz w:val="20"/>
        </w:rPr>
        <w:t xml:space="preserve">La participation patronale au RIE pour l’exercice 2022 sera maintenue à </w:t>
      </w:r>
      <w:r>
        <w:rPr>
          <w:rFonts w:cs="Tahoma" w:ascii="Tahoma" w:hAnsi="Tahoma"/>
          <w:b/>
          <w:bCs/>
          <w:sz w:val="20"/>
        </w:rPr>
        <w:t>5,70€.</w:t>
      </w:r>
    </w:p>
    <w:p>
      <w:pPr>
        <w:pStyle w:val="Texte"/>
        <w:spacing w:before="120" w:after="0"/>
        <w:rPr>
          <w:rFonts w:ascii="Tahoma" w:hAnsi="Tahoma" w:cs="Tahoma"/>
          <w:sz w:val="20"/>
        </w:rPr>
      </w:pPr>
      <w:r>
        <w:rPr>
          <w:rFonts w:cs="Tahoma" w:ascii="Tahoma" w:hAnsi="Tahoma"/>
          <w:sz w:val="20"/>
        </w:rPr>
        <w:t xml:space="preserve">Les salariés n’ayant pas accès à un RIE avec une subvention directe de l’entreprise, bénéficient de titres restaurant. La valeur nominale des </w:t>
      </w:r>
      <w:r>
        <w:rPr>
          <w:rFonts w:cs="Tahoma" w:ascii="Tahoma" w:hAnsi="Tahoma"/>
          <w:b/>
          <w:bCs/>
          <w:sz w:val="20"/>
        </w:rPr>
        <w:t>titres restaurants</w:t>
      </w:r>
      <w:r>
        <w:rPr>
          <w:rFonts w:cs="Tahoma" w:ascii="Tahoma" w:hAnsi="Tahoma"/>
          <w:sz w:val="20"/>
        </w:rPr>
        <w:t xml:space="preserve"> est fixée à </w:t>
      </w:r>
      <w:r>
        <w:rPr>
          <w:rFonts w:cs="Tahoma" w:ascii="Tahoma" w:hAnsi="Tahoma"/>
          <w:b/>
          <w:bCs/>
          <w:sz w:val="20"/>
        </w:rPr>
        <w:t>9,50€</w:t>
      </w:r>
      <w:r>
        <w:rPr>
          <w:rFonts w:cs="Tahoma" w:ascii="Tahoma" w:hAnsi="Tahoma"/>
          <w:sz w:val="20"/>
        </w:rPr>
        <w:t xml:space="preserve"> dont une prise en charge de la part patronale de 5,70€ et une part salariale à 3,80€.</w:t>
      </w:r>
    </w:p>
    <w:p>
      <w:pPr>
        <w:pStyle w:val="Texte"/>
        <w:spacing w:before="120" w:after="0"/>
        <w:rPr>
          <w:rFonts w:ascii="Tahoma" w:hAnsi="Tahoma" w:cs="Tahoma"/>
          <w:sz w:val="20"/>
        </w:rPr>
      </w:pPr>
      <w:r>
        <w:rPr>
          <w:rFonts w:cs="Tahoma" w:ascii="Tahoma" w:hAnsi="Tahoma"/>
          <w:sz w:val="20"/>
        </w:rPr>
      </w:r>
    </w:p>
    <w:p>
      <w:pPr>
        <w:pStyle w:val="Texte"/>
        <w:numPr>
          <w:ilvl w:val="0"/>
          <w:numId w:val="2"/>
        </w:numPr>
        <w:spacing w:before="120" w:after="0"/>
        <w:rPr>
          <w:rFonts w:ascii="Tahoma" w:hAnsi="Tahoma" w:cs="Tahoma"/>
          <w:b/>
          <w:b/>
        </w:rPr>
      </w:pPr>
      <w:r>
        <w:rPr>
          <w:rFonts w:cs="Tahoma" w:ascii="Tahoma" w:hAnsi="Tahoma"/>
          <w:b/>
          <w:sz w:val="20"/>
        </w:rPr>
        <w:t xml:space="preserve">Chèques emploi services universels </w:t>
      </w:r>
    </w:p>
    <w:p>
      <w:pPr>
        <w:pStyle w:val="Texte"/>
        <w:spacing w:before="120" w:after="0"/>
        <w:rPr/>
      </w:pPr>
      <w:r>
        <w:rPr>
          <w:rFonts w:cs="Tahoma" w:ascii="Tahoma" w:hAnsi="Tahoma"/>
          <w:sz w:val="20"/>
        </w:rPr>
        <w:t xml:space="preserve">L’Entreprise propose de renouveler pour l’année 2022 les </w:t>
      </w:r>
      <w:r>
        <w:rPr>
          <w:rFonts w:cs="Tahoma" w:ascii="Tahoma" w:hAnsi="Tahoma"/>
          <w:b/>
          <w:bCs/>
          <w:sz w:val="20"/>
        </w:rPr>
        <w:t>CESU d’une valeur de 250 € par salarié, financé pour 50€ par le salarié, pour 100€ par la Direction et pour 100€ par le CSE</w:t>
      </w:r>
      <w:r>
        <w:rPr>
          <w:rFonts w:cs="Tahoma" w:ascii="Tahoma" w:hAnsi="Tahoma"/>
          <w:sz w:val="20"/>
        </w:rPr>
        <w:t>.</w:t>
      </w:r>
    </w:p>
    <w:p>
      <w:pPr>
        <w:pStyle w:val="Texte"/>
        <w:spacing w:before="120" w:after="0"/>
        <w:rPr>
          <w:rFonts w:ascii="Tahoma" w:hAnsi="Tahoma" w:cs="Tahoma"/>
          <w:sz w:val="20"/>
        </w:rPr>
      </w:pPr>
      <w:r>
        <w:rPr>
          <w:rFonts w:cs="Tahoma" w:ascii="Tahoma" w:hAnsi="Tahoma"/>
          <w:sz w:val="20"/>
        </w:rPr>
        <w:t>Une communication spécifique à destination des salariés accompagnera la mise en place de ce dispositif sur l’année 2022.</w:t>
      </w:r>
    </w:p>
    <w:p>
      <w:pPr>
        <w:pStyle w:val="Texte"/>
        <w:spacing w:before="120" w:after="0"/>
        <w:rPr>
          <w:rFonts w:ascii="Tahoma" w:hAnsi="Tahoma" w:cs="Tahoma"/>
          <w:sz w:val="20"/>
        </w:rPr>
      </w:pPr>
      <w:r>
        <w:rPr>
          <w:rFonts w:cs="Tahoma" w:ascii="Tahoma" w:hAnsi="Tahoma"/>
          <w:sz w:val="20"/>
        </w:rPr>
      </w:r>
    </w:p>
    <w:p>
      <w:pPr>
        <w:pStyle w:val="Texte"/>
        <w:numPr>
          <w:ilvl w:val="0"/>
          <w:numId w:val="2"/>
        </w:numPr>
        <w:spacing w:before="120" w:after="0"/>
        <w:rPr>
          <w:rFonts w:ascii="Tahoma" w:hAnsi="Tahoma" w:cs="Tahoma"/>
          <w:b/>
          <w:b/>
          <w:sz w:val="20"/>
        </w:rPr>
      </w:pPr>
      <w:r>
        <w:rPr>
          <w:rFonts w:cs="Tahoma" w:ascii="Tahoma" w:hAnsi="Tahoma"/>
          <w:b/>
          <w:sz w:val="20"/>
        </w:rPr>
        <w:t>Chèques Vacances</w:t>
      </w:r>
    </w:p>
    <w:p>
      <w:pPr>
        <w:pStyle w:val="Texte"/>
        <w:spacing w:before="120" w:after="0"/>
        <w:rPr>
          <w:rFonts w:ascii="Tahoma" w:hAnsi="Tahoma" w:cs="Tahoma"/>
          <w:sz w:val="20"/>
        </w:rPr>
      </w:pPr>
      <w:r>
        <w:rPr>
          <w:rFonts w:cs="Tahoma" w:ascii="Tahoma" w:hAnsi="Tahoma"/>
          <w:sz w:val="20"/>
        </w:rPr>
        <w:t>L’entreprise propose de renouveler pour l’année 2022, la</w:t>
      </w:r>
      <w:r>
        <w:rPr>
          <w:rFonts w:cs="Tahoma" w:ascii="Tahoma" w:hAnsi="Tahoma"/>
          <w:b/>
          <w:bCs/>
          <w:sz w:val="20"/>
        </w:rPr>
        <w:t xml:space="preserve"> prise en charge à hauteur de 50€ par salarié </w:t>
      </w:r>
      <w:r>
        <w:rPr>
          <w:rFonts w:cs="Tahoma" w:ascii="Tahoma" w:hAnsi="Tahoma"/>
          <w:sz w:val="20"/>
        </w:rPr>
        <w:t>au dispositif de Chèques Vacances déployé par le CSE.</w:t>
      </w:r>
    </w:p>
    <w:p>
      <w:pPr>
        <w:pStyle w:val="Texte"/>
        <w:spacing w:before="120" w:after="0"/>
        <w:rPr>
          <w:rFonts w:ascii="Tahoma" w:hAnsi="Tahoma" w:cs="Tahoma"/>
          <w:sz w:val="20"/>
        </w:rPr>
      </w:pPr>
      <w:r>
        <w:rPr>
          <w:rFonts w:cs="Tahoma" w:ascii="Tahoma" w:hAnsi="Tahoma"/>
          <w:sz w:val="20"/>
        </w:rPr>
        <w:t>Une communication spécifique à destination des salariés accompagnera la mise en place de ce dispositif sur l’année 2022.</w:t>
      </w:r>
    </w:p>
    <w:p>
      <w:pPr>
        <w:pStyle w:val="Corpsdetexte3"/>
        <w:spacing w:before="120" w:after="0"/>
        <w:rPr>
          <w:rFonts w:ascii="Tahoma" w:hAnsi="Tahoma" w:cs="Tahoma"/>
          <w:bCs w:val="false"/>
          <w:sz w:val="20"/>
          <w:szCs w:val="20"/>
        </w:rPr>
      </w:pPr>
      <w:r>
        <w:rPr>
          <w:rFonts w:cs="Tahoma" w:ascii="Tahoma" w:hAnsi="Tahoma"/>
          <w:bCs w:val="false"/>
          <w:sz w:val="20"/>
          <w:szCs w:val="20"/>
        </w:rPr>
      </w:r>
    </w:p>
    <w:p>
      <w:pPr>
        <w:pStyle w:val="Texte"/>
        <w:numPr>
          <w:ilvl w:val="0"/>
          <w:numId w:val="2"/>
        </w:numPr>
        <w:spacing w:before="120" w:after="0"/>
        <w:rPr>
          <w:rFonts w:ascii="Tahoma" w:hAnsi="Tahoma" w:cs="Tahoma"/>
          <w:b/>
          <w:b/>
          <w:sz w:val="20"/>
        </w:rPr>
      </w:pPr>
      <w:r>
        <w:rPr>
          <w:rFonts w:cs="Tahoma" w:ascii="Tahoma" w:hAnsi="Tahoma"/>
          <w:b/>
          <w:sz w:val="20"/>
        </w:rPr>
        <w:t xml:space="preserve">Rentrée scolaire </w:t>
      </w:r>
    </w:p>
    <w:p>
      <w:pPr>
        <w:pStyle w:val="Texte"/>
        <w:spacing w:before="120" w:after="0"/>
        <w:rPr/>
      </w:pPr>
      <w:r>
        <w:rPr>
          <w:rFonts w:cs="Tahoma" w:ascii="Tahoma" w:hAnsi="Tahoma"/>
          <w:sz w:val="20"/>
        </w:rPr>
        <w:t xml:space="preserve">Sur demande des salariés éligibles et afin de favoriser une conciliation vie professionnelle/vie personnelle, la Direction </w:t>
      </w:r>
      <w:r>
        <w:rPr>
          <w:rFonts w:cs="Tahoma" w:ascii="Tahoma" w:hAnsi="Tahoma"/>
          <w:b/>
          <w:bCs/>
          <w:sz w:val="20"/>
        </w:rPr>
        <w:t>renouvelle l’autorisation d’une demi-journée d’absence payée</w:t>
      </w:r>
      <w:r>
        <w:rPr>
          <w:rFonts w:cs="Tahoma" w:ascii="Tahoma" w:hAnsi="Tahoma"/>
          <w:sz w:val="20"/>
        </w:rPr>
        <w:t xml:space="preserve"> </w:t>
      </w:r>
      <w:r>
        <w:rPr>
          <w:rFonts w:cs="Tahoma" w:ascii="Tahoma" w:hAnsi="Tahoma"/>
          <w:b/>
          <w:bCs/>
          <w:sz w:val="20"/>
        </w:rPr>
        <w:t>et propose qu’elle soit cumulable si les jours différent entre les enfants</w:t>
      </w:r>
      <w:r>
        <w:rPr>
          <w:rFonts w:cs="Tahoma" w:ascii="Tahoma" w:hAnsi="Tahoma"/>
          <w:sz w:val="20"/>
        </w:rPr>
        <w:t>, dans le cadre de la rentrée scolaire de leur(s) enfant(s) à charge de moins de 12 ans, sur présentation de justificatif. Cette/ces demi(s)-journée(s) fera(ont) l’objet d’un délai de prévenance suffisant et en amont des congés d’étés auprès du responsable hiérarchique. Celle-ci concernera uniquement la rentrée scolaire de septembre 2022.</w:t>
      </w:r>
    </w:p>
    <w:p>
      <w:pPr>
        <w:pStyle w:val="Texte"/>
        <w:spacing w:before="120" w:after="0"/>
        <w:rPr>
          <w:rFonts w:ascii="Tahoma" w:hAnsi="Tahoma" w:cs="Tahoma"/>
          <w:sz w:val="20"/>
        </w:rPr>
      </w:pPr>
      <w:r>
        <w:rPr>
          <w:rFonts w:cs="Tahoma" w:ascii="Tahoma" w:hAnsi="Tahoma"/>
          <w:sz w:val="20"/>
        </w:rPr>
        <w:t>La demande validée par le responsable hiérarchique devra être transmise au service RH dans les délais impartis.</w:t>
      </w:r>
    </w:p>
    <w:p>
      <w:pPr>
        <w:pStyle w:val="Texte"/>
        <w:spacing w:before="120" w:after="0"/>
        <w:rPr>
          <w:rFonts w:ascii="Tahoma" w:hAnsi="Tahoma" w:cs="Tahoma"/>
          <w:sz w:val="20"/>
        </w:rPr>
      </w:pPr>
      <w:r>
        <w:rPr>
          <w:rFonts w:cs="Tahoma" w:ascii="Tahoma" w:hAnsi="Tahoma"/>
          <w:sz w:val="20"/>
        </w:rPr>
      </w:r>
    </w:p>
    <w:p>
      <w:pPr>
        <w:pStyle w:val="Texte"/>
        <w:numPr>
          <w:ilvl w:val="0"/>
          <w:numId w:val="3"/>
        </w:numPr>
        <w:spacing w:before="120" w:after="0"/>
        <w:rPr>
          <w:rFonts w:ascii="Tahoma" w:hAnsi="Tahoma" w:cs="Tahoma"/>
          <w:b/>
          <w:b/>
          <w:sz w:val="20"/>
        </w:rPr>
      </w:pPr>
      <w:r>
        <w:rPr>
          <w:rFonts w:cs="Tahoma" w:ascii="Tahoma" w:hAnsi="Tahoma"/>
          <w:b/>
          <w:sz w:val="20"/>
        </w:rPr>
        <w:t xml:space="preserve">Congé pour enfant malade </w:t>
      </w:r>
    </w:p>
    <w:p>
      <w:pPr>
        <w:pStyle w:val="Texte"/>
        <w:spacing w:before="120" w:after="0"/>
        <w:rPr>
          <w:rFonts w:ascii="Tahoma" w:hAnsi="Tahoma" w:cs="Tahoma"/>
          <w:sz w:val="20"/>
        </w:rPr>
      </w:pPr>
      <w:r>
        <w:rPr>
          <w:rFonts w:cs="Tahoma" w:ascii="Tahoma" w:hAnsi="Tahoma"/>
          <w:sz w:val="20"/>
        </w:rPr>
        <w:t xml:space="preserve">Afin de mieux concilier l’articulation entre l’activité professionnelle et les obligations familiales, l’entreprise accordera aux salariés parents d’un ou plusieurs enfants âgés de moins de 12 ans, dont la présence est rendue indispensable auprès de son(ses) enfant(s) malade(s), un congé pour s’en occuper de </w:t>
      </w:r>
      <w:r>
        <w:rPr>
          <w:rFonts w:cs="Tahoma" w:ascii="Tahoma" w:hAnsi="Tahoma"/>
          <w:b/>
          <w:bCs/>
          <w:sz w:val="20"/>
        </w:rPr>
        <w:t>3 demi-journées (consécutives ou non) rémunérées à 100% par enfant et par année civile</w:t>
      </w:r>
      <w:r>
        <w:rPr>
          <w:rFonts w:cs="Tahoma" w:ascii="Tahoma" w:hAnsi="Tahoma"/>
          <w:sz w:val="20"/>
        </w:rPr>
        <w:t xml:space="preserve">. </w:t>
      </w:r>
    </w:p>
    <w:p>
      <w:pPr>
        <w:pStyle w:val="Texte"/>
        <w:spacing w:before="120" w:after="0"/>
        <w:rPr>
          <w:rFonts w:ascii="Tahoma" w:hAnsi="Tahoma" w:cs="Tahoma"/>
          <w:sz w:val="20"/>
        </w:rPr>
      </w:pPr>
      <w:r>
        <w:rPr>
          <w:rFonts w:cs="Tahoma" w:ascii="Tahoma" w:hAnsi="Tahoma"/>
          <w:sz w:val="20"/>
        </w:rPr>
        <w:t>Le salarié sera tenu d’avertir son employeur sur la prise de ses congés dans les délais les plus brefs, et de présenter un justificatif médical.</w:t>
      </w:r>
    </w:p>
    <w:p>
      <w:pPr>
        <w:pStyle w:val="Texte"/>
        <w:spacing w:before="120" w:after="0"/>
        <w:rPr>
          <w:rFonts w:ascii="Tahoma" w:hAnsi="Tahoma" w:cs="Tahoma"/>
          <w:sz w:val="20"/>
        </w:rPr>
      </w:pPr>
      <w:r>
        <w:rPr>
          <w:rFonts w:cs="Tahoma" w:ascii="Tahoma" w:hAnsi="Tahoma"/>
          <w:sz w:val="20"/>
        </w:rPr>
      </w:r>
    </w:p>
    <w:p>
      <w:pPr>
        <w:pStyle w:val="Texte"/>
        <w:numPr>
          <w:ilvl w:val="0"/>
          <w:numId w:val="2"/>
        </w:numPr>
        <w:spacing w:before="120" w:after="0"/>
        <w:rPr>
          <w:rFonts w:ascii="Tahoma" w:hAnsi="Tahoma" w:cs="Tahoma"/>
          <w:b/>
          <w:b/>
          <w:sz w:val="20"/>
        </w:rPr>
      </w:pPr>
      <w:r>
        <w:rPr>
          <w:rFonts w:cs="Tahoma" w:ascii="Tahoma" w:hAnsi="Tahoma"/>
          <w:b/>
          <w:sz w:val="20"/>
        </w:rPr>
        <w:t>Jour de déménagement</w:t>
      </w:r>
    </w:p>
    <w:p>
      <w:pPr>
        <w:pStyle w:val="Texte"/>
        <w:spacing w:before="120" w:after="0"/>
        <w:rPr>
          <w:rFonts w:ascii="Tahoma" w:hAnsi="Tahoma" w:cs="Tahoma"/>
          <w:sz w:val="20"/>
        </w:rPr>
      </w:pPr>
      <w:r>
        <w:rPr>
          <w:rFonts w:cs="Tahoma" w:ascii="Tahoma" w:hAnsi="Tahoma"/>
          <w:sz w:val="20"/>
        </w:rPr>
        <w:t xml:space="preserve">L’entreprise propose de renouveler l’octroi </w:t>
      </w:r>
      <w:r>
        <w:rPr>
          <w:rFonts w:cs="Tahoma" w:ascii="Tahoma" w:hAnsi="Tahoma"/>
          <w:b/>
          <w:bCs/>
          <w:sz w:val="20"/>
        </w:rPr>
        <w:t>une journée d’absence rémunérée dans le cadre d’un changement de domicile</w:t>
      </w:r>
      <w:r>
        <w:rPr>
          <w:rFonts w:cs="Tahoma" w:ascii="Tahoma" w:hAnsi="Tahoma"/>
          <w:sz w:val="20"/>
        </w:rPr>
        <w:t xml:space="preserve">. Cette autorisation est valable une seule fois dans l’année et sur justificatif de domicile. </w:t>
      </w:r>
    </w:p>
    <w:p>
      <w:pPr>
        <w:pStyle w:val="Texte"/>
        <w:spacing w:before="120" w:after="0"/>
        <w:rPr>
          <w:rFonts w:ascii="Tahoma" w:hAnsi="Tahoma" w:cs="Tahoma"/>
          <w:sz w:val="20"/>
        </w:rPr>
      </w:pPr>
      <w:r>
        <w:rPr>
          <w:rFonts w:cs="Tahoma" w:ascii="Tahoma" w:hAnsi="Tahoma"/>
          <w:sz w:val="20"/>
        </w:rPr>
        <w:t>La demande devra être validée par le responsable hiérarchique, une communication spécifique sera faite par la DRH.</w:t>
      </w:r>
    </w:p>
    <w:p>
      <w:pPr>
        <w:pStyle w:val="Texte"/>
        <w:spacing w:before="120" w:after="0"/>
        <w:rPr>
          <w:rFonts w:ascii="Tahoma" w:hAnsi="Tahoma" w:cs="Tahoma"/>
          <w:sz w:val="20"/>
        </w:rPr>
      </w:pPr>
      <w:r>
        <w:rPr>
          <w:rFonts w:cs="Tahoma" w:ascii="Tahoma" w:hAnsi="Tahoma"/>
          <w:sz w:val="20"/>
        </w:rPr>
      </w:r>
    </w:p>
    <w:p>
      <w:pPr>
        <w:pStyle w:val="Normal"/>
        <w:spacing w:before="120" w:after="0"/>
        <w:rPr>
          <w:rFonts w:ascii="Tahoma" w:hAnsi="Tahoma" w:cs="Tahoma"/>
          <w:b/>
          <w:b/>
          <w:bCs/>
          <w:sz w:val="20"/>
          <w:szCs w:val="20"/>
        </w:rPr>
      </w:pPr>
      <w:r>
        <w:rPr>
          <w:rFonts w:cs="Tahoma" w:ascii="Tahoma" w:hAnsi="Tahoma"/>
          <w:b/>
          <w:bCs/>
          <w:sz w:val="20"/>
          <w:szCs w:val="20"/>
        </w:rPr>
        <w:t xml:space="preserve">Article 6 – </w:t>
      </w:r>
      <w:r>
        <w:rPr>
          <w:rFonts w:cs="Tahoma" w:ascii="Tahoma" w:hAnsi="Tahoma"/>
          <w:b/>
          <w:bCs/>
          <w:sz w:val="20"/>
        </w:rPr>
        <w:t>PROTECTION SOCIALE COMPLEMENTAIRE</w:t>
      </w:r>
    </w:p>
    <w:p>
      <w:pPr>
        <w:pStyle w:val="Corpsdetexte3"/>
        <w:spacing w:before="120" w:after="0"/>
        <w:rPr/>
      </w:pPr>
      <w:r>
        <w:rPr>
          <w:rFonts w:cs="Tahoma" w:ascii="Tahoma" w:hAnsi="Tahoma"/>
          <w:b w:val="false"/>
          <w:bCs w:val="false"/>
          <w:sz w:val="20"/>
          <w:szCs w:val="20"/>
        </w:rPr>
        <w:t>Un régime de protection social complémentaire intégrant des dispositifs de retraite complémentaire, de prévoyance et de couverture des frais de santé est en vigueur au sein de l’UES ENGIE Ineo par accord collectif depuis 2003.</w:t>
      </w:r>
    </w:p>
    <w:p>
      <w:pPr>
        <w:pStyle w:val="Corpsdetexte3"/>
        <w:spacing w:before="120" w:after="0"/>
        <w:rPr/>
      </w:pPr>
      <w:r>
        <w:rPr>
          <w:rFonts w:cs="Tahoma" w:ascii="Tahoma" w:hAnsi="Tahoma"/>
          <w:b w:val="false"/>
          <w:bCs w:val="false"/>
          <w:sz w:val="20"/>
          <w:szCs w:val="20"/>
        </w:rPr>
        <w:t>En dernier lieu, les cotisations frais de santé ont été renégociées en 2014 puis les cotisations prévoyance en 2017 (à effet du 1er janvier 2018).</w:t>
      </w:r>
    </w:p>
    <w:p>
      <w:pPr>
        <w:pStyle w:val="Corpsdetexte3"/>
        <w:spacing w:before="120" w:after="0"/>
        <w:rPr>
          <w:rFonts w:ascii="Tahoma" w:hAnsi="Tahoma" w:cs="Tahoma"/>
          <w:b w:val="false"/>
          <w:b w:val="false"/>
          <w:bCs w:val="false"/>
          <w:sz w:val="20"/>
          <w:szCs w:val="20"/>
        </w:rPr>
      </w:pPr>
      <w:r>
        <w:rPr>
          <w:rFonts w:cs="Tahoma" w:ascii="Tahoma" w:hAnsi="Tahoma"/>
          <w:b w:val="false"/>
          <w:bCs w:val="false"/>
          <w:sz w:val="20"/>
          <w:szCs w:val="20"/>
        </w:rPr>
        <w:t xml:space="preserve">Un avenant n°11 à l’accord sur la protection sociale complémentaire ENGIE Ineo a par ailleurs été signé le 4 novembre 2019 aux fins d’acter les modifications qui seront apportées au 1er janvier 2021 au contrat frais de santé suite à la mise en place du « 100% santé » conformément aux dispositions prévues dans la loi santé n°2016-41 du 26 janvier 2016 et dans le décret n°2019-21 du 11 janvier 2019. </w:t>
      </w:r>
    </w:p>
    <w:p>
      <w:pPr>
        <w:pStyle w:val="Normal"/>
        <w:spacing w:before="120" w:after="0"/>
        <w:rPr>
          <w:rFonts w:ascii="Tahoma" w:hAnsi="Tahoma" w:cs="Tahoma"/>
          <w:b/>
          <w:b/>
          <w:bCs/>
          <w:sz w:val="20"/>
          <w:szCs w:val="20"/>
        </w:rPr>
      </w:pPr>
      <w:r>
        <w:rPr>
          <w:rFonts w:cs="Tahoma" w:ascii="Tahoma" w:hAnsi="Tahoma"/>
          <w:b/>
          <w:bCs/>
          <w:sz w:val="20"/>
          <w:szCs w:val="20"/>
        </w:rPr>
      </w:r>
    </w:p>
    <w:p>
      <w:pPr>
        <w:pStyle w:val="Normal"/>
        <w:spacing w:before="120" w:after="0"/>
        <w:rPr/>
      </w:pPr>
      <w:r>
        <w:rPr>
          <w:rFonts w:cs="Tahoma" w:ascii="Tahoma" w:hAnsi="Tahoma"/>
          <w:b/>
          <w:bCs/>
          <w:sz w:val="20"/>
        </w:rPr>
        <w:t>Article 7 – ORGANISATION DU TEMPS DE TRAVAIL</w:t>
      </w:r>
    </w:p>
    <w:p>
      <w:pPr>
        <w:pStyle w:val="Normal"/>
        <w:spacing w:before="120" w:after="0"/>
        <w:rPr>
          <w:rFonts w:ascii="Tahoma" w:hAnsi="Tahoma" w:cs="Tahoma"/>
          <w:sz w:val="20"/>
          <w:szCs w:val="20"/>
        </w:rPr>
      </w:pPr>
      <w:r>
        <w:rPr>
          <w:rFonts w:cs="Tahoma" w:ascii="Tahoma" w:hAnsi="Tahoma"/>
          <w:sz w:val="20"/>
          <w:szCs w:val="20"/>
        </w:rPr>
        <w:t xml:space="preserve">La Direction rappelle que c’est l’accord relatif à l’aménagement et à la réduction du temps de travail de GTMH SA, conclu le 29 janvier 2001, qui s’applique à l’ensemble des salariés d’INEO </w:t>
      </w:r>
      <w:r>
        <w:rPr>
          <w:rFonts w:cs="Tahoma" w:ascii="Tahoma" w:hAnsi="Tahoma"/>
          <w:sz w:val="20"/>
        </w:rPr>
        <w:t>Automotive</w:t>
      </w:r>
      <w:r>
        <w:rPr>
          <w:rFonts w:cs="Tahoma" w:ascii="Tahoma" w:hAnsi="Tahoma"/>
          <w:sz w:val="20"/>
          <w:szCs w:val="20"/>
        </w:rPr>
        <w:t>.</w:t>
      </w:r>
    </w:p>
    <w:p>
      <w:pPr>
        <w:pStyle w:val="Normal"/>
        <w:spacing w:lineRule="auto" w:line="276" w:before="0" w:after="200"/>
        <w:contextualSpacing/>
        <w:rPr>
          <w:rFonts w:ascii="Tahoma" w:hAnsi="Tahoma" w:cs="Tahoma"/>
          <w:b/>
          <w:b/>
          <w:bCs/>
          <w:sz w:val="20"/>
          <w:szCs w:val="20"/>
        </w:rPr>
      </w:pPr>
      <w:r>
        <w:rPr>
          <w:rFonts w:cs="Tahoma" w:ascii="Tahoma" w:hAnsi="Tahoma"/>
          <w:b/>
          <w:bCs/>
          <w:sz w:val="20"/>
          <w:szCs w:val="20"/>
        </w:rPr>
      </w:r>
    </w:p>
    <w:p>
      <w:pPr>
        <w:pStyle w:val="Normal"/>
        <w:spacing w:before="120" w:after="0"/>
        <w:rPr/>
      </w:pPr>
      <w:r>
        <w:rPr>
          <w:rFonts w:cs="Tahoma" w:ascii="Tahoma" w:hAnsi="Tahoma"/>
          <w:b/>
          <w:bCs/>
          <w:sz w:val="20"/>
          <w:szCs w:val="20"/>
        </w:rPr>
        <w:t xml:space="preserve">Article 8 – EPARGNE SALARIALE </w:t>
      </w:r>
    </w:p>
    <w:p>
      <w:pPr>
        <w:pStyle w:val="Normal"/>
        <w:spacing w:before="120" w:after="0"/>
        <w:rPr>
          <w:rFonts w:ascii="Tahoma" w:hAnsi="Tahoma" w:cs="Tahoma"/>
          <w:sz w:val="20"/>
        </w:rPr>
      </w:pPr>
      <w:r>
        <w:rPr>
          <w:rFonts w:cs="Tahoma" w:ascii="Tahoma" w:hAnsi="Tahoma"/>
          <w:sz w:val="20"/>
        </w:rPr>
        <w:t>Suite à l’engagement pris dans le cadre de la NAO pour 2017, un accord de méthodologie relatif à l’intéressement collectif au sein de l’UES, contenant une partie liée aux résultats consolidés afin que le modèle de mutualisation des frais transverses de l’Entreprise ne pénalise pas les salariés des entités locales, a été conclu le 14 juin 2017, puis révisé le 27 juin 2019 et le 26 août 2021.</w:t>
      </w:r>
    </w:p>
    <w:p>
      <w:pPr>
        <w:pStyle w:val="Texte"/>
        <w:spacing w:before="120" w:after="0"/>
        <w:rPr>
          <w:rFonts w:ascii="Tahoma" w:hAnsi="Tahoma" w:cs="Tahoma"/>
          <w:sz w:val="20"/>
        </w:rPr>
      </w:pPr>
      <w:r>
        <w:rPr>
          <w:rFonts w:cs="Tahoma" w:ascii="Tahoma" w:hAnsi="Tahoma"/>
          <w:sz w:val="20"/>
        </w:rPr>
        <w:t>Par ailleurs, le 09 juin 2021 l’avenant n°2 à l’accord relatif à la mise en place d’un dispositif de compte épargne temps au sein d’INEO périmètre Siège a été conclu.</w:t>
      </w:r>
    </w:p>
    <w:p>
      <w:pPr>
        <w:pStyle w:val="Texte"/>
        <w:spacing w:before="120" w:after="0"/>
        <w:rPr>
          <w:rFonts w:ascii="Tahoma" w:hAnsi="Tahoma" w:cs="Tahoma"/>
          <w:sz w:val="20"/>
        </w:rPr>
      </w:pPr>
      <w:r>
        <w:rPr>
          <w:rFonts w:cs="Tahoma" w:ascii="Tahoma" w:hAnsi="Tahoma"/>
          <w:sz w:val="20"/>
        </w:rPr>
      </w:r>
    </w:p>
    <w:p>
      <w:pPr>
        <w:pStyle w:val="Normal"/>
        <w:spacing w:before="120" w:after="0"/>
        <w:rPr/>
      </w:pPr>
      <w:bookmarkStart w:id="4" w:name="_Hlk31106406"/>
      <w:bookmarkEnd w:id="4"/>
      <w:r>
        <w:rPr>
          <w:rFonts w:cs="Tahoma" w:ascii="Tahoma" w:hAnsi="Tahoma"/>
          <w:b/>
          <w:bCs/>
          <w:sz w:val="20"/>
        </w:rPr>
        <w:t xml:space="preserve">Article 9 – JOURNEE DE SOLIDARITE </w:t>
      </w:r>
    </w:p>
    <w:p>
      <w:pPr>
        <w:pStyle w:val="Normal"/>
        <w:spacing w:before="120" w:after="0"/>
        <w:rPr/>
      </w:pPr>
      <w:r>
        <w:rPr>
          <w:rFonts w:cs="Tahoma" w:ascii="Tahoma" w:hAnsi="Tahoma"/>
          <w:sz w:val="20"/>
        </w:rPr>
        <w:t xml:space="preserve">La date retenue pour la journée de solidarité sera par principe </w:t>
      </w:r>
      <w:r>
        <w:rPr>
          <w:rFonts w:cs="Tahoma" w:ascii="Tahoma" w:hAnsi="Tahoma"/>
          <w:b/>
          <w:bCs/>
          <w:sz w:val="20"/>
        </w:rPr>
        <w:t>le lundi de Pentecôte</w:t>
      </w:r>
      <w:r>
        <w:rPr>
          <w:rFonts w:cs="Tahoma" w:ascii="Tahoma" w:hAnsi="Tahoma"/>
          <w:sz w:val="20"/>
        </w:rPr>
        <w:t>.</w:t>
      </w:r>
    </w:p>
    <w:p>
      <w:pPr>
        <w:pStyle w:val="Normal"/>
        <w:spacing w:before="120" w:after="0"/>
        <w:rPr>
          <w:rFonts w:ascii="Tahoma" w:hAnsi="Tahoma" w:cs="Tahoma"/>
          <w:sz w:val="20"/>
        </w:rPr>
      </w:pPr>
      <w:r>
        <w:rPr>
          <w:rFonts w:cs="Tahoma" w:ascii="Tahoma" w:hAnsi="Tahoma"/>
          <w:sz w:val="20"/>
        </w:rPr>
        <w:t>Il est précisé par ailleurs que cette journée ne sera pas travaillée.</w:t>
      </w:r>
    </w:p>
    <w:p>
      <w:pPr>
        <w:pStyle w:val="Normal"/>
        <w:spacing w:before="120" w:after="0"/>
        <w:rPr/>
      </w:pPr>
      <w:r>
        <w:rPr>
          <w:rFonts w:cs="Tahoma" w:ascii="Tahoma" w:hAnsi="Tahoma"/>
          <w:sz w:val="20"/>
        </w:rPr>
        <w:t>Au cas où certains salariés seraient amenés pour des motifs de service ou d’organisation à travailler ce jour, un droit à récupération leur sera ouvert le cas échéant.</w:t>
      </w:r>
    </w:p>
    <w:p>
      <w:pPr>
        <w:pStyle w:val="Texte"/>
        <w:spacing w:before="120" w:after="0"/>
        <w:rPr>
          <w:rFonts w:ascii="Tahoma" w:hAnsi="Tahoma" w:cs="Tahoma"/>
          <w:sz w:val="20"/>
        </w:rPr>
      </w:pPr>
      <w:r>
        <w:rPr>
          <w:rFonts w:cs="Tahoma" w:ascii="Tahoma" w:hAnsi="Tahoma"/>
          <w:sz w:val="20"/>
        </w:rPr>
      </w:r>
    </w:p>
    <w:p>
      <w:pPr>
        <w:pStyle w:val="Normal"/>
        <w:spacing w:before="120" w:after="0"/>
        <w:rPr/>
      </w:pPr>
      <w:r>
        <w:rPr>
          <w:rFonts w:cs="Tahoma" w:ascii="Tahoma" w:hAnsi="Tahoma"/>
          <w:b/>
          <w:bCs/>
          <w:sz w:val="20"/>
          <w:szCs w:val="20"/>
        </w:rPr>
        <w:t>Article 10 – GESTION PREVISIONNELLE DE L’EMPLOI ET DES COMPETENCES</w:t>
      </w:r>
    </w:p>
    <w:p>
      <w:pPr>
        <w:pStyle w:val="Texte"/>
        <w:spacing w:before="120" w:after="0"/>
        <w:rPr/>
      </w:pPr>
      <w:r>
        <w:rPr>
          <w:rFonts w:cs="Tahoma" w:ascii="Tahoma" w:hAnsi="Tahoma"/>
          <w:sz w:val="20"/>
        </w:rPr>
        <w:t>L’accord relatif à la Gestion Anticipative des Emplois et des Compétences (GAEC) signé à l’unanimité avec les Organisations syndicales représentatives au niveau de l’UES le 2 décembre 2015 est arrivé à échéance en fin d’année 2018.</w:t>
      </w:r>
    </w:p>
    <w:p>
      <w:pPr>
        <w:pStyle w:val="Texte"/>
        <w:spacing w:before="120" w:after="0"/>
        <w:rPr>
          <w:rFonts w:ascii="Tahoma" w:hAnsi="Tahoma" w:cs="Tahoma"/>
          <w:sz w:val="20"/>
        </w:rPr>
      </w:pPr>
      <w:r>
        <w:rPr>
          <w:rFonts w:cs="Tahoma" w:ascii="Tahoma" w:hAnsi="Tahoma"/>
          <w:sz w:val="20"/>
        </w:rPr>
        <w:t xml:space="preserve">Une négociation relative à son renouvellement a abouti à la conclusion d’un nouvel accord majoritaire en date du 7 juillet 2019. </w:t>
      </w:r>
    </w:p>
    <w:p>
      <w:pPr>
        <w:pStyle w:val="Texte"/>
        <w:spacing w:before="120" w:after="0"/>
        <w:rPr>
          <w:rFonts w:ascii="Tahoma" w:hAnsi="Tahoma" w:cs="Tahoma"/>
          <w:sz w:val="20"/>
        </w:rPr>
      </w:pPr>
      <w:r>
        <w:rPr>
          <w:rFonts w:cs="Tahoma" w:ascii="Tahoma" w:hAnsi="Tahoma"/>
          <w:sz w:val="20"/>
        </w:rPr>
      </w:r>
    </w:p>
    <w:p>
      <w:pPr>
        <w:pStyle w:val="Normal"/>
        <w:spacing w:before="120" w:after="0"/>
        <w:rPr/>
      </w:pPr>
      <w:r>
        <w:rPr>
          <w:rFonts w:cs="Tahoma" w:ascii="Tahoma" w:hAnsi="Tahoma"/>
          <w:b/>
          <w:bCs/>
          <w:sz w:val="20"/>
        </w:rPr>
        <w:t>Article 11 – EGALITE PROFESSIONNELLE ENTRE LES FEMMES ET LES HOMMES</w:t>
      </w:r>
    </w:p>
    <w:p>
      <w:pPr>
        <w:pStyle w:val="Normal"/>
        <w:spacing w:before="120" w:after="0"/>
        <w:rPr/>
      </w:pPr>
      <w:bookmarkStart w:id="5" w:name="_Hlk31106406"/>
      <w:bookmarkEnd w:id="5"/>
      <w:r>
        <w:rPr>
          <w:rFonts w:cs="Tahoma" w:ascii="Tahoma" w:hAnsi="Tahoma"/>
          <w:sz w:val="20"/>
        </w:rPr>
        <w:t>L’accord sur ce thème conclu à l’unanimité avec les Organisations syndicales représentatives au niveau de l’UES le 23 décembre 2015 est arrivé à échéance en fin d’année 2018.</w:t>
      </w:r>
    </w:p>
    <w:p>
      <w:pPr>
        <w:pStyle w:val="Texte"/>
        <w:spacing w:before="120" w:after="0"/>
        <w:rPr>
          <w:rFonts w:ascii="Tahoma" w:hAnsi="Tahoma" w:cs="Tahoma"/>
          <w:sz w:val="20"/>
        </w:rPr>
      </w:pPr>
      <w:r>
        <w:rPr>
          <w:rFonts w:cs="Tahoma" w:ascii="Tahoma" w:hAnsi="Tahoma"/>
          <w:sz w:val="20"/>
        </w:rPr>
        <w:t>Un nouvel accord unanime a été signé le 28 mai 2019, réaffirmant les engagements pris par ENGIE Ineo en matière notamment de recrutement, de formation, de rémunération.</w:t>
      </w:r>
    </w:p>
    <w:p>
      <w:pPr>
        <w:pStyle w:val="Texte"/>
        <w:spacing w:before="120" w:after="0"/>
        <w:rPr>
          <w:rFonts w:ascii="Tahoma" w:hAnsi="Tahoma" w:cs="Tahoma"/>
          <w:b/>
          <w:b/>
          <w:bCs/>
          <w:sz w:val="20"/>
        </w:rPr>
      </w:pPr>
      <w:r>
        <w:rPr>
          <w:rFonts w:cs="Tahoma" w:ascii="Tahoma" w:hAnsi="Tahoma"/>
          <w:b/>
          <w:bCs/>
          <w:sz w:val="20"/>
        </w:rPr>
        <w:t xml:space="preserve">La Direction s’engage à être particulièrement attentif aux modalités d’organisation du travail des femmes enceintes et à coconstruire avec les partenaires sociaux, un plan d’action sur l’égalité salariale au sein d’INEO Automotive. </w:t>
      </w:r>
    </w:p>
    <w:p>
      <w:pPr>
        <w:pStyle w:val="Texte"/>
        <w:spacing w:before="120" w:after="0"/>
        <w:rPr>
          <w:rFonts w:ascii="Tahoma" w:hAnsi="Tahoma" w:cs="Tahoma"/>
          <w:sz w:val="20"/>
        </w:rPr>
      </w:pPr>
      <w:r>
        <w:rPr>
          <w:rFonts w:cs="Tahoma" w:ascii="Tahoma" w:hAnsi="Tahoma"/>
          <w:sz w:val="20"/>
        </w:rPr>
        <w:t>Par ailleurs, en matière d’égalité salariale, ENGIE Ineo se fixe l’objectif d’atteindre 85 points en application de l’index « Ega Pro ».</w:t>
      </w:r>
    </w:p>
    <w:p>
      <w:pPr>
        <w:pStyle w:val="Normal"/>
        <w:spacing w:before="120" w:after="0"/>
        <w:rPr>
          <w:rFonts w:ascii="Tahoma" w:hAnsi="Tahoma" w:cs="Tahoma"/>
          <w:b/>
          <w:b/>
          <w:bCs/>
          <w:sz w:val="20"/>
        </w:rPr>
      </w:pPr>
      <w:r>
        <w:rPr>
          <w:rFonts w:cs="Tahoma" w:ascii="Tahoma" w:hAnsi="Tahoma"/>
          <w:b/>
          <w:bCs/>
          <w:sz w:val="20"/>
        </w:rPr>
      </w:r>
    </w:p>
    <w:p>
      <w:pPr>
        <w:pStyle w:val="Normal"/>
        <w:spacing w:before="120" w:after="0"/>
        <w:rPr/>
      </w:pPr>
      <w:r>
        <w:rPr>
          <w:rFonts w:cs="Tahoma" w:ascii="Tahoma" w:hAnsi="Tahoma"/>
          <w:b/>
          <w:bCs/>
          <w:sz w:val="20"/>
        </w:rPr>
        <w:t>Article 12 – RSE</w:t>
      </w:r>
    </w:p>
    <w:p>
      <w:pPr>
        <w:pStyle w:val="Corpsdetexte3"/>
        <w:spacing w:before="120" w:after="0"/>
        <w:rPr>
          <w:rFonts w:ascii="Tahoma" w:hAnsi="Tahoma" w:cs="Tahoma"/>
          <w:bCs w:val="false"/>
        </w:rPr>
      </w:pPr>
      <w:r>
        <w:rPr>
          <w:rFonts w:cs="Tahoma" w:ascii="Tahoma" w:hAnsi="Tahoma"/>
          <w:b w:val="false"/>
          <w:bCs w:val="false"/>
          <w:sz w:val="20"/>
          <w:szCs w:val="20"/>
        </w:rPr>
        <w:t xml:space="preserve">Un nouvel accord en faveur des personnes en situation de Handicap au sein de l’UES ENGIE a été signé </w:t>
      </w:r>
      <w:r>
        <w:rPr>
          <w:rFonts w:cs="Tahoma" w:ascii="Tahoma" w:hAnsi="Tahoma"/>
          <w:b w:val="false"/>
          <w:sz w:val="20"/>
        </w:rPr>
        <w:t>à l’unanimité avec les Organisations syndicales représentatives au niveau de l’UES</w:t>
      </w:r>
      <w:r>
        <w:rPr>
          <w:rFonts w:cs="Tahoma" w:ascii="Tahoma" w:hAnsi="Tahoma"/>
          <w:b w:val="false"/>
          <w:bCs w:val="false"/>
          <w:sz w:val="20"/>
          <w:szCs w:val="20"/>
        </w:rPr>
        <w:t xml:space="preserve"> le 4 février 2021 pour une période de 3 ans à effet rétroactif au 1</w:t>
      </w:r>
      <w:r>
        <w:rPr>
          <w:rFonts w:cs="Tahoma" w:ascii="Tahoma" w:hAnsi="Tahoma"/>
          <w:b w:val="false"/>
          <w:bCs w:val="false"/>
          <w:sz w:val="20"/>
          <w:szCs w:val="20"/>
          <w:vertAlign w:val="superscript"/>
        </w:rPr>
        <w:t>er</w:t>
      </w:r>
      <w:r>
        <w:rPr>
          <w:rFonts w:cs="Tahoma" w:ascii="Tahoma" w:hAnsi="Tahoma"/>
          <w:b w:val="false"/>
          <w:bCs w:val="false"/>
          <w:sz w:val="20"/>
          <w:szCs w:val="20"/>
        </w:rPr>
        <w:t xml:space="preserve"> janvier 2021. Cet accord a fait l’objet d’un agrément par l’Administration du travail.</w:t>
      </w:r>
      <w:r>
        <w:rPr>
          <w:rFonts w:cs="Tahoma" w:ascii="Tahoma" w:hAnsi="Tahoma"/>
          <w:bCs w:val="false"/>
        </w:rPr>
        <w:t xml:space="preserve"> </w:t>
      </w:r>
    </w:p>
    <w:p>
      <w:pPr>
        <w:pStyle w:val="Corpsdetexte3"/>
        <w:spacing w:before="120" w:after="0"/>
        <w:rPr/>
      </w:pPr>
      <w:r>
        <w:rPr>
          <w:rFonts w:cs="Tahoma" w:ascii="Tahoma" w:hAnsi="Tahoma"/>
          <w:b w:val="false"/>
          <w:bCs w:val="false"/>
          <w:sz w:val="20"/>
          <w:szCs w:val="20"/>
        </w:rPr>
        <w:t>Par ailleurs, ENGIE Ineo a activement participé au renouvellement du « Label Diversité » par le Groupe ENGIE en mars 2017 pour une durée de 4 ans, l’audit conduit par l’organisme de certification (l’AFNOR) ayant permis d’attester de la poursuite de la dynamique engagée au sein de l’UES.</w:t>
      </w:r>
    </w:p>
    <w:p>
      <w:pPr>
        <w:pStyle w:val="Normal"/>
        <w:spacing w:before="120" w:after="0"/>
        <w:rPr>
          <w:rFonts w:ascii="Tahoma" w:hAnsi="Tahoma" w:cs="Tahoma"/>
          <w:b/>
          <w:b/>
          <w:bCs/>
          <w:sz w:val="20"/>
        </w:rPr>
      </w:pPr>
      <w:r>
        <w:rPr>
          <w:rFonts w:cs="Tahoma" w:ascii="Tahoma" w:hAnsi="Tahoma"/>
          <w:sz w:val="20"/>
        </w:rPr>
        <w:t xml:space="preserve">En outre, dans le cadre de la dynamique de performance sociale initiée au sein d’ENGIE Ineo, et conformément aux engagements pris dans le cadre de la NAO pour 2018, deux accords traitant respectivement du télétravail et du droit à la déconnexion ont été conclus le 15 mai 2018.  L’accord relatif au télétravail ayant été conclu pour une durée déterminée de trois ans, arrivant à échéance en mai 2021, </w:t>
      </w:r>
      <w:r>
        <w:rPr>
          <w:rFonts w:cs="Tahoma" w:ascii="Tahoma" w:hAnsi="Tahoma"/>
          <w:b/>
          <w:bCs/>
          <w:sz w:val="20"/>
        </w:rPr>
        <w:t>un nouvel accord a été conclu le 24 septembre 2021 pour une nouvelle durée de trois ans.</w:t>
      </w:r>
    </w:p>
    <w:p>
      <w:pPr>
        <w:pStyle w:val="Normal"/>
        <w:spacing w:before="120" w:after="0"/>
        <w:rPr>
          <w:rFonts w:ascii="Tahoma" w:hAnsi="Tahoma" w:cs="Tahoma"/>
          <w:b/>
          <w:b/>
          <w:bCs/>
          <w:sz w:val="20"/>
        </w:rPr>
      </w:pPr>
      <w:r>
        <w:rPr>
          <w:rFonts w:cs="Tahoma" w:ascii="Tahoma" w:hAnsi="Tahoma"/>
          <w:b/>
          <w:bCs/>
          <w:sz w:val="20"/>
        </w:rPr>
      </w:r>
    </w:p>
    <w:p>
      <w:pPr>
        <w:pStyle w:val="Normal"/>
        <w:spacing w:before="120" w:after="0"/>
        <w:rPr>
          <w:rFonts w:ascii="Tahoma" w:hAnsi="Tahoma" w:cs="Tahoma"/>
          <w:b/>
          <w:b/>
          <w:bCs/>
          <w:sz w:val="20"/>
          <w:lang w:val="it-IT"/>
        </w:rPr>
      </w:pPr>
      <w:r>
        <w:rPr>
          <w:rFonts w:cs="Tahoma" w:ascii="Tahoma" w:hAnsi="Tahoma"/>
          <w:b/>
          <w:bCs/>
          <w:sz w:val="20"/>
          <w:lang w:val="it-IT"/>
        </w:rPr>
        <w:t xml:space="preserve">Article 13 – ALTERNANCE &amp; TUTORAT </w:t>
      </w:r>
    </w:p>
    <w:p>
      <w:pPr>
        <w:pStyle w:val="Corpsdetexte3"/>
        <w:spacing w:before="120" w:after="0"/>
        <w:rPr>
          <w:rFonts w:ascii="Tahoma" w:hAnsi="Tahoma" w:cs="Tahoma"/>
          <w:b w:val="false"/>
          <w:b w:val="false"/>
          <w:bCs w:val="false"/>
          <w:sz w:val="20"/>
          <w:szCs w:val="20"/>
        </w:rPr>
      </w:pPr>
      <w:bookmarkStart w:id="6" w:name="_Hlk31197096"/>
      <w:bookmarkEnd w:id="6"/>
      <w:r>
        <w:rPr>
          <w:rFonts w:cs="Tahoma" w:ascii="Tahoma" w:hAnsi="Tahoma"/>
          <w:b w:val="false"/>
          <w:bCs w:val="false"/>
          <w:sz w:val="20"/>
          <w:szCs w:val="20"/>
        </w:rPr>
        <w:t xml:space="preserve">Dans le cadre de l’accompagnement des alternants, il est posé le principe que chaque tuteur bénéficiera d’une prime annuelle de </w:t>
      </w:r>
      <w:r>
        <w:rPr>
          <w:rFonts w:cs="Tahoma" w:ascii="Tahoma" w:hAnsi="Tahoma"/>
          <w:bCs w:val="false"/>
          <w:sz w:val="20"/>
          <w:szCs w:val="20"/>
        </w:rPr>
        <w:t>300€ bruts par alternant</w:t>
      </w:r>
      <w:r>
        <w:rPr>
          <w:rFonts w:cs="Tahoma" w:ascii="Tahoma" w:hAnsi="Tahoma"/>
          <w:b w:val="false"/>
          <w:bCs w:val="false"/>
          <w:sz w:val="20"/>
          <w:szCs w:val="20"/>
        </w:rPr>
        <w:t xml:space="preserve">. Il pourra également bénéficier d’une formation dont les modalités de mise en place seront définies au sein de l’entité. </w:t>
      </w:r>
    </w:p>
    <w:p>
      <w:pPr>
        <w:pStyle w:val="Corpsdetexte3"/>
        <w:spacing w:before="120" w:after="0"/>
        <w:rPr>
          <w:rFonts w:ascii="Tahoma" w:hAnsi="Tahoma" w:cs="Tahoma"/>
          <w:b w:val="false"/>
          <w:b w:val="false"/>
          <w:bCs w:val="false"/>
          <w:sz w:val="20"/>
          <w:szCs w:val="20"/>
        </w:rPr>
      </w:pPr>
      <w:bookmarkStart w:id="7" w:name="_Hlk31197096"/>
      <w:bookmarkEnd w:id="7"/>
      <w:r>
        <w:rPr>
          <w:rFonts w:cs="Tahoma" w:ascii="Tahoma" w:hAnsi="Tahoma"/>
          <w:b w:val="false"/>
          <w:bCs w:val="false"/>
          <w:sz w:val="20"/>
          <w:szCs w:val="20"/>
        </w:rPr>
        <w:t>Cette mesure entrera en vigueur au 1</w:t>
      </w:r>
      <w:r>
        <w:rPr>
          <w:rFonts w:cs="Tahoma" w:ascii="Tahoma" w:hAnsi="Tahoma"/>
          <w:b w:val="false"/>
          <w:bCs w:val="false"/>
          <w:sz w:val="20"/>
          <w:szCs w:val="20"/>
          <w:vertAlign w:val="superscript"/>
        </w:rPr>
        <w:t>er</w:t>
      </w:r>
      <w:r>
        <w:rPr>
          <w:rFonts w:cs="Tahoma" w:ascii="Tahoma" w:hAnsi="Tahoma"/>
          <w:b w:val="false"/>
          <w:bCs w:val="false"/>
          <w:sz w:val="20"/>
          <w:szCs w:val="20"/>
        </w:rPr>
        <w:t xml:space="preserve"> janvier 2022 pour les tutorats en cours.</w:t>
      </w:r>
    </w:p>
    <w:p>
      <w:pPr>
        <w:pStyle w:val="Corpsdetexte3"/>
        <w:spacing w:before="120" w:after="0"/>
        <w:rPr>
          <w:rFonts w:ascii="Tahoma" w:hAnsi="Tahoma" w:cs="Tahoma"/>
          <w:b w:val="false"/>
          <w:b w:val="false"/>
          <w:bCs w:val="false"/>
          <w:sz w:val="20"/>
          <w:szCs w:val="20"/>
        </w:rPr>
      </w:pPr>
      <w:r>
        <w:rPr>
          <w:rFonts w:cs="Tahoma" w:ascii="Tahoma" w:hAnsi="Tahoma"/>
          <w:b w:val="false"/>
          <w:bCs w:val="false"/>
          <w:sz w:val="20"/>
          <w:szCs w:val="20"/>
        </w:rPr>
      </w:r>
    </w:p>
    <w:p>
      <w:pPr>
        <w:pStyle w:val="Texte"/>
        <w:spacing w:before="120" w:after="0"/>
        <w:rPr/>
      </w:pPr>
      <w:r>
        <w:rPr>
          <w:rFonts w:cs="Tahoma" w:ascii="Tahoma" w:hAnsi="Tahoma"/>
          <w:b/>
          <w:bCs/>
          <w:sz w:val="20"/>
        </w:rPr>
        <w:t>Article 14 –</w:t>
      </w:r>
      <w:r>
        <w:rPr>
          <w:rFonts w:cs="Tahoma" w:ascii="Tahoma" w:hAnsi="Tahoma"/>
          <w:b/>
          <w:sz w:val="20"/>
        </w:rPr>
        <w:t xml:space="preserve"> MOBILITE DES SALARIES</w:t>
      </w:r>
    </w:p>
    <w:p>
      <w:pPr>
        <w:pStyle w:val="Texte"/>
        <w:spacing w:before="120" w:after="0"/>
        <w:rPr>
          <w:rFonts w:ascii="Tahoma" w:hAnsi="Tahoma" w:eastAsia="Times New Roman" w:cs="Tahoma"/>
          <w:sz w:val="20"/>
        </w:rPr>
      </w:pPr>
      <w:r>
        <w:rPr>
          <w:rFonts w:eastAsia="Times New Roman" w:cs="Tahoma" w:ascii="Tahoma" w:hAnsi="Tahoma"/>
          <w:sz w:val="20"/>
        </w:rPr>
        <w:t>La Loi Orientations des Mobilités, entrée en vigueur le 1</w:t>
      </w:r>
      <w:r>
        <w:rPr>
          <w:rFonts w:eastAsia="Times New Roman" w:cs="Tahoma" w:ascii="Tahoma" w:hAnsi="Tahoma"/>
          <w:sz w:val="20"/>
          <w:vertAlign w:val="superscript"/>
        </w:rPr>
        <w:t>er</w:t>
      </w:r>
      <w:r>
        <w:rPr>
          <w:rFonts w:eastAsia="Times New Roman" w:cs="Tahoma" w:ascii="Tahoma" w:hAnsi="Tahoma"/>
          <w:sz w:val="20"/>
        </w:rPr>
        <w:t xml:space="preserve"> janvier 2020, invite les entreprises à négocier des mesures visant à améliorer la mobilité des salariés entre leur lieu de résidence habituelle et leur lieu de travail, notamment en réduisant le coût de la mobilité, en incitant à l’usage des modes de transport vertueux ainsi que la prise en charge des frais de transports personnels, lorsqu’au moins 50 salariés sont employés sur un même site. Ces mesures ont vocation à se substituer à d’autres mesures précédemment existantes comme les indemnités kilométriques vélo par exemple.</w:t>
      </w:r>
    </w:p>
    <w:p>
      <w:pPr>
        <w:pStyle w:val="Texte"/>
        <w:spacing w:before="120" w:after="0"/>
        <w:rPr>
          <w:rFonts w:ascii="Tahoma" w:hAnsi="Tahoma" w:eastAsia="Times New Roman" w:cs="Tahoma"/>
          <w:sz w:val="20"/>
        </w:rPr>
      </w:pPr>
      <w:r>
        <w:rPr>
          <w:rFonts w:eastAsia="Times New Roman" w:cs="Tahoma" w:ascii="Tahoma" w:hAnsi="Tahoma"/>
          <w:sz w:val="20"/>
        </w:rPr>
        <w:t>Dans ce contexte, ENGIE Ineo s’est engagé à ouvrir dans les meilleurs délais une négociation sur cette thématique après avoir déterminé le niveau le plus approprié de négociation.</w:t>
      </w:r>
    </w:p>
    <w:p>
      <w:pPr>
        <w:pStyle w:val="Texte"/>
        <w:spacing w:before="120" w:after="0"/>
        <w:rPr>
          <w:rFonts w:ascii="Tahoma" w:hAnsi="Tahoma" w:eastAsia="Times New Roman" w:cs="Tahoma"/>
          <w:b/>
          <w:b/>
          <w:bCs/>
          <w:sz w:val="20"/>
        </w:rPr>
      </w:pPr>
      <w:r>
        <w:rPr>
          <w:rFonts w:eastAsia="Times New Roman" w:cs="Tahoma" w:ascii="Tahoma" w:hAnsi="Tahoma"/>
          <w:b/>
          <w:bCs/>
          <w:sz w:val="20"/>
        </w:rPr>
      </w:r>
    </w:p>
    <w:p>
      <w:pPr>
        <w:pStyle w:val="Texte"/>
        <w:spacing w:before="120" w:after="0"/>
        <w:rPr>
          <w:rFonts w:ascii="Tahoma" w:hAnsi="Tahoma" w:cs="Tahoma"/>
          <w:b/>
          <w:b/>
          <w:sz w:val="20"/>
        </w:rPr>
      </w:pPr>
      <w:r>
        <w:rPr>
          <w:rFonts w:cs="Tahoma" w:ascii="Tahoma" w:hAnsi="Tahoma"/>
          <w:b/>
          <w:bCs/>
          <w:sz w:val="20"/>
        </w:rPr>
        <w:t>Article 15 –</w:t>
      </w:r>
      <w:r>
        <w:rPr>
          <w:rFonts w:cs="Tahoma" w:ascii="Tahoma" w:hAnsi="Tahoma"/>
          <w:b/>
          <w:sz w:val="20"/>
        </w:rPr>
        <w:t xml:space="preserve"> EVOLUTION SALARIALE DES IRP</w:t>
      </w:r>
    </w:p>
    <w:p>
      <w:pPr>
        <w:pStyle w:val="Corpsdetexte3"/>
        <w:spacing w:before="120" w:after="0"/>
        <w:rPr/>
      </w:pPr>
      <w:r>
        <w:rPr>
          <w:rFonts w:cs="Tahoma" w:ascii="Tahoma" w:hAnsi="Tahoma"/>
          <w:b w:val="false"/>
          <w:sz w:val="20"/>
          <w:szCs w:val="20"/>
        </w:rPr>
        <w:t>L’accord sur le droit syndical en date du 18 novembre 2019 dispose que « </w:t>
      </w:r>
      <w:r>
        <w:rPr>
          <w:rFonts w:cs="Tahoma" w:ascii="Tahoma" w:hAnsi="Tahoma"/>
          <w:b w:val="false"/>
          <w:i/>
          <w:sz w:val="20"/>
          <w:szCs w:val="20"/>
        </w:rPr>
        <w:t xml:space="preserve">L’évolution de la rémunération et de la carrière de l’ensemble des représentants du personnel sera examinée annuellement afin de garantir une équité de traitement par rapport à l’ensemble des salariés appartenant à la même filière (commerce, affaires, grands projets, études/technique, chantier/atelier, fonctions supports, management opérationnel) et à la même qualification. </w:t>
      </w:r>
    </w:p>
    <w:p>
      <w:pPr>
        <w:pStyle w:val="Normal"/>
        <w:ind w:right="-2" w:hanging="0"/>
        <w:rPr>
          <w:rFonts w:ascii="Tahoma" w:hAnsi="Tahoma" w:cs="Tahoma"/>
          <w:b/>
          <w:b/>
          <w:i/>
          <w:i/>
          <w:sz w:val="20"/>
          <w:szCs w:val="20"/>
        </w:rPr>
      </w:pPr>
      <w:r>
        <w:rPr>
          <w:rFonts w:cs="Tahoma" w:ascii="Tahoma" w:hAnsi="Tahoma"/>
          <w:b/>
          <w:i/>
          <w:sz w:val="20"/>
          <w:szCs w:val="20"/>
        </w:rPr>
      </w:r>
    </w:p>
    <w:p>
      <w:pPr>
        <w:pStyle w:val="Normal"/>
        <w:ind w:right="-2" w:hanging="0"/>
        <w:rPr>
          <w:rFonts w:ascii="Tahoma" w:hAnsi="Tahoma" w:cs="Tahoma"/>
          <w:i/>
          <w:i/>
          <w:sz w:val="20"/>
          <w:szCs w:val="20"/>
        </w:rPr>
      </w:pPr>
      <w:r>
        <w:rPr>
          <w:rFonts w:cs="Tahoma" w:ascii="Tahoma" w:hAnsi="Tahoma"/>
          <w:i/>
          <w:sz w:val="20"/>
          <w:szCs w:val="20"/>
        </w:rPr>
        <w:t>La rémunération des représentants du personnel élus ou désignés fera l’objet d’un examen particulier entre les responsables hiérarchiques et les représentants de la filière RH au niveau approprié, ceci afin que leur soient appliquées, a minima, les augmentations moyennes au niveau de l’UES de la filière correspondant à leur emploi (commerce, affaires, grands projets, études/technique, chantier/atelier, fonctions supports, management opérationnel) et, au sein de celle-ci, de leur qualification, sauf exception justifiée et accompagnée obligatoirement d’un entretien d’explication entre l’intéressé et sa hiérarchie.</w:t>
      </w:r>
    </w:p>
    <w:p>
      <w:pPr>
        <w:pStyle w:val="Normal"/>
        <w:ind w:right="-2" w:hanging="0"/>
        <w:rPr>
          <w:rFonts w:ascii="Tahoma" w:hAnsi="Tahoma" w:cs="Tahoma"/>
          <w:i/>
          <w:i/>
          <w:sz w:val="20"/>
          <w:szCs w:val="20"/>
        </w:rPr>
      </w:pPr>
      <w:r>
        <w:rPr>
          <w:rFonts w:cs="Tahoma" w:ascii="Tahoma" w:hAnsi="Tahoma"/>
          <w:i/>
          <w:sz w:val="20"/>
          <w:szCs w:val="20"/>
        </w:rPr>
      </w:r>
    </w:p>
    <w:p>
      <w:pPr>
        <w:pStyle w:val="Normal"/>
        <w:ind w:right="-2" w:hanging="0"/>
        <w:rPr/>
      </w:pPr>
      <w:r>
        <w:rPr>
          <w:rFonts w:cs="Tahoma" w:ascii="Tahoma" w:hAnsi="Tahoma"/>
          <w:i/>
          <w:sz w:val="20"/>
          <w:szCs w:val="20"/>
        </w:rPr>
        <w:t>A cet effet, chaque année, à l’issue de revalorisations salariales réalisées dans le cadre des NAO, sera établi et diffusé aux délégués syndicaux centraux un tableau récapitulatif des revalorisations moyennes par filière (commerce, affaires, grands projets, études/technique, chantier/atelier, fonctions supports, management opérationnel) puis par qualification.</w:t>
      </w:r>
      <w:r>
        <w:rPr>
          <w:rFonts w:cs="Tahoma" w:ascii="Tahoma" w:hAnsi="Tahoma"/>
          <w:sz w:val="20"/>
          <w:szCs w:val="20"/>
        </w:rPr>
        <w:t> »</w:t>
      </w:r>
    </w:p>
    <w:p>
      <w:pPr>
        <w:pStyle w:val="Texte"/>
        <w:spacing w:before="120" w:after="0"/>
        <w:rPr>
          <w:rFonts w:ascii="Tahoma" w:hAnsi="Tahoma" w:cs="Tahoma"/>
          <w:sz w:val="20"/>
          <w:szCs w:val="20"/>
        </w:rPr>
      </w:pPr>
      <w:r>
        <w:rPr>
          <w:rFonts w:cs="Tahoma" w:ascii="Tahoma" w:hAnsi="Tahoma"/>
          <w:sz w:val="20"/>
          <w:szCs w:val="20"/>
        </w:rPr>
      </w:r>
    </w:p>
    <w:p>
      <w:pPr>
        <w:pStyle w:val="Texte"/>
        <w:spacing w:before="120" w:after="0"/>
        <w:rPr/>
      </w:pPr>
      <w:r>
        <w:rPr>
          <w:rFonts w:cs="Tahoma" w:ascii="Tahoma" w:hAnsi="Tahoma"/>
          <w:b/>
          <w:bCs/>
          <w:sz w:val="20"/>
        </w:rPr>
        <w:t>Article 16 –</w:t>
      </w:r>
      <w:r>
        <w:rPr>
          <w:rFonts w:cs="Tahoma" w:ascii="Tahoma" w:hAnsi="Tahoma"/>
          <w:b/>
          <w:sz w:val="20"/>
        </w:rPr>
        <w:t xml:space="preserve"> DEPOT</w:t>
      </w:r>
    </w:p>
    <w:p>
      <w:pPr>
        <w:pStyle w:val="Texte"/>
        <w:spacing w:before="120" w:after="0"/>
        <w:rPr/>
      </w:pPr>
      <w:r>
        <w:rPr>
          <w:rFonts w:cs="Tahoma" w:ascii="Tahoma" w:hAnsi="Tahoma"/>
          <w:sz w:val="20"/>
        </w:rPr>
        <w:t>Le présent accord sera adressé dans les meilleurs délais, à Monsieur le directeur départemental du travail, de l'emploi et de la formation professionnelle et au greffe du conseil de prud'hommes. Un exemplaire en sera remis à chacun des signataires, les syndicats, les délégués du personnel et au secrétaire du CSE (comité social et économique).</w:t>
      </w:r>
    </w:p>
    <w:p>
      <w:pPr>
        <w:pStyle w:val="Texte"/>
        <w:spacing w:before="120" w:after="0"/>
        <w:rPr>
          <w:rFonts w:ascii="Tahoma" w:hAnsi="Tahoma" w:cs="Tahoma"/>
          <w:sz w:val="20"/>
        </w:rPr>
      </w:pPr>
      <w:r>
        <w:rPr>
          <w:rFonts w:cs="Tahoma" w:ascii="Tahoma" w:hAnsi="Tahoma"/>
          <w:sz w:val="20"/>
        </w:rPr>
        <w:t>Une communication de mise à disposition du présent accord sera adressée à l’ensemble des salariés.</w:t>
      </w:r>
    </w:p>
    <w:p>
      <w:pPr>
        <w:pStyle w:val="Texte"/>
        <w:spacing w:before="120" w:after="0"/>
        <w:rPr>
          <w:rFonts w:ascii="Tahoma" w:hAnsi="Tahoma" w:cs="Tahoma"/>
          <w:sz w:val="20"/>
        </w:rPr>
      </w:pPr>
      <w:r>
        <w:rPr>
          <w:rFonts w:cs="Tahoma" w:ascii="Tahoma" w:hAnsi="Tahoma"/>
          <w:sz w:val="20"/>
        </w:rPr>
        <w:t>Fait en 6 exemplaires à Paris La Défense, le 7 février 2022.</w:t>
      </w:r>
    </w:p>
    <w:p>
      <w:pPr>
        <w:pStyle w:val="Texte"/>
        <w:spacing w:before="120" w:after="0"/>
        <w:rPr>
          <w:rFonts w:ascii="Tahoma" w:hAnsi="Tahoma" w:cs="Tahoma"/>
          <w:sz w:val="20"/>
        </w:rPr>
      </w:pPr>
      <w:r>
        <w:rPr>
          <w:rFonts w:cs="Tahoma" w:ascii="Tahoma" w:hAnsi="Tahoma"/>
          <w:sz w:val="20"/>
        </w:rPr>
      </w:r>
    </w:p>
    <w:p>
      <w:pPr>
        <w:pStyle w:val="Texte"/>
        <w:spacing w:before="120" w:after="0"/>
        <w:rPr>
          <w:rFonts w:ascii="Tahoma" w:hAnsi="Tahoma" w:cs="Tahoma"/>
          <w:sz w:val="20"/>
        </w:rPr>
      </w:pPr>
      <w:r>
        <w:rPr>
          <w:rFonts w:cs="Tahoma" w:ascii="Tahoma" w:hAnsi="Tahoma"/>
          <w:sz w:val="20"/>
        </w:rPr>
        <w:t>Pour la Direction,</w:t>
        <w:tab/>
        <w:tab/>
        <w:tab/>
        <w:tab/>
      </w:r>
    </w:p>
    <w:p>
      <w:pPr>
        <w:pStyle w:val="Texte"/>
        <w:spacing w:before="120" w:after="0"/>
        <w:rPr>
          <w:rFonts w:ascii="Tahoma" w:hAnsi="Tahoma" w:cs="Tahoma"/>
          <w:sz w:val="20"/>
        </w:rPr>
      </w:pPr>
      <w:r>
        <w:rPr>
          <w:rFonts w:cs="Tahoma" w:ascii="Tahoma" w:hAnsi="Tahoma"/>
          <w:sz w:val="20"/>
        </w:rPr>
      </w:r>
    </w:p>
    <w:p>
      <w:pPr>
        <w:pStyle w:val="Texte"/>
        <w:spacing w:before="120" w:after="0"/>
        <w:rPr>
          <w:rFonts w:ascii="Tahoma" w:hAnsi="Tahoma" w:cs="Tahoma"/>
          <w:sz w:val="20"/>
        </w:rPr>
      </w:pPr>
      <w:r>
        <w:rPr>
          <w:rFonts w:cs="Tahoma" w:ascii="Tahoma" w:hAnsi="Tahoma"/>
          <w:sz w:val="20"/>
        </w:rPr>
        <w:t>Pour l'organisation syndicale C.F.D.T.,</w:t>
        <w:tab/>
        <w:t xml:space="preserve">    </w:t>
      </w:r>
    </w:p>
    <w:p>
      <w:pPr>
        <w:pStyle w:val="Texte"/>
        <w:spacing w:before="120" w:after="0"/>
        <w:rPr>
          <w:rFonts w:ascii="Tahoma" w:hAnsi="Tahoma" w:cs="Tahoma"/>
          <w:sz w:val="20"/>
        </w:rPr>
      </w:pPr>
      <w:r>
        <w:rPr>
          <w:rFonts w:cs="Tahoma" w:ascii="Tahoma" w:hAnsi="Tahoma"/>
          <w:sz w:val="20"/>
        </w:rPr>
      </w:r>
    </w:p>
    <w:p>
      <w:pPr>
        <w:pStyle w:val="Texte"/>
        <w:spacing w:before="120" w:after="0"/>
        <w:rPr>
          <w:rFonts w:ascii="Tahoma" w:hAnsi="Tahoma" w:cs="Tahoma"/>
          <w:sz w:val="20"/>
        </w:rPr>
      </w:pPr>
      <w:r>
        <w:rPr>
          <w:rFonts w:cs="Tahoma" w:ascii="Tahoma" w:hAnsi="Tahoma"/>
          <w:sz w:val="20"/>
        </w:rPr>
      </w:r>
    </w:p>
    <w:p>
      <w:pPr>
        <w:pStyle w:val="Texte"/>
        <w:spacing w:before="120" w:after="0"/>
        <w:rPr>
          <w:rFonts w:ascii="Tahoma" w:hAnsi="Tahoma" w:cs="Tahoma"/>
          <w:sz w:val="20"/>
        </w:rPr>
      </w:pPr>
      <w:r>
        <w:rPr>
          <w:rFonts w:cs="Tahoma" w:ascii="Tahoma" w:hAnsi="Tahoma"/>
          <w:sz w:val="20"/>
        </w:rPr>
        <w:t xml:space="preserve">Pour l'organisation syndicale C.F.T.C., </w:t>
        <w:tab/>
      </w:r>
    </w:p>
    <w:p>
      <w:pPr>
        <w:pStyle w:val="Texte"/>
        <w:spacing w:before="120" w:after="0"/>
        <w:rPr>
          <w:rFonts w:ascii="Tahoma" w:hAnsi="Tahoma" w:cs="Tahoma"/>
          <w:sz w:val="20"/>
        </w:rPr>
      </w:pPr>
      <w:r>
        <w:rPr>
          <w:rFonts w:cs="Tahoma" w:ascii="Tahoma" w:hAnsi="Tahoma"/>
          <w:sz w:val="20"/>
        </w:rPr>
      </w:r>
    </w:p>
    <w:p>
      <w:pPr>
        <w:pStyle w:val="Texte"/>
        <w:spacing w:before="120" w:after="0"/>
        <w:rPr>
          <w:rFonts w:ascii="Tahoma" w:hAnsi="Tahoma" w:cs="Tahoma"/>
          <w:sz w:val="20"/>
        </w:rPr>
      </w:pPr>
      <w:r>
        <w:rPr>
          <w:rFonts w:cs="Tahoma" w:ascii="Tahoma" w:hAnsi="Tahoma"/>
          <w:sz w:val="20"/>
        </w:rPr>
      </w:r>
    </w:p>
    <w:p>
      <w:pPr>
        <w:pStyle w:val="Texte"/>
        <w:spacing w:before="120" w:after="0"/>
        <w:rPr>
          <w:rFonts w:ascii="Tahoma" w:hAnsi="Tahoma" w:cs="Tahoma"/>
          <w:sz w:val="20"/>
        </w:rPr>
      </w:pPr>
      <w:r>
        <w:rPr>
          <w:rFonts w:cs="Tahoma" w:ascii="Tahoma" w:hAnsi="Tahoma"/>
          <w:sz w:val="20"/>
        </w:rPr>
        <w:t xml:space="preserve">Pour l'organisation syndicale C.F.E.-C.G.C.,  </w:t>
      </w:r>
    </w:p>
    <w:p>
      <w:pPr>
        <w:pStyle w:val="Texte"/>
        <w:spacing w:before="120" w:after="0"/>
        <w:rPr>
          <w:rFonts w:ascii="Tahoma" w:hAnsi="Tahoma" w:cs="Tahoma"/>
          <w:sz w:val="20"/>
        </w:rPr>
      </w:pPr>
      <w:r>
        <w:rPr>
          <w:rFonts w:cs="Tahoma" w:ascii="Tahoma" w:hAnsi="Tahoma"/>
          <w:sz w:val="20"/>
        </w:rPr>
      </w:r>
    </w:p>
    <w:p>
      <w:pPr>
        <w:pStyle w:val="Texte"/>
        <w:spacing w:before="120" w:after="0"/>
        <w:jc w:val="center"/>
        <w:rPr>
          <w:rFonts w:ascii="Tahoma" w:hAnsi="Tahoma" w:cs="Tahoma"/>
          <w:b/>
          <w:b/>
          <w:sz w:val="20"/>
        </w:rPr>
      </w:pPr>
      <w:r>
        <w:rPr>
          <w:rFonts w:cs="Tahoma" w:ascii="Tahoma" w:hAnsi="Tahoma"/>
          <w:b/>
          <w:sz w:val="20"/>
        </w:rPr>
      </w:r>
    </w:p>
    <w:p>
      <w:pPr>
        <w:pStyle w:val="Texte"/>
        <w:spacing w:before="120" w:after="0"/>
        <w:rPr>
          <w:rFonts w:ascii="Tahoma" w:hAnsi="Tahoma" w:cs="Tahoma"/>
          <w:sz w:val="20"/>
        </w:rPr>
      </w:pPr>
      <w:r>
        <w:rPr>
          <w:rFonts w:cs="Tahoma" w:ascii="Tahoma" w:hAnsi="Tahoma"/>
          <w:sz w:val="20"/>
        </w:rPr>
        <w:t xml:space="preserve">Pour l'organisation syndicale C.G.T,  </w:t>
      </w:r>
    </w:p>
    <w:p>
      <w:pPr>
        <w:pStyle w:val="Texte"/>
        <w:spacing w:before="120" w:after="0"/>
        <w:rPr>
          <w:rFonts w:ascii="Tahoma" w:hAnsi="Tahoma" w:cs="Tahoma"/>
          <w:sz w:val="20"/>
        </w:rPr>
      </w:pPr>
      <w:r>
        <w:rPr>
          <w:rFonts w:cs="Tahoma" w:ascii="Tahoma" w:hAnsi="Tahoma"/>
          <w:sz w:val="20"/>
        </w:rPr>
      </w:r>
    </w:p>
    <w:p>
      <w:pPr>
        <w:pStyle w:val="Texte"/>
        <w:spacing w:before="120" w:after="0"/>
        <w:rPr>
          <w:rFonts w:ascii="Tahoma" w:hAnsi="Tahoma" w:cs="Tahoma"/>
          <w:sz w:val="20"/>
        </w:rPr>
      </w:pPr>
      <w:r>
        <w:rPr>
          <w:rFonts w:cs="Tahoma" w:ascii="Tahoma" w:hAnsi="Tahoma"/>
          <w:sz w:val="20"/>
        </w:rPr>
      </w:r>
    </w:p>
    <w:p>
      <w:pPr>
        <w:pStyle w:val="Texte"/>
        <w:spacing w:before="120" w:after="0"/>
        <w:rPr>
          <w:rFonts w:ascii="Tahoma" w:hAnsi="Tahoma" w:cs="Tahoma"/>
          <w:sz w:val="20"/>
        </w:rPr>
      </w:pPr>
      <w:r>
        <w:rPr>
          <w:rFonts w:cs="Tahoma" w:ascii="Tahoma" w:hAnsi="Tahoma"/>
          <w:sz w:val="20"/>
        </w:rPr>
      </w:r>
    </w:p>
    <w:p>
      <w:pPr>
        <w:pStyle w:val="Texte"/>
        <w:spacing w:before="120" w:after="0"/>
        <w:rPr>
          <w:rFonts w:ascii="Tahoma" w:hAnsi="Tahoma" w:cs="Tahoma"/>
          <w:sz w:val="20"/>
        </w:rPr>
      </w:pPr>
      <w:r>
        <w:rPr>
          <w:rFonts w:cs="Tahoma" w:ascii="Tahoma" w:hAnsi="Tahoma"/>
          <w:sz w:val="20"/>
        </w:rPr>
      </w:r>
    </w:p>
    <w:p>
      <w:pPr>
        <w:pStyle w:val="Texte"/>
        <w:spacing w:before="120" w:after="0"/>
        <w:rPr>
          <w:rFonts w:ascii="Tahoma" w:hAnsi="Tahoma" w:cs="Tahoma"/>
          <w:sz w:val="20"/>
        </w:rPr>
      </w:pPr>
      <w:r>
        <w:rPr>
          <w:rFonts w:cs="Tahoma" w:ascii="Tahoma" w:hAnsi="Tahoma"/>
          <w:sz w:val="20"/>
        </w:rPr>
      </w:r>
    </w:p>
    <w:p>
      <w:pPr>
        <w:pStyle w:val="Texte"/>
        <w:spacing w:before="120" w:after="0"/>
        <w:rPr>
          <w:rFonts w:ascii="Tahoma" w:hAnsi="Tahoma" w:cs="Tahoma"/>
          <w:sz w:val="20"/>
        </w:rPr>
      </w:pPr>
      <w:r>
        <w:rPr>
          <w:rFonts w:cs="Tahoma" w:ascii="Tahoma" w:hAnsi="Tahoma"/>
          <w:sz w:val="20"/>
        </w:rPr>
      </w:r>
    </w:p>
    <w:p>
      <w:pPr>
        <w:pStyle w:val="Texte"/>
        <w:spacing w:before="120" w:after="0"/>
        <w:rPr>
          <w:rFonts w:ascii="Tahoma" w:hAnsi="Tahoma" w:cs="Tahoma"/>
          <w:sz w:val="20"/>
        </w:rPr>
      </w:pPr>
      <w:r>
        <w:rPr>
          <w:rFonts w:cs="Tahoma" w:ascii="Tahoma" w:hAnsi="Tahoma"/>
          <w:sz w:val="20"/>
        </w:rPr>
      </w:r>
    </w:p>
    <w:p>
      <w:pPr>
        <w:pStyle w:val="Texte"/>
        <w:spacing w:before="120" w:after="0"/>
        <w:rPr>
          <w:rFonts w:ascii="Tahoma" w:hAnsi="Tahoma" w:cs="Tahoma"/>
          <w:sz w:val="20"/>
        </w:rPr>
      </w:pPr>
      <w:r>
        <w:rPr>
          <w:rFonts w:cs="Tahoma" w:ascii="Tahoma" w:hAnsi="Tahoma"/>
          <w:sz w:val="20"/>
        </w:rPr>
      </w:r>
    </w:p>
    <w:p>
      <w:pPr>
        <w:pStyle w:val="Texte"/>
        <w:spacing w:before="120" w:after="0"/>
        <w:rPr>
          <w:rFonts w:ascii="Tahoma" w:hAnsi="Tahoma" w:cs="Tahoma"/>
          <w:sz w:val="20"/>
        </w:rPr>
      </w:pPr>
      <w:r>
        <w:rPr>
          <w:rFonts w:cs="Tahoma" w:ascii="Tahoma" w:hAnsi="Tahoma"/>
          <w:sz w:val="20"/>
        </w:rPr>
      </w:r>
    </w:p>
    <w:p>
      <w:pPr>
        <w:pStyle w:val="Texte"/>
        <w:spacing w:before="120" w:after="0"/>
        <w:rPr>
          <w:rFonts w:ascii="Tahoma" w:hAnsi="Tahoma" w:cs="Tahoma"/>
          <w:sz w:val="20"/>
        </w:rPr>
      </w:pPr>
      <w:r>
        <w:rPr>
          <w:rFonts w:cs="Tahoma" w:ascii="Tahoma" w:hAnsi="Tahoma"/>
          <w:sz w:val="20"/>
        </w:rPr>
      </w:r>
    </w:p>
    <w:p>
      <w:pPr>
        <w:pStyle w:val="Texte"/>
        <w:spacing w:before="120" w:after="0"/>
        <w:rPr>
          <w:rFonts w:ascii="Tahoma" w:hAnsi="Tahoma" w:cs="Tahoma"/>
          <w:sz w:val="20"/>
        </w:rPr>
      </w:pPr>
      <w:r>
        <w:rPr>
          <w:rFonts w:cs="Tahoma" w:ascii="Tahoma" w:hAnsi="Tahoma"/>
          <w:sz w:val="20"/>
        </w:rPr>
      </w:r>
    </w:p>
    <w:p>
      <w:pPr>
        <w:pStyle w:val="Texte"/>
        <w:spacing w:before="120" w:after="0"/>
        <w:rPr>
          <w:rFonts w:ascii="Tahoma" w:hAnsi="Tahoma" w:cs="Tahoma"/>
          <w:sz w:val="20"/>
        </w:rPr>
      </w:pPr>
      <w:r>
        <w:rPr>
          <w:rFonts w:cs="Tahoma" w:ascii="Tahoma" w:hAnsi="Tahoma"/>
          <w:sz w:val="20"/>
        </w:rPr>
      </w:r>
    </w:p>
    <w:p>
      <w:pPr>
        <w:pStyle w:val="Texte"/>
        <w:spacing w:before="120" w:after="0"/>
        <w:rPr>
          <w:rFonts w:ascii="Tahoma" w:hAnsi="Tahoma" w:cs="Tahoma"/>
          <w:sz w:val="20"/>
        </w:rPr>
      </w:pPr>
      <w:r>
        <w:rPr>
          <w:rFonts w:cs="Tahoma" w:ascii="Tahoma" w:hAnsi="Tahoma"/>
          <w:sz w:val="20"/>
        </w:rPr>
      </w:r>
    </w:p>
    <w:p>
      <w:pPr>
        <w:pStyle w:val="Texte"/>
        <w:spacing w:before="120" w:after="0"/>
        <w:rPr>
          <w:rFonts w:ascii="Tahoma" w:hAnsi="Tahoma" w:cs="Tahoma"/>
          <w:sz w:val="20"/>
        </w:rPr>
      </w:pPr>
      <w:r>
        <w:rPr>
          <w:rFonts w:cs="Tahoma" w:ascii="Tahoma" w:hAnsi="Tahoma"/>
          <w:sz w:val="20"/>
        </w:rPr>
      </w:r>
    </w:p>
    <w:p>
      <w:pPr>
        <w:pStyle w:val="Texte"/>
        <w:spacing w:before="120" w:after="0"/>
        <w:rPr>
          <w:rFonts w:ascii="Tahoma" w:hAnsi="Tahoma" w:cs="Tahoma"/>
          <w:sz w:val="20"/>
        </w:rPr>
      </w:pPr>
      <w:r>
        <w:rPr>
          <w:rFonts w:cs="Tahoma" w:ascii="Tahoma" w:hAnsi="Tahoma"/>
          <w:sz w:val="20"/>
        </w:rPr>
      </w:r>
    </w:p>
    <w:p>
      <w:pPr>
        <w:pStyle w:val="Texte"/>
        <w:spacing w:before="120" w:after="0"/>
        <w:rPr>
          <w:rFonts w:ascii="Tahoma" w:hAnsi="Tahoma" w:cs="Tahoma"/>
          <w:sz w:val="20"/>
        </w:rPr>
      </w:pPr>
      <w:r>
        <w:rPr>
          <w:rFonts w:cs="Tahoma" w:ascii="Tahoma" w:hAnsi="Tahoma"/>
          <w:sz w:val="20"/>
        </w:rPr>
      </w:r>
    </w:p>
    <w:p>
      <w:pPr>
        <w:pStyle w:val="Texte"/>
        <w:spacing w:before="120" w:after="0"/>
        <w:jc w:val="center"/>
        <w:rPr>
          <w:rFonts w:ascii="Tahoma" w:hAnsi="Tahoma" w:cs="Tahoma"/>
          <w:sz w:val="32"/>
          <w:szCs w:val="32"/>
        </w:rPr>
      </w:pPr>
      <w:r>
        <w:rPr>
          <w:rFonts w:cs="Tahoma" w:ascii="Tahoma" w:hAnsi="Tahoma"/>
          <w:b/>
          <w:sz w:val="20"/>
        </w:rPr>
        <w:t>ANNEXE 1</w:t>
      </w:r>
    </w:p>
    <w:p>
      <w:pPr>
        <w:pStyle w:val="Texte"/>
        <w:spacing w:before="120" w:after="0"/>
        <w:jc w:val="center"/>
        <w:rPr>
          <w:rFonts w:ascii="Tahoma" w:hAnsi="Tahoma" w:cs="Tahoma"/>
          <w:b/>
          <w:b/>
          <w:sz w:val="20"/>
        </w:rPr>
      </w:pPr>
      <w:r>
        <w:rPr>
          <w:rFonts w:cs="Tahoma" w:ascii="Tahoma" w:hAnsi="Tahoma"/>
          <w:b/>
          <w:sz w:val="20"/>
        </w:rPr>
        <w:t>Revendications syndicales</w:t>
      </w:r>
    </w:p>
    <w:p>
      <w:pPr>
        <w:pStyle w:val="Texte"/>
        <w:spacing w:before="120" w:after="0"/>
        <w:jc w:val="center"/>
        <w:rPr>
          <w:rFonts w:ascii="Tahoma" w:hAnsi="Tahoma" w:cs="Tahoma"/>
          <w:b/>
          <w:b/>
          <w:sz w:val="20"/>
        </w:rPr>
      </w:pPr>
      <w:r>
        <w:rPr>
          <w:rFonts w:cs="Tahoma" w:ascii="Tahoma" w:hAnsi="Tahoma"/>
          <w:b/>
          <w:sz w:val="20"/>
        </w:rPr>
        <w:t>au titre de la négociation annuelle obligatoire pour 2022</w:t>
      </w:r>
    </w:p>
    <w:p>
      <w:pPr>
        <w:pStyle w:val="Texte"/>
        <w:spacing w:before="120" w:after="0"/>
        <w:jc w:val="center"/>
        <w:rPr>
          <w:rFonts w:ascii="Tahoma" w:hAnsi="Tahoma" w:cs="Tahoma"/>
          <w:b/>
          <w:b/>
          <w:sz w:val="20"/>
        </w:rPr>
      </w:pPr>
      <w:r>
        <w:rPr>
          <w:rFonts w:cs="Tahoma" w:ascii="Tahoma" w:hAnsi="Tahoma"/>
          <w:b/>
          <w:sz w:val="20"/>
        </w:rPr>
      </w:r>
    </w:p>
    <w:p>
      <w:pPr>
        <w:pStyle w:val="Texte"/>
        <w:spacing w:before="120" w:after="0"/>
        <w:jc w:val="center"/>
        <w:rPr>
          <w:lang w:val="en-GB" w:eastAsia="en-GB"/>
        </w:rPr>
      </w:pPr>
      <w:r>
        <w:rPr>
          <w:lang w:val="en-GB" w:eastAsia="en-GB"/>
        </w:rPr>
        <w:drawing>
          <wp:inline distT="0" distB="0" distL="0" distR="0">
            <wp:extent cx="5548630" cy="8014970"/>
            <wp:effectExtent l="0" t="0" r="0" b="0"/>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
                    <pic:cNvPicPr>
                      <a:picLocks noChangeAspect="1" noChangeArrowheads="1"/>
                    </pic:cNvPicPr>
                  </pic:nvPicPr>
                  <pic:blipFill>
                    <a:blip r:embed="rId2"/>
                    <a:srcRect l="-8" t="-5" r="-8" b="-5"/>
                    <a:stretch>
                      <a:fillRect/>
                    </a:stretch>
                  </pic:blipFill>
                  <pic:spPr bwMode="auto">
                    <a:xfrm>
                      <a:off x="0" y="0"/>
                      <a:ext cx="5548630" cy="8014970"/>
                    </a:xfrm>
                    <a:prstGeom prst="rect">
                      <a:avLst/>
                    </a:prstGeom>
                  </pic:spPr>
                </pic:pic>
              </a:graphicData>
            </a:graphic>
          </wp:inline>
        </w:drawing>
      </w:r>
    </w:p>
    <w:p>
      <w:pPr>
        <w:pStyle w:val="Texte"/>
        <w:spacing w:before="120" w:after="0"/>
        <w:jc w:val="center"/>
        <w:rPr>
          <w:lang w:val="en-GB" w:eastAsia="en-GB"/>
        </w:rPr>
      </w:pPr>
      <w:r>
        <w:rPr>
          <w:lang w:val="en-GB" w:eastAsia="en-GB"/>
        </w:rPr>
      </w:r>
    </w:p>
    <w:p>
      <w:pPr>
        <w:pStyle w:val="Texte"/>
        <w:spacing w:before="120" w:after="0"/>
        <w:jc w:val="center"/>
        <w:rPr>
          <w:lang w:val="en-GB" w:eastAsia="en-GB"/>
        </w:rPr>
      </w:pPr>
      <w:r>
        <w:rPr>
          <w:lang w:val="en-GB" w:eastAsia="en-GB"/>
        </w:rPr>
      </w:r>
    </w:p>
    <w:p>
      <w:pPr>
        <w:pStyle w:val="Texte"/>
        <w:spacing w:before="120" w:after="0"/>
        <w:jc w:val="center"/>
        <w:rPr>
          <w:lang w:val="en-GB" w:eastAsia="en-GB"/>
        </w:rPr>
      </w:pPr>
      <w:r>
        <w:rPr>
          <w:lang w:val="en-GB" w:eastAsia="en-GB"/>
        </w:rPr>
      </w:r>
    </w:p>
    <w:p>
      <w:pPr>
        <w:pStyle w:val="Texte"/>
        <w:spacing w:before="120" w:after="0"/>
        <w:jc w:val="center"/>
        <w:rPr>
          <w:lang w:val="en-GB" w:eastAsia="en-GB"/>
        </w:rPr>
      </w:pPr>
      <w:r>
        <w:rPr>
          <w:lang w:val="en-GB" w:eastAsia="en-GB"/>
        </w:rPr>
      </w:r>
    </w:p>
    <w:p>
      <w:pPr>
        <w:pStyle w:val="Texte"/>
        <w:spacing w:before="120" w:after="0"/>
        <w:jc w:val="center"/>
        <w:rPr>
          <w:lang w:val="en-GB" w:eastAsia="en-GB"/>
        </w:rPr>
      </w:pPr>
      <w:r>
        <w:rPr>
          <w:lang w:val="en-GB" w:eastAsia="en-GB"/>
        </w:rPr>
      </w:r>
    </w:p>
    <w:p>
      <w:pPr>
        <w:pStyle w:val="Texte"/>
        <w:spacing w:before="120" w:after="0"/>
        <w:jc w:val="center"/>
        <w:rPr>
          <w:lang w:val="en-GB" w:eastAsia="en-GB"/>
        </w:rPr>
      </w:pPr>
      <w:r>
        <w:rPr>
          <w:lang w:val="en-GB" w:eastAsia="en-GB"/>
        </w:rPr>
      </w:r>
    </w:p>
    <w:p>
      <w:pPr>
        <w:pStyle w:val="Texte"/>
        <w:spacing w:before="120" w:after="0"/>
        <w:jc w:val="center"/>
        <w:rPr>
          <w:lang w:val="en-GB" w:eastAsia="en-GB"/>
        </w:rPr>
      </w:pPr>
      <w:r>
        <w:rPr>
          <w:lang w:val="en-GB" w:eastAsia="en-GB"/>
        </w:rPr>
        <w:drawing>
          <wp:inline distT="0" distB="0" distL="0" distR="0">
            <wp:extent cx="4959350" cy="655383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7" t="-5" r="-7" b="-5"/>
                    <a:stretch>
                      <a:fillRect/>
                    </a:stretch>
                  </pic:blipFill>
                  <pic:spPr bwMode="auto">
                    <a:xfrm>
                      <a:off x="0" y="0"/>
                      <a:ext cx="4959350" cy="6553835"/>
                    </a:xfrm>
                    <a:prstGeom prst="rect">
                      <a:avLst/>
                    </a:prstGeom>
                  </pic:spPr>
                </pic:pic>
              </a:graphicData>
            </a:graphic>
          </wp:inline>
        </w:drawing>
      </w:r>
    </w:p>
    <w:p>
      <w:pPr>
        <w:pStyle w:val="Texte"/>
        <w:spacing w:before="120" w:after="0"/>
        <w:jc w:val="center"/>
        <w:rPr>
          <w:lang w:val="en-GB" w:eastAsia="en-GB"/>
        </w:rPr>
      </w:pPr>
      <w:r>
        <w:rPr>
          <w:lang w:val="en-GB" w:eastAsia="en-GB"/>
        </w:rPr>
      </w:r>
    </w:p>
    <w:p>
      <w:pPr>
        <w:pStyle w:val="Texte"/>
        <w:spacing w:before="120" w:after="0"/>
        <w:jc w:val="center"/>
        <w:rPr>
          <w:lang w:val="en-GB" w:eastAsia="en-GB"/>
        </w:rPr>
      </w:pPr>
      <w:r>
        <w:rPr>
          <w:lang w:val="en-GB" w:eastAsia="en-GB"/>
        </w:rPr>
      </w:r>
    </w:p>
    <w:p>
      <w:pPr>
        <w:pStyle w:val="Texte"/>
        <w:spacing w:before="120" w:after="0"/>
        <w:jc w:val="center"/>
        <w:rPr>
          <w:lang w:val="en-GB" w:eastAsia="en-GB"/>
        </w:rPr>
      </w:pPr>
      <w:r>
        <w:rPr>
          <w:lang w:val="en-GB" w:eastAsia="en-GB"/>
        </w:rPr>
      </w:r>
    </w:p>
    <w:p>
      <w:pPr>
        <w:pStyle w:val="Texte"/>
        <w:spacing w:before="120" w:after="0"/>
        <w:jc w:val="center"/>
        <w:rPr>
          <w:lang w:val="en-GB" w:eastAsia="en-GB"/>
        </w:rPr>
      </w:pPr>
      <w:r>
        <w:rPr>
          <w:lang w:val="en-GB" w:eastAsia="en-GB"/>
        </w:rPr>
      </w:r>
    </w:p>
    <w:p>
      <w:pPr>
        <w:pStyle w:val="Texte"/>
        <w:spacing w:before="120" w:after="0"/>
        <w:jc w:val="center"/>
        <w:rPr>
          <w:lang w:val="en-GB" w:eastAsia="en-GB"/>
        </w:rPr>
      </w:pPr>
      <w:r>
        <w:rPr>
          <w:lang w:val="en-GB" w:eastAsia="en-GB"/>
        </w:rPr>
      </w:r>
    </w:p>
    <w:p>
      <w:pPr>
        <w:pStyle w:val="Texte"/>
        <w:tabs>
          <w:tab w:val="left" w:pos="5812" w:leader="none"/>
        </w:tabs>
        <w:spacing w:before="120" w:after="0"/>
        <w:jc w:val="center"/>
        <w:rPr>
          <w:rFonts w:ascii="Tahoma" w:hAnsi="Tahoma" w:cs="Tahoma"/>
          <w:b/>
          <w:b/>
          <w:sz w:val="20"/>
          <w:lang w:val="en-GB" w:eastAsia="en-GB"/>
        </w:rPr>
      </w:pPr>
      <w:r>
        <w:rPr>
          <w:rFonts w:cs="Tahoma" w:ascii="Tahoma" w:hAnsi="Tahoma"/>
          <w:b/>
          <w:sz w:val="20"/>
          <w:lang w:val="en-GB" w:eastAsia="en-GB"/>
        </w:rPr>
      </w:r>
    </w:p>
    <w:p>
      <w:pPr>
        <w:pStyle w:val="Texte"/>
        <w:spacing w:before="120" w:after="0"/>
        <w:jc w:val="center"/>
        <w:rPr>
          <w:rFonts w:ascii="Tahoma" w:hAnsi="Tahoma" w:cs="Tahoma"/>
          <w:b/>
          <w:b/>
          <w:sz w:val="20"/>
        </w:rPr>
      </w:pPr>
      <w:r>
        <w:rPr>
          <w:rFonts w:cs="Tahoma" w:ascii="Tahoma" w:hAnsi="Tahoma"/>
          <w:b/>
          <w:sz w:val="20"/>
        </w:rPr>
      </w:r>
    </w:p>
    <w:p>
      <w:pPr>
        <w:pStyle w:val="Texte"/>
        <w:spacing w:before="120" w:after="0"/>
        <w:jc w:val="center"/>
        <w:rPr>
          <w:rFonts w:ascii="Tahoma" w:hAnsi="Tahoma" w:cs="Tahoma"/>
          <w:b/>
          <w:b/>
          <w:sz w:val="20"/>
        </w:rPr>
      </w:pPr>
      <w:r>
        <w:rPr>
          <w:rFonts w:cs="Tahoma" w:ascii="Tahoma" w:hAnsi="Tahoma"/>
          <w:b/>
          <w:sz w:val="20"/>
          <w:lang w:val="en-GB" w:eastAsia="en-GB"/>
        </w:rPr>
        <w:drawing>
          <wp:inline distT="0" distB="0" distL="0" distR="0">
            <wp:extent cx="4940300" cy="656018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7" t="-5" r="-7" b="-5"/>
                    <a:stretch>
                      <a:fillRect/>
                    </a:stretch>
                  </pic:blipFill>
                  <pic:spPr bwMode="auto">
                    <a:xfrm>
                      <a:off x="0" y="0"/>
                      <a:ext cx="4940300" cy="6560185"/>
                    </a:xfrm>
                    <a:prstGeom prst="rect">
                      <a:avLst/>
                    </a:prstGeom>
                  </pic:spPr>
                </pic:pic>
              </a:graphicData>
            </a:graphic>
          </wp:inline>
        </w:drawing>
      </w:r>
    </w:p>
    <w:p>
      <w:pPr>
        <w:pStyle w:val="Texte"/>
        <w:spacing w:before="120" w:after="0"/>
        <w:jc w:val="center"/>
        <w:rPr>
          <w:rFonts w:ascii="Tahoma" w:hAnsi="Tahoma" w:cs="Tahoma"/>
          <w:b/>
          <w:b/>
          <w:sz w:val="20"/>
        </w:rPr>
      </w:pPr>
      <w:r>
        <w:rPr>
          <w:rFonts w:cs="Tahoma" w:ascii="Tahoma" w:hAnsi="Tahoma"/>
          <w:b/>
          <w:sz w:val="20"/>
        </w:rPr>
      </w:r>
    </w:p>
    <w:p>
      <w:pPr>
        <w:pStyle w:val="Texte"/>
        <w:spacing w:before="120" w:after="0"/>
        <w:jc w:val="center"/>
        <w:rPr>
          <w:rFonts w:ascii="Tahoma" w:hAnsi="Tahoma" w:cs="Tahoma"/>
          <w:b/>
          <w:b/>
          <w:sz w:val="20"/>
        </w:rPr>
      </w:pPr>
      <w:r>
        <w:rPr>
          <w:rFonts w:cs="Tahoma" w:ascii="Tahoma" w:hAnsi="Tahoma"/>
          <w:b/>
          <w:sz w:val="20"/>
        </w:rPr>
      </w:r>
    </w:p>
    <w:p>
      <w:pPr>
        <w:pStyle w:val="Texte"/>
        <w:spacing w:before="120" w:after="0"/>
        <w:jc w:val="center"/>
        <w:rPr>
          <w:rFonts w:ascii="Tahoma" w:hAnsi="Tahoma" w:cs="Tahoma"/>
          <w:b/>
          <w:b/>
          <w:sz w:val="20"/>
        </w:rPr>
      </w:pPr>
      <w:r>
        <w:rPr>
          <w:rFonts w:cs="Tahoma" w:ascii="Tahoma" w:hAnsi="Tahoma"/>
          <w:b/>
          <w:sz w:val="20"/>
        </w:rPr>
      </w:r>
    </w:p>
    <w:p>
      <w:pPr>
        <w:pStyle w:val="Texte"/>
        <w:spacing w:before="120" w:after="0"/>
        <w:jc w:val="center"/>
        <w:rPr>
          <w:rFonts w:ascii="Tahoma" w:hAnsi="Tahoma" w:cs="Tahoma"/>
          <w:b/>
          <w:b/>
          <w:sz w:val="20"/>
        </w:rPr>
      </w:pPr>
      <w:r>
        <w:rPr>
          <w:rFonts w:cs="Tahoma" w:ascii="Tahoma" w:hAnsi="Tahoma"/>
          <w:b/>
          <w:sz w:val="20"/>
        </w:rPr>
      </w:r>
    </w:p>
    <w:p>
      <w:pPr>
        <w:pStyle w:val="Texte"/>
        <w:spacing w:before="120" w:after="0"/>
        <w:jc w:val="center"/>
        <w:rPr>
          <w:rFonts w:ascii="Tahoma" w:hAnsi="Tahoma" w:cs="Tahoma"/>
          <w:b/>
          <w:b/>
          <w:sz w:val="20"/>
        </w:rPr>
      </w:pPr>
      <w:r>
        <w:rPr>
          <w:rFonts w:cs="Tahoma" w:ascii="Tahoma" w:hAnsi="Tahoma"/>
          <w:b/>
          <w:sz w:val="20"/>
        </w:rPr>
      </w:r>
    </w:p>
    <w:p>
      <w:pPr>
        <w:pStyle w:val="Texte"/>
        <w:spacing w:before="120" w:after="0"/>
        <w:jc w:val="center"/>
        <w:rPr>
          <w:rFonts w:ascii="Tahoma" w:hAnsi="Tahoma" w:cs="Tahoma"/>
          <w:b/>
          <w:b/>
          <w:sz w:val="20"/>
        </w:rPr>
      </w:pPr>
      <w:r>
        <w:rPr>
          <w:rFonts w:cs="Tahoma" w:ascii="Tahoma" w:hAnsi="Tahoma"/>
          <w:b/>
          <w:sz w:val="20"/>
        </w:rPr>
      </w:r>
    </w:p>
    <w:p>
      <w:pPr>
        <w:pStyle w:val="Texte"/>
        <w:spacing w:before="120" w:after="0"/>
        <w:jc w:val="center"/>
        <w:rPr>
          <w:rFonts w:ascii="Tahoma" w:hAnsi="Tahoma" w:cs="Tahoma"/>
          <w:b/>
          <w:b/>
          <w:sz w:val="20"/>
        </w:rPr>
      </w:pPr>
      <w:r>
        <w:rPr>
          <w:rFonts w:cs="Tahoma" w:ascii="Tahoma" w:hAnsi="Tahoma"/>
          <w:b/>
          <w:sz w:val="20"/>
        </w:rPr>
      </w:r>
    </w:p>
    <w:p>
      <w:pPr>
        <w:pStyle w:val="Texte"/>
        <w:spacing w:before="120" w:after="0"/>
        <w:jc w:val="center"/>
        <w:rPr>
          <w:rFonts w:ascii="Tahoma" w:hAnsi="Tahoma" w:cs="Tahoma"/>
          <w:b/>
          <w:b/>
          <w:sz w:val="20"/>
        </w:rPr>
      </w:pPr>
      <w:r>
        <w:rPr>
          <w:rFonts w:cs="Tahoma" w:ascii="Tahoma" w:hAnsi="Tahoma"/>
          <w:b/>
          <w:sz w:val="20"/>
        </w:rPr>
      </w:r>
    </w:p>
    <w:p>
      <w:pPr>
        <w:pStyle w:val="Texte"/>
        <w:spacing w:before="120" w:after="0"/>
        <w:jc w:val="center"/>
        <w:rPr>
          <w:rFonts w:ascii="Tahoma" w:hAnsi="Tahoma" w:cs="Tahoma"/>
          <w:b/>
          <w:b/>
          <w:sz w:val="20"/>
        </w:rPr>
      </w:pPr>
      <w:r>
        <w:rPr>
          <w:rFonts w:cs="Tahoma" w:ascii="Tahoma" w:hAnsi="Tahoma"/>
          <w:b/>
          <w:sz w:val="20"/>
        </w:rPr>
      </w:r>
    </w:p>
    <w:p>
      <w:pPr>
        <w:pStyle w:val="Texte"/>
        <w:spacing w:before="120" w:after="0"/>
        <w:jc w:val="center"/>
        <w:rPr>
          <w:rFonts w:ascii="Tahoma" w:hAnsi="Tahoma" w:cs="Tahoma"/>
          <w:b/>
          <w:b/>
          <w:sz w:val="20"/>
        </w:rPr>
      </w:pPr>
      <w:r>
        <w:rPr>
          <w:rFonts w:cs="Tahoma" w:ascii="Tahoma" w:hAnsi="Tahoma"/>
          <w:b/>
          <w:sz w:val="20"/>
        </w:rPr>
      </w:r>
    </w:p>
    <w:p>
      <w:pPr>
        <w:pStyle w:val="Texte"/>
        <w:spacing w:before="120" w:after="0"/>
        <w:jc w:val="center"/>
        <w:rPr>
          <w:rFonts w:ascii="Tahoma" w:hAnsi="Tahoma" w:cs="Tahoma"/>
          <w:b/>
          <w:b/>
          <w:sz w:val="20"/>
        </w:rPr>
      </w:pPr>
      <w:r>
        <w:rPr>
          <w:rFonts w:cs="Tahoma" w:ascii="Tahoma" w:hAnsi="Tahoma"/>
          <w:b/>
          <w:sz w:val="20"/>
        </w:rPr>
      </w:r>
    </w:p>
    <w:p>
      <w:pPr>
        <w:pStyle w:val="Texte"/>
        <w:spacing w:before="120" w:after="0"/>
        <w:jc w:val="center"/>
        <w:rPr>
          <w:rFonts w:ascii="Tahoma" w:hAnsi="Tahoma" w:cs="Tahoma"/>
          <w:b/>
          <w:b/>
          <w:sz w:val="20"/>
        </w:rPr>
      </w:pPr>
      <w:r>
        <w:rPr>
          <w:rFonts w:cs="Tahoma" w:ascii="Tahoma" w:hAnsi="Tahoma"/>
          <w:b/>
          <w:sz w:val="20"/>
          <w:lang w:val="en-GB" w:eastAsia="en-GB"/>
        </w:rPr>
        <w:drawing>
          <wp:inline distT="0" distB="0" distL="0" distR="0">
            <wp:extent cx="5460365" cy="790130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8" t="-5" r="-8" b="-5"/>
                    <a:stretch>
                      <a:fillRect/>
                    </a:stretch>
                  </pic:blipFill>
                  <pic:spPr bwMode="auto">
                    <a:xfrm>
                      <a:off x="0" y="0"/>
                      <a:ext cx="5460365" cy="7901305"/>
                    </a:xfrm>
                    <a:prstGeom prst="rect">
                      <a:avLst/>
                    </a:prstGeom>
                  </pic:spPr>
                </pic:pic>
              </a:graphicData>
            </a:graphic>
          </wp:inline>
        </w:drawing>
      </w:r>
    </w:p>
    <w:p>
      <w:pPr>
        <w:pStyle w:val="Texte"/>
        <w:spacing w:before="120" w:after="0"/>
        <w:jc w:val="center"/>
        <w:rPr>
          <w:rFonts w:ascii="Tahoma" w:hAnsi="Tahoma" w:cs="Tahoma"/>
          <w:b/>
          <w:b/>
          <w:sz w:val="20"/>
          <w:lang w:val="en-GB" w:eastAsia="en-GB"/>
        </w:rPr>
      </w:pPr>
      <w:r>
        <w:rPr>
          <w:rFonts w:cs="Tahoma" w:ascii="Tahoma" w:hAnsi="Tahoma"/>
          <w:b/>
          <w:sz w:val="20"/>
          <w:lang w:val="en-GB" w:eastAsia="en-GB"/>
        </w:rPr>
      </w:r>
    </w:p>
    <w:p>
      <w:pPr>
        <w:pStyle w:val="Texte"/>
        <w:spacing w:before="120" w:after="0"/>
        <w:jc w:val="center"/>
        <w:rPr>
          <w:lang w:val="en-GB" w:eastAsia="en-GB"/>
        </w:rPr>
      </w:pPr>
      <w:r>
        <w:rPr>
          <w:lang w:val="en-GB" w:eastAsia="en-GB"/>
        </w:rPr>
      </w:r>
    </w:p>
    <w:p>
      <w:pPr>
        <w:pStyle w:val="Texte"/>
        <w:spacing w:before="120" w:after="0"/>
        <w:jc w:val="center"/>
        <w:rPr>
          <w:lang w:val="en-GB" w:eastAsia="en-GB"/>
        </w:rPr>
      </w:pPr>
      <w:r>
        <w:rPr>
          <w:lang w:val="en-GB" w:eastAsia="en-GB"/>
        </w:rPr>
      </w:r>
    </w:p>
    <w:p>
      <w:pPr>
        <w:pStyle w:val="Texte"/>
        <w:spacing w:before="120" w:after="0"/>
        <w:jc w:val="center"/>
        <w:rPr>
          <w:lang w:val="en-GB" w:eastAsia="en-GB"/>
        </w:rPr>
      </w:pPr>
      <w:r>
        <w:rPr>
          <w:lang w:val="en-GB" w:eastAsia="en-GB"/>
        </w:rPr>
      </w:r>
    </w:p>
    <w:p>
      <w:pPr>
        <w:pStyle w:val="Texte"/>
        <w:spacing w:before="120" w:after="0"/>
        <w:jc w:val="center"/>
        <w:rPr>
          <w:lang w:val="en-GB" w:eastAsia="en-GB"/>
        </w:rPr>
      </w:pPr>
      <w:r>
        <w:rPr>
          <w:lang w:val="en-GB" w:eastAsia="en-GB"/>
        </w:rPr>
        <w:drawing>
          <wp:inline distT="0" distB="0" distL="0" distR="0">
            <wp:extent cx="5092065" cy="746823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rcRect l="-8" t="-5" r="-8" b="-5"/>
                    <a:stretch>
                      <a:fillRect/>
                    </a:stretch>
                  </pic:blipFill>
                  <pic:spPr bwMode="auto">
                    <a:xfrm>
                      <a:off x="0" y="0"/>
                      <a:ext cx="5092065" cy="7468235"/>
                    </a:xfrm>
                    <a:prstGeom prst="rect">
                      <a:avLst/>
                    </a:prstGeom>
                  </pic:spPr>
                </pic:pic>
              </a:graphicData>
            </a:graphic>
          </wp:inline>
        </w:drawing>
      </w:r>
    </w:p>
    <w:p>
      <w:pPr>
        <w:pStyle w:val="Texte"/>
        <w:spacing w:before="120" w:after="0"/>
        <w:jc w:val="center"/>
        <w:rPr>
          <w:lang w:val="en-GB" w:eastAsia="en-GB"/>
        </w:rPr>
      </w:pPr>
      <w:r>
        <w:rPr>
          <w:lang w:val="en-GB" w:eastAsia="en-GB"/>
        </w:rPr>
      </w:r>
    </w:p>
    <w:p>
      <w:pPr>
        <w:pStyle w:val="Texte"/>
        <w:spacing w:before="120" w:after="0"/>
        <w:jc w:val="center"/>
        <w:rPr>
          <w:rFonts w:ascii="Tahoma" w:hAnsi="Tahoma" w:cs="Tahoma"/>
          <w:b/>
          <w:b/>
          <w:sz w:val="20"/>
          <w:lang w:val="en-GB" w:eastAsia="en-GB"/>
        </w:rPr>
      </w:pPr>
      <w:r>
        <w:rPr>
          <w:rFonts w:cs="Tahoma" w:ascii="Tahoma" w:hAnsi="Tahoma"/>
          <w:b/>
          <w:sz w:val="20"/>
          <w:lang w:val="en-GB" w:eastAsia="en-GB"/>
        </w:rPr>
      </w:r>
    </w:p>
    <w:p>
      <w:pPr>
        <w:pStyle w:val="Texte"/>
        <w:spacing w:before="120" w:after="0"/>
        <w:jc w:val="center"/>
        <w:rPr>
          <w:rFonts w:ascii="Tahoma" w:hAnsi="Tahoma" w:cs="Tahoma"/>
          <w:b/>
          <w:b/>
          <w:sz w:val="20"/>
        </w:rPr>
      </w:pPr>
      <w:r>
        <w:rPr>
          <w:rFonts w:cs="Tahoma" w:ascii="Tahoma" w:hAnsi="Tahoma"/>
          <w:b/>
          <w:sz w:val="20"/>
        </w:rPr>
      </w:r>
    </w:p>
    <w:p>
      <w:pPr>
        <w:pStyle w:val="Texte"/>
        <w:spacing w:before="120" w:after="0"/>
        <w:jc w:val="center"/>
        <w:rPr>
          <w:rFonts w:ascii="Tahoma" w:hAnsi="Tahoma" w:cs="Tahoma"/>
          <w:b/>
          <w:b/>
          <w:sz w:val="20"/>
        </w:rPr>
      </w:pPr>
      <w:r>
        <w:rPr>
          <w:rFonts w:cs="Tahoma" w:ascii="Tahoma" w:hAnsi="Tahoma"/>
          <w:b/>
          <w:sz w:val="20"/>
        </w:rPr>
      </w:r>
    </w:p>
    <w:p>
      <w:pPr>
        <w:pStyle w:val="Texte"/>
        <w:spacing w:before="120" w:after="0"/>
        <w:jc w:val="center"/>
        <w:rPr>
          <w:rFonts w:ascii="Tahoma" w:hAnsi="Tahoma" w:cs="Tahoma"/>
          <w:b/>
          <w:b/>
          <w:sz w:val="20"/>
          <w:lang w:val="en-GB" w:eastAsia="en-GB"/>
        </w:rPr>
      </w:pPr>
      <w:r>
        <w:rPr>
          <w:rFonts w:cs="Tahoma" w:ascii="Tahoma" w:hAnsi="Tahoma"/>
          <w:b/>
          <w:sz w:val="20"/>
          <w:lang w:val="en-GB" w:eastAsia="en-GB"/>
        </w:rPr>
      </w:r>
    </w:p>
    <w:p>
      <w:pPr>
        <w:pStyle w:val="Texte"/>
        <w:spacing w:before="120" w:after="0"/>
        <w:jc w:val="center"/>
        <w:rPr>
          <w:lang w:val="en-GB" w:eastAsia="en-GB"/>
        </w:rPr>
      </w:pPr>
      <w:r>
        <w:rPr>
          <w:lang w:val="en-GB" w:eastAsia="en-GB"/>
        </w:rPr>
      </w:r>
    </w:p>
    <w:p>
      <w:pPr>
        <w:pStyle w:val="Texte"/>
        <w:spacing w:before="120" w:after="0"/>
        <w:jc w:val="center"/>
        <w:rPr>
          <w:lang w:val="en-GB" w:eastAsia="en-GB"/>
        </w:rPr>
      </w:pPr>
      <w:r>
        <w:rPr>
          <w:lang w:val="en-GB" w:eastAsia="en-GB"/>
        </w:rPr>
        <w:drawing>
          <wp:inline distT="0" distB="0" distL="0" distR="0">
            <wp:extent cx="5583555" cy="303276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rcRect l="-3" t="-5" r="-3" b="-5"/>
                    <a:stretch>
                      <a:fillRect/>
                    </a:stretch>
                  </pic:blipFill>
                  <pic:spPr bwMode="auto">
                    <a:xfrm>
                      <a:off x="0" y="0"/>
                      <a:ext cx="5583555" cy="3032760"/>
                    </a:xfrm>
                    <a:prstGeom prst="rect">
                      <a:avLst/>
                    </a:prstGeom>
                  </pic:spPr>
                </pic:pic>
              </a:graphicData>
            </a:graphic>
          </wp:inline>
        </w:drawing>
      </w:r>
    </w:p>
    <w:p>
      <w:pPr>
        <w:pStyle w:val="Texte"/>
        <w:spacing w:before="120" w:after="0"/>
        <w:jc w:val="center"/>
        <w:rPr>
          <w:lang w:val="en-GB" w:eastAsia="en-GB"/>
        </w:rPr>
      </w:pPr>
      <w:r>
        <w:rPr>
          <w:lang w:val="en-GB" w:eastAsia="en-GB"/>
        </w:rPr>
        <w:drawing>
          <wp:inline distT="0" distB="0" distL="0" distR="0">
            <wp:extent cx="5581015" cy="3117215"/>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rcRect l="-3" t="-5" r="-3" b="-5"/>
                    <a:stretch>
                      <a:fillRect/>
                    </a:stretch>
                  </pic:blipFill>
                  <pic:spPr bwMode="auto">
                    <a:xfrm>
                      <a:off x="0" y="0"/>
                      <a:ext cx="5581015" cy="3117215"/>
                    </a:xfrm>
                    <a:prstGeom prst="rect">
                      <a:avLst/>
                    </a:prstGeom>
                  </pic:spPr>
                </pic:pic>
              </a:graphicData>
            </a:graphic>
          </wp:inline>
        </w:drawing>
      </w:r>
    </w:p>
    <w:p>
      <w:pPr>
        <w:pStyle w:val="Texte"/>
        <w:spacing w:before="120" w:after="0"/>
        <w:jc w:val="center"/>
        <w:rPr>
          <w:lang w:val="en-GB" w:eastAsia="en-GB"/>
        </w:rPr>
      </w:pPr>
      <w:r>
        <w:rPr>
          <w:lang w:val="en-GB" w:eastAsia="en-GB"/>
        </w:rPr>
        <w:drawing>
          <wp:inline distT="0" distB="0" distL="0" distR="0">
            <wp:extent cx="5583555" cy="315277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rcRect l="-3" t="-5" r="-3" b="-5"/>
                    <a:stretch>
                      <a:fillRect/>
                    </a:stretch>
                  </pic:blipFill>
                  <pic:spPr bwMode="auto">
                    <a:xfrm>
                      <a:off x="0" y="0"/>
                      <a:ext cx="5583555" cy="3152775"/>
                    </a:xfrm>
                    <a:prstGeom prst="rect">
                      <a:avLst/>
                    </a:prstGeom>
                  </pic:spPr>
                </pic:pic>
              </a:graphicData>
            </a:graphic>
          </wp:inline>
        </w:drawing>
      </w:r>
    </w:p>
    <w:p>
      <w:pPr>
        <w:pStyle w:val="Texte"/>
        <w:spacing w:before="120" w:after="0"/>
        <w:jc w:val="center"/>
        <w:rPr>
          <w:lang w:val="en-GB" w:eastAsia="en-GB"/>
        </w:rPr>
      </w:pPr>
      <w:r>
        <w:rPr>
          <w:lang w:val="en-GB" w:eastAsia="en-GB"/>
        </w:rPr>
        <w:drawing>
          <wp:inline distT="0" distB="0" distL="0" distR="0">
            <wp:extent cx="5578475" cy="314642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rcRect l="-3" t="-5" r="-3" b="-5"/>
                    <a:stretch>
                      <a:fillRect/>
                    </a:stretch>
                  </pic:blipFill>
                  <pic:spPr bwMode="auto">
                    <a:xfrm>
                      <a:off x="0" y="0"/>
                      <a:ext cx="5578475" cy="3146425"/>
                    </a:xfrm>
                    <a:prstGeom prst="rect">
                      <a:avLst/>
                    </a:prstGeom>
                  </pic:spPr>
                </pic:pic>
              </a:graphicData>
            </a:graphic>
          </wp:inline>
        </w:drawing>
      </w:r>
    </w:p>
    <w:p>
      <w:pPr>
        <w:pStyle w:val="Texte"/>
        <w:spacing w:before="120" w:after="0"/>
        <w:jc w:val="center"/>
        <w:rPr>
          <w:lang w:val="en-GB" w:eastAsia="en-GB"/>
        </w:rPr>
      </w:pPr>
      <w:r>
        <w:rPr>
          <w:lang w:val="en-GB" w:eastAsia="en-GB"/>
        </w:rPr>
        <w:drawing>
          <wp:inline distT="0" distB="0" distL="0" distR="0">
            <wp:extent cx="5583555" cy="3199765"/>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rcRect l="-3" t="-5" r="-3" b="-5"/>
                    <a:stretch>
                      <a:fillRect/>
                    </a:stretch>
                  </pic:blipFill>
                  <pic:spPr bwMode="auto">
                    <a:xfrm>
                      <a:off x="0" y="0"/>
                      <a:ext cx="5583555" cy="3199765"/>
                    </a:xfrm>
                    <a:prstGeom prst="rect">
                      <a:avLst/>
                    </a:prstGeom>
                  </pic:spPr>
                </pic:pic>
              </a:graphicData>
            </a:graphic>
          </wp:inline>
        </w:drawing>
      </w:r>
    </w:p>
    <w:p>
      <w:pPr>
        <w:pStyle w:val="Texte"/>
        <w:spacing w:before="120" w:after="0"/>
        <w:jc w:val="center"/>
        <w:rPr>
          <w:lang w:val="en-GB" w:eastAsia="en-GB"/>
        </w:rPr>
      </w:pPr>
      <w:r>
        <w:rPr>
          <w:lang w:val="en-GB" w:eastAsia="en-GB"/>
        </w:rPr>
        <w:drawing>
          <wp:inline distT="0" distB="0" distL="0" distR="0">
            <wp:extent cx="5575300" cy="339344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rcRect l="-3" t="-5" r="-3" b="-5"/>
                    <a:stretch>
                      <a:fillRect/>
                    </a:stretch>
                  </pic:blipFill>
                  <pic:spPr bwMode="auto">
                    <a:xfrm>
                      <a:off x="0" y="0"/>
                      <a:ext cx="5575300" cy="3393440"/>
                    </a:xfrm>
                    <a:prstGeom prst="rect">
                      <a:avLst/>
                    </a:prstGeom>
                  </pic:spPr>
                </pic:pic>
              </a:graphicData>
            </a:graphic>
          </wp:inline>
        </w:drawing>
      </w:r>
    </w:p>
    <w:sectPr>
      <w:headerReference w:type="default" r:id="rId13"/>
      <w:footerReference w:type="default" r:id="rId14"/>
      <w:type w:val="nextPage"/>
      <w:pgSz w:w="11906" w:h="16838"/>
      <w:pgMar w:left="1701" w:right="1418" w:header="709" w:top="1440" w:footer="709" w:bottom="1418"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Light">
    <w:charset w:val="00"/>
    <w:family w:val="swiss"/>
    <w:pitch w:val="variable"/>
  </w:font>
  <w:font w:name="Calibri">
    <w:charset w:val="00"/>
    <w:family w:val="swiss"/>
    <w:pitch w:val="variable"/>
  </w:font>
  <w:font w:name="Courier New">
    <w:charset w:val="00"/>
    <w:family w:val="modern"/>
    <w:pitch w:val="default"/>
  </w:font>
  <w:font w:name="Wingdings">
    <w:charset w:val="02"/>
    <w:family w:val="auto"/>
    <w:pitch w:val="variable"/>
  </w:font>
  <w:font w:name="Arial Narrow">
    <w:charset w:val="00"/>
    <w:family w:val="swiss"/>
    <w:pitch w:val="variable"/>
  </w:font>
  <w:font w:name="Tahoma">
    <w:charset w:val="00"/>
    <w:family w:val="swiss"/>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Style w:val="PageNumber"/>
        <w:rFonts w:cs="Arial Narrow" w:ascii="Arial Narrow" w:hAnsi="Arial Narrow"/>
        <w:sz w:val="18"/>
        <w:szCs w:val="18"/>
      </w:rPr>
      <w:t xml:space="preserve">Accord relatif aux thèmes de la NAO pour l’exercice 2022 – INEO Automotive Page </w:t>
    </w:r>
    <w:r>
      <w:rPr>
        <w:rStyle w:val="PageNumber"/>
        <w:rFonts w:cs="Arial Narrow" w:ascii="Arial Narrow" w:hAnsi="Arial Narrow"/>
        <w:sz w:val="18"/>
        <w:szCs w:val="18"/>
      </w:rPr>
      <w:fldChar w:fldCharType="begin"/>
    </w:r>
    <w:r>
      <w:instrText> PAGE </w:instrText>
    </w:r>
    <w:r>
      <w:fldChar w:fldCharType="separate"/>
    </w:r>
    <w:r>
      <w:t>16</w:t>
    </w:r>
    <w:r>
      <w:fldChar w:fldCharType="end"/>
    </w:r>
    <w:r>
      <w:rPr>
        <w:rStyle w:val="PageNumber"/>
        <w:rFonts w:cs="Arial Narrow" w:ascii="Arial Narrow" w:hAnsi="Arial Narrow"/>
        <w:sz w:val="18"/>
        <w:szCs w:val="18"/>
      </w:rPr>
      <w:t>/</w:t>
    </w:r>
    <w:r>
      <w:rPr>
        <w:rStyle w:val="PageNumber"/>
        <w:rFonts w:cs="Arial Narrow" w:ascii="Arial Narrow" w:hAnsi="Arial Narrow"/>
        <w:sz w:val="18"/>
        <w:szCs w:val="18"/>
      </w:rPr>
      <w:fldChar w:fldCharType="begin"/>
    </w:r>
    <w:r>
      <w:instrText> NUMPAGES \* ARABIC </w:instrText>
    </w:r>
    <w:r>
      <w:fldChar w:fldCharType="separate"/>
    </w:r>
    <w:r>
      <w:t>16</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r>
      <mc:AlternateContent>
        <mc:Choice Requires="wps">
          <w:drawing>
            <wp:anchor behindDoc="1" distT="0" distB="0" distL="0" distR="0" simplePos="0" locked="0" layoutInCell="1" allowOverlap="1" relativeHeight="17">
              <wp:simplePos x="0" y="0"/>
              <wp:positionH relativeFrom="column">
                <wp:align>left</wp:align>
              </wp:positionH>
              <wp:positionV relativeFrom="line">
                <wp:posOffset>635</wp:posOffset>
              </wp:positionV>
              <wp:extent cx="5579745" cy="3314700"/>
              <wp:effectExtent l="0" t="0" r="0" b="0"/>
              <wp:wrapNone/>
              <wp:docPr id="12" name="Frame1"/>
              <a:graphic xmlns:a="http://schemas.openxmlformats.org/drawingml/2006/main">
                <a:graphicData uri="http://schemas.microsoft.com/office/word/2010/wordprocessingShape">
                  <wps:wsp>
                    <wps:cNvSpPr txBox="1"/>
                    <wps:spPr>
                      <a:xfrm>
                        <a:off x="0" y="0"/>
                        <a:ext cx="5579745" cy="3314700"/>
                      </a:xfrm>
                      <a:prstGeom prst="rect"/>
                    </wps:spPr>
                    <wps:txbx>
                      <w:txbxContent>
                        <w:p>
                          <w:pPr>
                            <w:pStyle w:val="Header"/>
                            <w:rPr>
                              <w:lang w:val="en-GB" w:eastAsia="en-GB"/>
                            </w:rPr>
                          </w:pPr>
                          <w:r>
                            <w:rPr>
                              <w:lang w:val="en-GB" w:eastAsia="en-GB"/>
                            </w:rPr>
                          </w:r>
                        </w:p>
                      </w:txbxContent>
                    </wps:txbx>
                    <wps:bodyPr anchor="t">
                      <a:noAutofit/>
                    </wps:bodyPr>
                  </wps:wsp>
                </a:graphicData>
              </a:graphic>
            </wp:anchor>
          </w:drawing>
        </mc:Choice>
        <mc:Fallback>
          <w:pict>
            <v:rect style="position:absolute;rotation:0;width:439.35pt;height:261pt;margin-top:0pt;mso-position-vertical:top;mso-position-vertical-relative:text;margin-left:0pt;mso-position-horizontal:left;mso-position-horizontal-relative:text">
              <v:textbox>
                <w:txbxContent>
                  <w:p>
                    <w:pPr>
                      <w:pStyle w:val="Header"/>
                      <w:rPr>
                        <w:lang w:val="en-GB" w:eastAsia="en-GB"/>
                      </w:rPr>
                    </w:pPr>
                    <w:r>
                      <w:rPr>
                        <w:lang w:val="en-GB" w:eastAsia="en-GB"/>
                      </w:rPr>
                      <w:pict>
                        <v:group id="shape_0" style="position:absolute;margin-left:0pt;margin-top:0pt;width:431.95pt;height:260.95pt" coordorigin="0,0" coordsize="8639,5219">
                          <v:rect id="shape_0" stroked="f" style="position:absolute;left:0;top:0;width:8638;height:5218;mso-position-horizontal-relative:char">
                            <w10:wrap type="none"/>
                            <v:fill o:detectmouseclick="t" on="false"/>
                            <v:stroke color="#3465a4" joinstyle="round" endcap="flat"/>
                          </v:rect>
                        </v:group>
                      </w:pict>
                    </w:r>
                  </w:p>
                </w:txbxContent>
              </v:textbox>
            </v:rect>
          </w:pict>
        </mc:Fallback>
      </mc:AlternateContent>
    </w:r>
    <w:r>
      <mc:AlternateContent>
        <mc:Choice Requires="wpg">
          <w:drawing>
            <wp:inline distT="0" distB="0" distL="0" distR="0">
              <wp:extent cx="5486400" cy="3314700"/>
              <wp:effectExtent l="0" t="0" r="0" b="0"/>
              <wp:docPr id="14" name=""/>
              <a:graphic xmlns:a="http://schemas.openxmlformats.org/drawingml/2006/main">
                <a:graphicData uri="http://schemas.microsoft.com/office/word/2010/wordprocessingGroup">
                  <wpg:wgp>
                    <wpg:cNvGrpSpPr/>
                    <wpg:grpSpPr>
                      <a:xfrm>
                        <a:off x="0" y="0"/>
                        <a:ext cx="5485680" cy="3314160"/>
                      </a:xfrm>
                    </wpg:grpSpPr>
                    <wps:wsp>
                      <wps:cNvSpPr/>
                      <wps:nvSpPr>
                        <wps:cNvPr id="0" name="Rectangle 1"/>
                        <wps:cNvSpPr/>
                      </wps:nvSpPr>
                      <wps:spPr>
                        <a:xfrm>
                          <a:off x="0" y="0"/>
                          <a:ext cx="5485680" cy="3314160"/>
                        </a:xfrm>
                        <a:prstGeom prst="rect">
                          <a:avLst/>
                        </a:prstGeom>
                        <a:noFill/>
                        <a:ln>
                          <a:noFill/>
                        </a:ln>
                      </wps:spPr>
                      <wps:bodyPr/>
                    </wps:wsp>
                  </wpg:wgp>
                </a:graphicData>
              </a:graphic>
            </wp:inline>
          </w:drawing>
        </mc:Choice>
        <mc:Fallback>
          <w:pict>
            <v:group id="shape_0" style="position:absolute;margin-left:0pt;margin-top:0pt;width:431.95pt;height:260.95pt" coordorigin="0,0" coordsize="8639,5219">
              <v:rect id="shape_0" stroked="f" style="position:absolute;left:0;top:0;width:8638;height:5218;mso-position-horizontal-relative:char">
                <w10:wrap type="none"/>
                <v:fill o:detectmouseclick="t" on="false"/>
                <v:stroke color="#3465a4" joinstyle="round" endcap="flat"/>
              </v:rect>
            </v:group>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upperLetter"/>
      <w:lvlText w:val="%1."/>
      <w:lvlJc w:val="left"/>
      <w:pPr>
        <w:ind w:left="1080" w:hanging="360"/>
      </w:pPr>
      <w:rPr>
        <w:rFonts w:cs="Tahoma"/>
      </w:rPr>
    </w:lvl>
  </w:abstractNum>
  <w:abstractNum w:abstractNumId="3">
    <w:lvl w:ilvl="0">
      <w:start w:val="8"/>
      <w:numFmt w:val="upperLetter"/>
      <w:lvlText w:val="%1."/>
      <w:lvlJc w:val="left"/>
      <w:pPr>
        <w:ind w:left="1080" w:hanging="360"/>
      </w:pPr>
      <w:rPr>
        <w:rFonts w:cs="Tahoma"/>
      </w:rPr>
    </w:lvl>
  </w:abstractNum>
  <w:abstractNum w:abstractNumId="4">
    <w:lvl w:ilvl="0">
      <w:start w:val="1"/>
      <w:numFmt w:val="decimal"/>
      <w:lvlText w:val="%1."/>
      <w:lvlJc w:val="left"/>
      <w:pPr>
        <w:tabs>
          <w:tab w:val="num" w:pos="720"/>
        </w:tabs>
        <w:ind w:left="720" w:hanging="360"/>
      </w:pPr>
      <w:rPr>
        <w:sz w:val="20"/>
        <w:rFonts w:ascii="Tahoma" w:hAnsi="Tahoma" w:cs="Tahoma"/>
        <w:color w:val="000000"/>
      </w:rPr>
    </w:lvl>
  </w:abstractNum>
  <w:abstractNum w:abstractNumId="5">
    <w:lvl w:ilvl="0">
      <w:start w:val="1"/>
      <w:numFmt w:val="decimal"/>
      <w:lvlText w:val="%1."/>
      <w:lvlJc w:val="left"/>
      <w:pPr>
        <w:ind w:left="720" w:hanging="360"/>
      </w:pPr>
      <w:rPr>
        <w:sz w:val="20"/>
        <w:rFonts w:ascii="Tahoma" w:hAnsi="Tahoma" w:cs="Tahoma"/>
      </w:rPr>
    </w:lvl>
  </w:abstractNum>
  <w:abstractNum w:abstractNumId="6">
    <w:lvl w:ilvl="0">
      <w:start w:val="1"/>
      <w:numFmt w:val="decimal"/>
      <w:lvlText w:val="%1."/>
      <w:lvlJc w:val="left"/>
      <w:pPr>
        <w:ind w:left="720" w:hanging="360"/>
      </w:pPr>
      <w:rPr>
        <w:sz w:val="20"/>
        <w:rFonts w:ascii="Tahoma" w:hAnsi="Tahoma" w:cs="Tahoma"/>
      </w:rPr>
    </w:lvl>
  </w:abstractNum>
  <w:abstractNum w:abstractNumId="7">
    <w:lvl w:ilvl="0">
      <w:start w:val="1"/>
      <w:numFmt w:val="bullet"/>
      <w:lvlText w:val=""/>
      <w:lvlJc w:val="left"/>
      <w:pPr>
        <w:tabs>
          <w:tab w:val="num" w:pos="1170"/>
        </w:tabs>
        <w:ind w:left="1170" w:hanging="360"/>
      </w:pPr>
      <w:rPr>
        <w:rFonts w:ascii="Wingdings" w:hAnsi="Wingdings" w:cs="Wingdings" w:hint="default"/>
        <w:sz w:val="20"/>
        <w:rFonts w:cs="Wingdings"/>
      </w:rPr>
    </w:lvl>
  </w:abstractNum>
  <w:abstractNum w:abstractNumId="8">
    <w:lvl w:ilvl="0">
      <w:start w:val="1"/>
      <w:numFmt w:val="decimal"/>
      <w:lvlText w:val="%1."/>
      <w:lvlJc w:val="left"/>
      <w:pPr>
        <w:ind w:left="720" w:hanging="360"/>
      </w:pPr>
      <w:rPr>
        <w:sz w:val="20"/>
        <w:rFonts w:ascii="Tahoma" w:hAnsi="Tahoma" w:cs="Tahoma"/>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08"/>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DejaVu Sans"/>
        <w:sz w:val="24"/>
        <w:szCs w:val="24"/>
        <w:lang w:val="en-GB" w:eastAsia="zh-CN" w:bidi="hi-IN"/>
      </w:rPr>
    </w:rPrDefault>
    <w:pPrDefault>
      <w:pPr/>
    </w:pPrDefault>
  </w:docDefaults>
  <w:style w:type="paragraph" w:styleId="Normal">
    <w:name w:val="Normal"/>
    <w:qFormat/>
    <w:pPr>
      <w:widowControl/>
      <w:bidi w:val="0"/>
      <w:jc w:val="both"/>
    </w:pPr>
    <w:rPr>
      <w:rFonts w:ascii="Arial" w:hAnsi="Arial" w:eastAsia="Times New Roman" w:cs="Arial"/>
      <w:color w:val="auto"/>
      <w:sz w:val="22"/>
      <w:szCs w:val="24"/>
      <w:lang w:val="fr-FR" w:bidi="ar-SA" w:eastAsia="zh-CN"/>
    </w:rPr>
  </w:style>
  <w:style w:type="paragraph" w:styleId="Heading2">
    <w:name w:val="Heading 2"/>
    <w:basedOn w:val="Normal"/>
    <w:next w:val="Normal"/>
    <w:qFormat/>
    <w:pPr>
      <w:keepNext w:val="true"/>
      <w:numPr>
        <w:ilvl w:val="1"/>
        <w:numId w:val="1"/>
      </w:numPr>
      <w:ind w:left="567" w:hanging="0"/>
      <w:outlineLvl w:val="1"/>
    </w:pPr>
    <w:rPr>
      <w:b/>
      <w:bCs/>
      <w:sz w:val="20"/>
      <w:szCs w:val="20"/>
    </w:rPr>
  </w:style>
  <w:style w:type="paragraph" w:styleId="Heading3">
    <w:name w:val="Heading 3"/>
    <w:basedOn w:val="Normal"/>
    <w:next w:val="Normal"/>
    <w:qFormat/>
    <w:pPr>
      <w:keepNext w:val="true"/>
      <w:numPr>
        <w:ilvl w:val="2"/>
        <w:numId w:val="1"/>
      </w:numPr>
      <w:spacing w:before="240" w:after="60"/>
      <w:outlineLvl w:val="2"/>
    </w:pPr>
    <w:rPr>
      <w:rFonts w:ascii="Calibri Light" w:hAnsi="Calibri Light" w:eastAsia="Times New Roman" w:cs="Times New Roman"/>
      <w:b/>
      <w:bCs/>
      <w:sz w:val="26"/>
      <w:szCs w:val="26"/>
    </w:rPr>
  </w:style>
  <w:style w:type="paragraph" w:styleId="Heading4">
    <w:name w:val="Heading 4"/>
    <w:basedOn w:val="Normal"/>
    <w:next w:val="Normal"/>
    <w:qFormat/>
    <w:pPr>
      <w:keepNext w:val="true"/>
      <w:numPr>
        <w:ilvl w:val="3"/>
        <w:numId w:val="1"/>
      </w:numPr>
      <w:spacing w:before="240" w:after="60"/>
      <w:outlineLvl w:val="3"/>
    </w:pPr>
    <w:rPr>
      <w:rFonts w:ascii="Calibri" w:hAnsi="Calibri" w:eastAsia="Times New Roman" w:cs="Times New Roman"/>
      <w:b/>
      <w:bCs/>
      <w:sz w:val="28"/>
      <w:szCs w:val="28"/>
    </w:rPr>
  </w:style>
  <w:style w:type="character" w:styleId="WW8Num1z0">
    <w:name w:val="WW8Num1z0"/>
    <w:qFormat/>
    <w:rPr>
      <w:rFonts w:ascii="Symbol" w:hAnsi="Symbol" w:cs="Symbol"/>
    </w:rPr>
  </w:style>
  <w:style w:type="character" w:styleId="WW8Num1z1">
    <w:name w:val="WW8Num1z1"/>
    <w:qFormat/>
    <w:rPr>
      <w:rFonts w:ascii="Courier New" w:hAnsi="Courier New" w:cs="Courier New"/>
    </w:rPr>
  </w:style>
  <w:style w:type="character" w:styleId="WW8Num1z2">
    <w:name w:val="WW8Num1z2"/>
    <w:qFormat/>
    <w:rPr>
      <w:rFonts w:ascii="Wingdings" w:hAnsi="Wingdings" w:cs="Wingdings"/>
    </w:rPr>
  </w:style>
  <w:style w:type="character" w:styleId="WW8Num2z0">
    <w:name w:val="WW8Num2z0"/>
    <w:qFormat/>
    <w:rPr>
      <w:rFonts w:ascii="Symbol" w:hAnsi="Symbol" w:cs="Symbol"/>
      <w:color w:val="000000"/>
    </w:rPr>
  </w:style>
  <w:style w:type="character" w:styleId="WW8Num2z1">
    <w:name w:val="WW8Num2z1"/>
    <w:qFormat/>
    <w:rPr>
      <w:rFonts w:ascii="Courier New" w:hAnsi="Courier New" w:cs="Courier New"/>
    </w:rPr>
  </w:style>
  <w:style w:type="character" w:styleId="WW8Num2z2">
    <w:name w:val="WW8Num2z2"/>
    <w:qFormat/>
    <w:rPr>
      <w:rFonts w:ascii="Wingdings" w:hAnsi="Wingdings" w:cs="Wingdings"/>
    </w:rPr>
  </w:style>
  <w:style w:type="character" w:styleId="WW8Num2z3">
    <w:name w:val="WW8Num2z3"/>
    <w:qFormat/>
    <w:rPr>
      <w:rFonts w:ascii="Symbol" w:hAnsi="Symbol" w:cs="Symbol"/>
    </w:rPr>
  </w:style>
  <w:style w:type="character" w:styleId="WW8Num3z0">
    <w:name w:val="WW8Num3z0"/>
    <w:qFormat/>
    <w:rPr>
      <w:rFonts w:ascii="Wingdings" w:hAnsi="Wingdings" w:cs="Wingdings"/>
    </w:rPr>
  </w:style>
  <w:style w:type="character" w:styleId="WW8Num3z1">
    <w:name w:val="WW8Num3z1"/>
    <w:qFormat/>
    <w:rPr>
      <w:rFonts w:ascii="Courier New" w:hAnsi="Courier New" w:cs="Courier New"/>
    </w:rPr>
  </w:style>
  <w:style w:type="character" w:styleId="WW8Num3z3">
    <w:name w:val="WW8Num3z3"/>
    <w:qFormat/>
    <w:rPr>
      <w:rFonts w:ascii="Symbol" w:hAnsi="Symbol" w:cs="Symbol"/>
    </w:rPr>
  </w:style>
  <w:style w:type="character" w:styleId="WW8Num4z0">
    <w:name w:val="WW8Num4z0"/>
    <w:qFormat/>
    <w:rPr>
      <w:rFonts w:ascii="Symbol" w:hAnsi="Symbol" w:cs="Symbol"/>
      <w:color w:val="000000"/>
    </w:rPr>
  </w:style>
  <w:style w:type="character" w:styleId="WW8Num4z1">
    <w:name w:val="WW8Num4z1"/>
    <w:qFormat/>
    <w:rPr>
      <w:rFonts w:ascii="Courier New" w:hAnsi="Courier New" w:cs="Courier New"/>
    </w:rPr>
  </w:style>
  <w:style w:type="character" w:styleId="WW8Num4z2">
    <w:name w:val="WW8Num4z2"/>
    <w:qFormat/>
    <w:rPr>
      <w:rFonts w:ascii="Wingdings" w:hAnsi="Wingdings" w:cs="Wingdings"/>
    </w:rPr>
  </w:style>
  <w:style w:type="character" w:styleId="WW8Num4z3">
    <w:name w:val="WW8Num4z3"/>
    <w:qFormat/>
    <w:rPr>
      <w:rFonts w:ascii="Symbol" w:hAnsi="Symbol" w:cs="Symbol"/>
    </w:rPr>
  </w:style>
  <w:style w:type="character" w:styleId="WW8Num5z0">
    <w:name w:val="WW8Num5z0"/>
    <w:qFormat/>
    <w:rPr>
      <w:rFonts w:ascii="Symbol" w:hAnsi="Symbol" w:eastAsia="MS Mincho;ＭＳ 明朝" w:cs="Arial"/>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5z3">
    <w:name w:val="WW8Num5z3"/>
    <w:qFormat/>
    <w:rPr>
      <w:rFonts w:ascii="Symbol" w:hAnsi="Symbol" w:cs="Symbol"/>
    </w:rPr>
  </w:style>
  <w:style w:type="character" w:styleId="WW8Num6z0">
    <w:name w:val="WW8Num6z0"/>
    <w:qFormat/>
    <w:rPr>
      <w:rFonts w:ascii="Times New Roman" w:hAnsi="Times New Roman" w:cs="Times New Roman"/>
    </w:rPr>
  </w:style>
  <w:style w:type="character" w:styleId="WW8Num7z0">
    <w:name w:val="WW8Num7z0"/>
    <w:qFormat/>
    <w:rPr>
      <w:rFonts w:cs="Tahoma"/>
    </w:rPr>
  </w:style>
  <w:style w:type="character" w:styleId="WW8Num7z1">
    <w:name w:val="WW8Num7z1"/>
    <w:qFormat/>
    <w:rPr/>
  </w:style>
  <w:style w:type="character" w:styleId="WW8Num7z2">
    <w:name w:val="WW8Num7z2"/>
    <w:qFormat/>
    <w:rPr/>
  </w:style>
  <w:style w:type="character" w:styleId="WW8Num7z3">
    <w:name w:val="WW8Num7z3"/>
    <w:qFormat/>
    <w:rPr/>
  </w:style>
  <w:style w:type="character" w:styleId="WW8Num7z4">
    <w:name w:val="WW8Num7z4"/>
    <w:qFormat/>
    <w:rPr/>
  </w:style>
  <w:style w:type="character" w:styleId="WW8Num7z5">
    <w:name w:val="WW8Num7z5"/>
    <w:qFormat/>
    <w:rPr/>
  </w:style>
  <w:style w:type="character" w:styleId="WW8Num7z6">
    <w:name w:val="WW8Num7z6"/>
    <w:qFormat/>
    <w:rPr/>
  </w:style>
  <w:style w:type="character" w:styleId="WW8Num7z7">
    <w:name w:val="WW8Num7z7"/>
    <w:qFormat/>
    <w:rPr/>
  </w:style>
  <w:style w:type="character" w:styleId="WW8Num7z8">
    <w:name w:val="WW8Num7z8"/>
    <w:qFormat/>
    <w:rPr/>
  </w:style>
  <w:style w:type="character" w:styleId="WW8Num8z0">
    <w:name w:val="WW8Num8z0"/>
    <w:qFormat/>
    <w:rPr>
      <w:rFonts w:ascii="Symbol" w:hAnsi="Symbol" w:cs="Symbol"/>
      <w:color w:val="000000"/>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8z3">
    <w:name w:val="WW8Num8z3"/>
    <w:qFormat/>
    <w:rPr>
      <w:rFonts w:ascii="Symbol" w:hAnsi="Symbol" w:cs="Symbol"/>
    </w:rPr>
  </w:style>
  <w:style w:type="character" w:styleId="WW8Num9z0">
    <w:name w:val="WW8Num9z0"/>
    <w:qFormat/>
    <w:rPr>
      <w:rFonts w:ascii="Wingdings" w:hAnsi="Wingdings" w:cs="Wingdings"/>
    </w:rPr>
  </w:style>
  <w:style w:type="character" w:styleId="WW8Num9z1">
    <w:name w:val="WW8Num9z1"/>
    <w:qFormat/>
    <w:rPr>
      <w:rFonts w:ascii="Courier New" w:hAnsi="Courier New" w:cs="Courier New"/>
    </w:rPr>
  </w:style>
  <w:style w:type="character" w:styleId="WW8Num9z3">
    <w:name w:val="WW8Num9z3"/>
    <w:qFormat/>
    <w:rPr>
      <w:rFonts w:ascii="Symbol" w:hAnsi="Symbol" w:cs="Symbol"/>
    </w:rPr>
  </w:style>
  <w:style w:type="character" w:styleId="WW8Num10z0">
    <w:name w:val="WW8Num10z0"/>
    <w:qFormat/>
    <w:rPr/>
  </w:style>
  <w:style w:type="character" w:styleId="WW8Num10z1">
    <w:name w:val="WW8Num10z1"/>
    <w:qFormat/>
    <w:rPr/>
  </w:style>
  <w:style w:type="character" w:styleId="WW8Num10z2">
    <w:name w:val="WW8Num10z2"/>
    <w:qFormat/>
    <w:rPr/>
  </w:style>
  <w:style w:type="character" w:styleId="WW8Num10z3">
    <w:name w:val="WW8Num10z3"/>
    <w:qFormat/>
    <w:rPr/>
  </w:style>
  <w:style w:type="character" w:styleId="WW8Num10z4">
    <w:name w:val="WW8Num10z4"/>
    <w:qFormat/>
    <w:rPr/>
  </w:style>
  <w:style w:type="character" w:styleId="WW8Num10z5">
    <w:name w:val="WW8Num10z5"/>
    <w:qFormat/>
    <w:rPr/>
  </w:style>
  <w:style w:type="character" w:styleId="WW8Num10z6">
    <w:name w:val="WW8Num10z6"/>
    <w:qFormat/>
    <w:rPr/>
  </w:style>
  <w:style w:type="character" w:styleId="WW8Num10z7">
    <w:name w:val="WW8Num10z7"/>
    <w:qFormat/>
    <w:rPr/>
  </w:style>
  <w:style w:type="character" w:styleId="WW8Num10z8">
    <w:name w:val="WW8Num10z8"/>
    <w:qFormat/>
    <w:rPr/>
  </w:style>
  <w:style w:type="character" w:styleId="WW8Num11z0">
    <w:name w:val="WW8Num11z0"/>
    <w:qFormat/>
    <w:rPr>
      <w:rFonts w:cs="Tahoma"/>
    </w:rPr>
  </w:style>
  <w:style w:type="character" w:styleId="WW8Num11z1">
    <w:name w:val="WW8Num11z1"/>
    <w:qFormat/>
    <w:rPr/>
  </w:style>
  <w:style w:type="character" w:styleId="WW8Num11z2">
    <w:name w:val="WW8Num11z2"/>
    <w:qFormat/>
    <w:rPr/>
  </w:style>
  <w:style w:type="character" w:styleId="WW8Num11z3">
    <w:name w:val="WW8Num11z3"/>
    <w:qFormat/>
    <w:rPr/>
  </w:style>
  <w:style w:type="character" w:styleId="WW8Num11z4">
    <w:name w:val="WW8Num11z4"/>
    <w:qFormat/>
    <w:rPr/>
  </w:style>
  <w:style w:type="character" w:styleId="WW8Num11z5">
    <w:name w:val="WW8Num11z5"/>
    <w:qFormat/>
    <w:rPr/>
  </w:style>
  <w:style w:type="character" w:styleId="WW8Num11z6">
    <w:name w:val="WW8Num11z6"/>
    <w:qFormat/>
    <w:rPr/>
  </w:style>
  <w:style w:type="character" w:styleId="WW8Num11z7">
    <w:name w:val="WW8Num11z7"/>
    <w:qFormat/>
    <w:rPr/>
  </w:style>
  <w:style w:type="character" w:styleId="WW8Num11z8">
    <w:name w:val="WW8Num11z8"/>
    <w:qFormat/>
    <w:rPr/>
  </w:style>
  <w:style w:type="character" w:styleId="WW8Num12z0">
    <w:name w:val="WW8Num12z0"/>
    <w:qFormat/>
    <w:rPr/>
  </w:style>
  <w:style w:type="character" w:styleId="WW8Num12z1">
    <w:name w:val="WW8Num12z1"/>
    <w:qFormat/>
    <w:rPr/>
  </w:style>
  <w:style w:type="character" w:styleId="WW8Num12z2">
    <w:name w:val="WW8Num12z2"/>
    <w:qFormat/>
    <w:rPr/>
  </w:style>
  <w:style w:type="character" w:styleId="WW8Num12z3">
    <w:name w:val="WW8Num12z3"/>
    <w:qFormat/>
    <w:rPr/>
  </w:style>
  <w:style w:type="character" w:styleId="WW8Num12z4">
    <w:name w:val="WW8Num12z4"/>
    <w:qFormat/>
    <w:rPr/>
  </w:style>
  <w:style w:type="character" w:styleId="WW8Num12z5">
    <w:name w:val="WW8Num12z5"/>
    <w:qFormat/>
    <w:rPr/>
  </w:style>
  <w:style w:type="character" w:styleId="WW8Num12z6">
    <w:name w:val="WW8Num12z6"/>
    <w:qFormat/>
    <w:rPr/>
  </w:style>
  <w:style w:type="character" w:styleId="WW8Num12z7">
    <w:name w:val="WW8Num12z7"/>
    <w:qFormat/>
    <w:rPr/>
  </w:style>
  <w:style w:type="character" w:styleId="WW8Num12z8">
    <w:name w:val="WW8Num12z8"/>
    <w:qFormat/>
    <w:rPr/>
  </w:style>
  <w:style w:type="character" w:styleId="WW8Num13z0">
    <w:name w:val="WW8Num13z0"/>
    <w:qFormat/>
    <w:rPr>
      <w:rFonts w:ascii="Times New Roman" w:hAnsi="Times New Roman" w:eastAsia="Times New Roman" w:cs="Times New Roman"/>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3z3">
    <w:name w:val="WW8Num13z3"/>
    <w:qFormat/>
    <w:rPr>
      <w:rFonts w:ascii="Symbol" w:hAnsi="Symbol" w:cs="Symbol"/>
    </w:rPr>
  </w:style>
  <w:style w:type="character" w:styleId="WW8Num14z0">
    <w:name w:val="WW8Num14z0"/>
    <w:qFormat/>
    <w:rPr/>
  </w:style>
  <w:style w:type="character" w:styleId="WW8Num14z1">
    <w:name w:val="WW8Num14z1"/>
    <w:qFormat/>
    <w:rPr/>
  </w:style>
  <w:style w:type="character" w:styleId="WW8Num14z2">
    <w:name w:val="WW8Num14z2"/>
    <w:qFormat/>
    <w:rPr/>
  </w:style>
  <w:style w:type="character" w:styleId="WW8Num14z3">
    <w:name w:val="WW8Num14z3"/>
    <w:qFormat/>
    <w:rPr/>
  </w:style>
  <w:style w:type="character" w:styleId="WW8Num14z4">
    <w:name w:val="WW8Num14z4"/>
    <w:qFormat/>
    <w:rPr/>
  </w:style>
  <w:style w:type="character" w:styleId="WW8Num14z5">
    <w:name w:val="WW8Num14z5"/>
    <w:qFormat/>
    <w:rPr/>
  </w:style>
  <w:style w:type="character" w:styleId="WW8Num14z6">
    <w:name w:val="WW8Num14z6"/>
    <w:qFormat/>
    <w:rPr/>
  </w:style>
  <w:style w:type="character" w:styleId="WW8Num14z7">
    <w:name w:val="WW8Num14z7"/>
    <w:qFormat/>
    <w:rPr/>
  </w:style>
  <w:style w:type="character" w:styleId="WW8Num14z8">
    <w:name w:val="WW8Num14z8"/>
    <w:qFormat/>
    <w:rPr/>
  </w:style>
  <w:style w:type="character" w:styleId="WW8Num15z0">
    <w:name w:val="WW8Num15z0"/>
    <w:qFormat/>
    <w:rPr>
      <w:rFonts w:ascii="Symbol" w:hAnsi="Symbol" w:cs="Symbol"/>
      <w:color w:val="000000"/>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5z3">
    <w:name w:val="WW8Num15z3"/>
    <w:qFormat/>
    <w:rPr>
      <w:rFonts w:ascii="Symbol" w:hAnsi="Symbol" w:cs="Symbol"/>
    </w:rPr>
  </w:style>
  <w:style w:type="character" w:styleId="WW8Num16z0">
    <w:name w:val="WW8Num16z0"/>
    <w:qFormat/>
    <w:rPr/>
  </w:style>
  <w:style w:type="character" w:styleId="WW8Num16z1">
    <w:name w:val="WW8Num16z1"/>
    <w:qFormat/>
    <w:rPr/>
  </w:style>
  <w:style w:type="character" w:styleId="WW8Num16z2">
    <w:name w:val="WW8Num16z2"/>
    <w:qFormat/>
    <w:rPr/>
  </w:style>
  <w:style w:type="character" w:styleId="WW8Num16z3">
    <w:name w:val="WW8Num16z3"/>
    <w:qFormat/>
    <w:rPr/>
  </w:style>
  <w:style w:type="character" w:styleId="WW8Num16z4">
    <w:name w:val="WW8Num16z4"/>
    <w:qFormat/>
    <w:rPr/>
  </w:style>
  <w:style w:type="character" w:styleId="WW8Num16z5">
    <w:name w:val="WW8Num16z5"/>
    <w:qFormat/>
    <w:rPr/>
  </w:style>
  <w:style w:type="character" w:styleId="WW8Num16z6">
    <w:name w:val="WW8Num16z6"/>
    <w:qFormat/>
    <w:rPr/>
  </w:style>
  <w:style w:type="character" w:styleId="WW8Num16z7">
    <w:name w:val="WW8Num16z7"/>
    <w:qFormat/>
    <w:rPr/>
  </w:style>
  <w:style w:type="character" w:styleId="WW8Num16z8">
    <w:name w:val="WW8Num16z8"/>
    <w:qFormat/>
    <w:rPr/>
  </w:style>
  <w:style w:type="character" w:styleId="WW8Num17z0">
    <w:name w:val="WW8Num17z0"/>
    <w:qFormat/>
    <w:rPr>
      <w:u w:val="none"/>
    </w:rPr>
  </w:style>
  <w:style w:type="character" w:styleId="WW8Num17z1">
    <w:name w:val="WW8Num17z1"/>
    <w:qFormat/>
    <w:rPr/>
  </w:style>
  <w:style w:type="character" w:styleId="WW8Num17z2">
    <w:name w:val="WW8Num17z2"/>
    <w:qFormat/>
    <w:rPr/>
  </w:style>
  <w:style w:type="character" w:styleId="WW8Num17z3">
    <w:name w:val="WW8Num17z3"/>
    <w:qFormat/>
    <w:rPr/>
  </w:style>
  <w:style w:type="character" w:styleId="WW8Num17z4">
    <w:name w:val="WW8Num17z4"/>
    <w:qFormat/>
    <w:rPr/>
  </w:style>
  <w:style w:type="character" w:styleId="WW8Num17z5">
    <w:name w:val="WW8Num17z5"/>
    <w:qFormat/>
    <w:rPr/>
  </w:style>
  <w:style w:type="character" w:styleId="WW8Num17z6">
    <w:name w:val="WW8Num17z6"/>
    <w:qFormat/>
    <w:rPr/>
  </w:style>
  <w:style w:type="character" w:styleId="WW8Num17z7">
    <w:name w:val="WW8Num17z7"/>
    <w:qFormat/>
    <w:rPr/>
  </w:style>
  <w:style w:type="character" w:styleId="WW8Num17z8">
    <w:name w:val="WW8Num17z8"/>
    <w:qFormat/>
    <w:rPr/>
  </w:style>
  <w:style w:type="character" w:styleId="WW8Num18z0">
    <w:name w:val="WW8Num18z0"/>
    <w:qFormat/>
    <w:rPr/>
  </w:style>
  <w:style w:type="character" w:styleId="WW8Num18z1">
    <w:name w:val="WW8Num18z1"/>
    <w:qFormat/>
    <w:rPr/>
  </w:style>
  <w:style w:type="character" w:styleId="WW8Num18z2">
    <w:name w:val="WW8Num18z2"/>
    <w:qFormat/>
    <w:rPr/>
  </w:style>
  <w:style w:type="character" w:styleId="WW8Num18z3">
    <w:name w:val="WW8Num18z3"/>
    <w:qFormat/>
    <w:rPr/>
  </w:style>
  <w:style w:type="character" w:styleId="WW8Num18z4">
    <w:name w:val="WW8Num18z4"/>
    <w:qFormat/>
    <w:rPr/>
  </w:style>
  <w:style w:type="character" w:styleId="WW8Num18z5">
    <w:name w:val="WW8Num18z5"/>
    <w:qFormat/>
    <w:rPr/>
  </w:style>
  <w:style w:type="character" w:styleId="WW8Num18z6">
    <w:name w:val="WW8Num18z6"/>
    <w:qFormat/>
    <w:rPr/>
  </w:style>
  <w:style w:type="character" w:styleId="WW8Num18z7">
    <w:name w:val="WW8Num18z7"/>
    <w:qFormat/>
    <w:rPr/>
  </w:style>
  <w:style w:type="character" w:styleId="WW8Num18z8">
    <w:name w:val="WW8Num18z8"/>
    <w:qFormat/>
    <w:rPr/>
  </w:style>
  <w:style w:type="character" w:styleId="WW8Num19z0">
    <w:name w:val="WW8Num19z0"/>
    <w:qFormat/>
    <w:rPr/>
  </w:style>
  <w:style w:type="character" w:styleId="WW8Num19z1">
    <w:name w:val="WW8Num19z1"/>
    <w:qFormat/>
    <w:rPr/>
  </w:style>
  <w:style w:type="character" w:styleId="WW8Num19z2">
    <w:name w:val="WW8Num19z2"/>
    <w:qFormat/>
    <w:rPr/>
  </w:style>
  <w:style w:type="character" w:styleId="WW8Num19z3">
    <w:name w:val="WW8Num19z3"/>
    <w:qFormat/>
    <w:rPr/>
  </w:style>
  <w:style w:type="character" w:styleId="WW8Num19z4">
    <w:name w:val="WW8Num19z4"/>
    <w:qFormat/>
    <w:rPr/>
  </w:style>
  <w:style w:type="character" w:styleId="WW8Num19z5">
    <w:name w:val="WW8Num19z5"/>
    <w:qFormat/>
    <w:rPr/>
  </w:style>
  <w:style w:type="character" w:styleId="WW8Num19z6">
    <w:name w:val="WW8Num19z6"/>
    <w:qFormat/>
    <w:rPr/>
  </w:style>
  <w:style w:type="character" w:styleId="WW8Num19z7">
    <w:name w:val="WW8Num19z7"/>
    <w:qFormat/>
    <w:rPr/>
  </w:style>
  <w:style w:type="character" w:styleId="WW8Num19z8">
    <w:name w:val="WW8Num19z8"/>
    <w:qFormat/>
    <w:rPr/>
  </w:style>
  <w:style w:type="character" w:styleId="WW8Num20z0">
    <w:name w:val="WW8Num20z0"/>
    <w:qFormat/>
    <w:rPr>
      <w:rFonts w:ascii="Symbol" w:hAnsi="Symbol" w:cs="Symbol"/>
      <w:color w:val="000000"/>
    </w:rPr>
  </w:style>
  <w:style w:type="character" w:styleId="WW8Num20z1">
    <w:name w:val="WW8Num20z1"/>
    <w:qFormat/>
    <w:rPr>
      <w:rFonts w:ascii="Courier New" w:hAnsi="Courier New" w:cs="Courier New"/>
    </w:rPr>
  </w:style>
  <w:style w:type="character" w:styleId="WW8Num20z2">
    <w:name w:val="WW8Num20z2"/>
    <w:qFormat/>
    <w:rPr/>
  </w:style>
  <w:style w:type="character" w:styleId="WW8Num20z3">
    <w:name w:val="WW8Num20z3"/>
    <w:qFormat/>
    <w:rPr/>
  </w:style>
  <w:style w:type="character" w:styleId="WW8Num20z4">
    <w:name w:val="WW8Num20z4"/>
    <w:qFormat/>
    <w:rPr/>
  </w:style>
  <w:style w:type="character" w:styleId="WW8Num20z5">
    <w:name w:val="WW8Num20z5"/>
    <w:qFormat/>
    <w:rPr/>
  </w:style>
  <w:style w:type="character" w:styleId="WW8Num20z6">
    <w:name w:val="WW8Num20z6"/>
    <w:qFormat/>
    <w:rPr/>
  </w:style>
  <w:style w:type="character" w:styleId="WW8Num20z7">
    <w:name w:val="WW8Num20z7"/>
    <w:qFormat/>
    <w:rPr/>
  </w:style>
  <w:style w:type="character" w:styleId="WW8Num20z8">
    <w:name w:val="WW8Num20z8"/>
    <w:qFormat/>
    <w:rPr/>
  </w:style>
  <w:style w:type="character" w:styleId="WW8Num21z0">
    <w:name w:val="WW8Num21z0"/>
    <w:qFormat/>
    <w:rPr>
      <w:rFonts w:ascii="Arial Narrow" w:hAnsi="Arial Narrow" w:eastAsia="Times New Roman" w:cs="Arial"/>
    </w:rPr>
  </w:style>
  <w:style w:type="character" w:styleId="WW8Num21z1">
    <w:name w:val="WW8Num21z1"/>
    <w:qFormat/>
    <w:rPr>
      <w:rFonts w:ascii="Courier New" w:hAnsi="Courier New" w:cs="Courier New"/>
    </w:rPr>
  </w:style>
  <w:style w:type="character" w:styleId="WW8Num21z2">
    <w:name w:val="WW8Num21z2"/>
    <w:qFormat/>
    <w:rPr>
      <w:rFonts w:ascii="Wingdings" w:hAnsi="Wingdings" w:cs="Wingdings"/>
    </w:rPr>
  </w:style>
  <w:style w:type="character" w:styleId="WW8Num21z3">
    <w:name w:val="WW8Num21z3"/>
    <w:qFormat/>
    <w:rPr>
      <w:rFonts w:ascii="Symbol" w:hAnsi="Symbol" w:cs="Symbol"/>
    </w:rPr>
  </w:style>
  <w:style w:type="character" w:styleId="WW8Num22z0">
    <w:name w:val="WW8Num22z0"/>
    <w:qFormat/>
    <w:rPr>
      <w:rFonts w:ascii="Times New Roman" w:hAnsi="Times New Roman" w:eastAsia="Times New Roman" w:cs="Times New Roman"/>
    </w:rPr>
  </w:style>
  <w:style w:type="character" w:styleId="WW8Num22z1">
    <w:name w:val="WW8Num22z1"/>
    <w:qFormat/>
    <w:rPr>
      <w:rFonts w:ascii="Courier New" w:hAnsi="Courier New" w:cs="Courier New"/>
    </w:rPr>
  </w:style>
  <w:style w:type="character" w:styleId="WW8Num22z2">
    <w:name w:val="WW8Num22z2"/>
    <w:qFormat/>
    <w:rPr>
      <w:rFonts w:ascii="Wingdings" w:hAnsi="Wingdings" w:cs="Wingdings"/>
    </w:rPr>
  </w:style>
  <w:style w:type="character" w:styleId="WW8Num22z3">
    <w:name w:val="WW8Num22z3"/>
    <w:qFormat/>
    <w:rPr>
      <w:rFonts w:ascii="Symbol" w:hAnsi="Symbol" w:cs="Symbol"/>
    </w:rPr>
  </w:style>
  <w:style w:type="character" w:styleId="WW8Num23z0">
    <w:name w:val="WW8Num23z0"/>
    <w:qFormat/>
    <w:rPr>
      <w:rFonts w:ascii="Symbol" w:hAnsi="Symbol" w:cs="Symbol"/>
    </w:rPr>
  </w:style>
  <w:style w:type="character" w:styleId="WW8Num23z1">
    <w:name w:val="WW8Num23z1"/>
    <w:qFormat/>
    <w:rPr>
      <w:rFonts w:ascii="Courier New" w:hAnsi="Courier New" w:cs="Courier New"/>
    </w:rPr>
  </w:style>
  <w:style w:type="character" w:styleId="WW8Num23z2">
    <w:name w:val="WW8Num23z2"/>
    <w:qFormat/>
    <w:rPr>
      <w:rFonts w:ascii="Wingdings" w:hAnsi="Wingdings" w:cs="Wingdings"/>
    </w:rPr>
  </w:style>
  <w:style w:type="character" w:styleId="WW8Num24z0">
    <w:name w:val="WW8Num24z0"/>
    <w:qFormat/>
    <w:rPr>
      <w:rFonts w:ascii="Wingdings" w:hAnsi="Wingdings" w:cs="Wingdings"/>
    </w:rPr>
  </w:style>
  <w:style w:type="character" w:styleId="WW8Num24z1">
    <w:name w:val="WW8Num24z1"/>
    <w:qFormat/>
    <w:rPr>
      <w:rFonts w:ascii="Courier New" w:hAnsi="Courier New" w:cs="Courier New"/>
    </w:rPr>
  </w:style>
  <w:style w:type="character" w:styleId="WW8Num24z3">
    <w:name w:val="WW8Num24z3"/>
    <w:qFormat/>
    <w:rPr>
      <w:rFonts w:ascii="Symbol" w:hAnsi="Symbol" w:cs="Symbol"/>
    </w:rPr>
  </w:style>
  <w:style w:type="character" w:styleId="WW8Num25z0">
    <w:name w:val="WW8Num25z0"/>
    <w:qFormat/>
    <w:rPr/>
  </w:style>
  <w:style w:type="character" w:styleId="WW8Num25z1">
    <w:name w:val="WW8Num25z1"/>
    <w:qFormat/>
    <w:rPr/>
  </w:style>
  <w:style w:type="character" w:styleId="WW8Num25z2">
    <w:name w:val="WW8Num25z2"/>
    <w:qFormat/>
    <w:rPr/>
  </w:style>
  <w:style w:type="character" w:styleId="WW8Num25z3">
    <w:name w:val="WW8Num25z3"/>
    <w:qFormat/>
    <w:rPr/>
  </w:style>
  <w:style w:type="character" w:styleId="WW8Num25z4">
    <w:name w:val="WW8Num25z4"/>
    <w:qFormat/>
    <w:rPr/>
  </w:style>
  <w:style w:type="character" w:styleId="WW8Num25z5">
    <w:name w:val="WW8Num25z5"/>
    <w:qFormat/>
    <w:rPr/>
  </w:style>
  <w:style w:type="character" w:styleId="WW8Num25z6">
    <w:name w:val="WW8Num25z6"/>
    <w:qFormat/>
    <w:rPr/>
  </w:style>
  <w:style w:type="character" w:styleId="WW8Num25z7">
    <w:name w:val="WW8Num25z7"/>
    <w:qFormat/>
    <w:rPr/>
  </w:style>
  <w:style w:type="character" w:styleId="WW8Num25z8">
    <w:name w:val="WW8Num25z8"/>
    <w:qFormat/>
    <w:rPr/>
  </w:style>
  <w:style w:type="character" w:styleId="WW8Num26z0">
    <w:name w:val="WW8Num26z0"/>
    <w:qFormat/>
    <w:rPr>
      <w:rFonts w:ascii="Tahoma" w:hAnsi="Tahoma" w:cs="Tahoma"/>
      <w:color w:val="000000"/>
      <w:sz w:val="20"/>
    </w:rPr>
  </w:style>
  <w:style w:type="character" w:styleId="WW8Num26z1">
    <w:name w:val="WW8Num26z1"/>
    <w:qFormat/>
    <w:rPr/>
  </w:style>
  <w:style w:type="character" w:styleId="WW8Num26z3">
    <w:name w:val="WW8Num26z3"/>
    <w:qFormat/>
    <w:rPr>
      <w:rFonts w:ascii="Symbol" w:hAnsi="Symbol" w:cs="Symbol"/>
    </w:rPr>
  </w:style>
  <w:style w:type="character" w:styleId="WW8Num26z4">
    <w:name w:val="WW8Num26z4"/>
    <w:qFormat/>
    <w:rPr>
      <w:rFonts w:ascii="Courier New" w:hAnsi="Courier New" w:cs="Courier New"/>
    </w:rPr>
  </w:style>
  <w:style w:type="character" w:styleId="WW8Num26z5">
    <w:name w:val="WW8Num26z5"/>
    <w:qFormat/>
    <w:rPr>
      <w:rFonts w:ascii="Wingdings" w:hAnsi="Wingdings" w:cs="Wingdings"/>
    </w:rPr>
  </w:style>
  <w:style w:type="character" w:styleId="WW8Num27z0">
    <w:name w:val="WW8Num27z0"/>
    <w:qFormat/>
    <w:rPr>
      <w:rFonts w:ascii="Tahoma" w:hAnsi="Tahoma" w:cs="Tahoma"/>
      <w:sz w:val="20"/>
    </w:rPr>
  </w:style>
  <w:style w:type="character" w:styleId="WW8Num27z1">
    <w:name w:val="WW8Num27z1"/>
    <w:qFormat/>
    <w:rPr/>
  </w:style>
  <w:style w:type="character" w:styleId="WW8Num27z2">
    <w:name w:val="WW8Num27z2"/>
    <w:qFormat/>
    <w:rPr/>
  </w:style>
  <w:style w:type="character" w:styleId="WW8Num27z3">
    <w:name w:val="WW8Num27z3"/>
    <w:qFormat/>
    <w:rPr/>
  </w:style>
  <w:style w:type="character" w:styleId="WW8Num27z4">
    <w:name w:val="WW8Num27z4"/>
    <w:qFormat/>
    <w:rPr/>
  </w:style>
  <w:style w:type="character" w:styleId="WW8Num27z5">
    <w:name w:val="WW8Num27z5"/>
    <w:qFormat/>
    <w:rPr/>
  </w:style>
  <w:style w:type="character" w:styleId="WW8Num27z6">
    <w:name w:val="WW8Num27z6"/>
    <w:qFormat/>
    <w:rPr/>
  </w:style>
  <w:style w:type="character" w:styleId="WW8Num27z7">
    <w:name w:val="WW8Num27z7"/>
    <w:qFormat/>
    <w:rPr/>
  </w:style>
  <w:style w:type="character" w:styleId="WW8Num27z8">
    <w:name w:val="WW8Num27z8"/>
    <w:qFormat/>
    <w:rPr/>
  </w:style>
  <w:style w:type="character" w:styleId="WW8Num28z0">
    <w:name w:val="WW8Num28z0"/>
    <w:qFormat/>
    <w:rPr>
      <w:rFonts w:ascii="Symbol" w:hAnsi="Symbol" w:cs="Symbol"/>
    </w:rPr>
  </w:style>
  <w:style w:type="character" w:styleId="WW8Num28z1">
    <w:name w:val="WW8Num28z1"/>
    <w:qFormat/>
    <w:rPr>
      <w:rFonts w:ascii="Courier New" w:hAnsi="Courier New" w:cs="Courier New"/>
    </w:rPr>
  </w:style>
  <w:style w:type="character" w:styleId="WW8Num28z2">
    <w:name w:val="WW8Num28z2"/>
    <w:qFormat/>
    <w:rPr>
      <w:rFonts w:ascii="Wingdings" w:hAnsi="Wingdings" w:cs="Wingdings"/>
    </w:rPr>
  </w:style>
  <w:style w:type="character" w:styleId="WW8Num29z0">
    <w:name w:val="WW8Num29z0"/>
    <w:qFormat/>
    <w:rPr>
      <w:rFonts w:ascii="Symbol" w:hAnsi="Symbol" w:cs="Symbol"/>
      <w:color w:val="000000"/>
    </w:rPr>
  </w:style>
  <w:style w:type="character" w:styleId="WW8Num29z1">
    <w:name w:val="WW8Num29z1"/>
    <w:qFormat/>
    <w:rPr>
      <w:rFonts w:ascii="Courier New" w:hAnsi="Courier New" w:cs="Courier New"/>
    </w:rPr>
  </w:style>
  <w:style w:type="character" w:styleId="WW8Num29z2">
    <w:name w:val="WW8Num29z2"/>
    <w:qFormat/>
    <w:rPr>
      <w:color w:val="000000"/>
    </w:rPr>
  </w:style>
  <w:style w:type="character" w:styleId="WW8Num29z3">
    <w:name w:val="WW8Num29z3"/>
    <w:qFormat/>
    <w:rPr>
      <w:rFonts w:ascii="Symbol" w:hAnsi="Symbol" w:cs="Symbol"/>
    </w:rPr>
  </w:style>
  <w:style w:type="character" w:styleId="WW8Num29z5">
    <w:name w:val="WW8Num29z5"/>
    <w:qFormat/>
    <w:rPr>
      <w:rFonts w:ascii="Wingdings" w:hAnsi="Wingdings" w:cs="Wingdings"/>
    </w:rPr>
  </w:style>
  <w:style w:type="character" w:styleId="WW8Num30z0">
    <w:name w:val="WW8Num30z0"/>
    <w:qFormat/>
    <w:rPr/>
  </w:style>
  <w:style w:type="character" w:styleId="WW8Num30z1">
    <w:name w:val="WW8Num30z1"/>
    <w:qFormat/>
    <w:rPr/>
  </w:style>
  <w:style w:type="character" w:styleId="WW8Num30z2">
    <w:name w:val="WW8Num30z2"/>
    <w:qFormat/>
    <w:rPr/>
  </w:style>
  <w:style w:type="character" w:styleId="WW8Num30z3">
    <w:name w:val="WW8Num30z3"/>
    <w:qFormat/>
    <w:rPr/>
  </w:style>
  <w:style w:type="character" w:styleId="WW8Num30z4">
    <w:name w:val="WW8Num30z4"/>
    <w:qFormat/>
    <w:rPr/>
  </w:style>
  <w:style w:type="character" w:styleId="WW8Num30z5">
    <w:name w:val="WW8Num30z5"/>
    <w:qFormat/>
    <w:rPr/>
  </w:style>
  <w:style w:type="character" w:styleId="WW8Num30z6">
    <w:name w:val="WW8Num30z6"/>
    <w:qFormat/>
    <w:rPr/>
  </w:style>
  <w:style w:type="character" w:styleId="WW8Num30z7">
    <w:name w:val="WW8Num30z7"/>
    <w:qFormat/>
    <w:rPr/>
  </w:style>
  <w:style w:type="character" w:styleId="WW8Num30z8">
    <w:name w:val="WW8Num30z8"/>
    <w:qFormat/>
    <w:rPr/>
  </w:style>
  <w:style w:type="character" w:styleId="WW8Num31z0">
    <w:name w:val="WW8Num31z0"/>
    <w:qFormat/>
    <w:rPr/>
  </w:style>
  <w:style w:type="character" w:styleId="WW8Num32z0">
    <w:name w:val="WW8Num32z0"/>
    <w:qFormat/>
    <w:rPr/>
  </w:style>
  <w:style w:type="character" w:styleId="WW8Num32z1">
    <w:name w:val="WW8Num32z1"/>
    <w:qFormat/>
    <w:rPr/>
  </w:style>
  <w:style w:type="character" w:styleId="WW8Num32z2">
    <w:name w:val="WW8Num32z2"/>
    <w:qFormat/>
    <w:rPr/>
  </w:style>
  <w:style w:type="character" w:styleId="WW8Num32z3">
    <w:name w:val="WW8Num32z3"/>
    <w:qFormat/>
    <w:rPr/>
  </w:style>
  <w:style w:type="character" w:styleId="WW8Num32z4">
    <w:name w:val="WW8Num32z4"/>
    <w:qFormat/>
    <w:rPr/>
  </w:style>
  <w:style w:type="character" w:styleId="WW8Num32z5">
    <w:name w:val="WW8Num32z5"/>
    <w:qFormat/>
    <w:rPr/>
  </w:style>
  <w:style w:type="character" w:styleId="WW8Num32z6">
    <w:name w:val="WW8Num32z6"/>
    <w:qFormat/>
    <w:rPr/>
  </w:style>
  <w:style w:type="character" w:styleId="WW8Num32z7">
    <w:name w:val="WW8Num32z7"/>
    <w:qFormat/>
    <w:rPr/>
  </w:style>
  <w:style w:type="character" w:styleId="WW8Num32z8">
    <w:name w:val="WW8Num32z8"/>
    <w:qFormat/>
    <w:rPr/>
  </w:style>
  <w:style w:type="character" w:styleId="WW8Num33z0">
    <w:name w:val="WW8Num33z0"/>
    <w:qFormat/>
    <w:rPr>
      <w:rFonts w:ascii="Wingdings" w:hAnsi="Wingdings" w:cs="Wingdings"/>
    </w:rPr>
  </w:style>
  <w:style w:type="character" w:styleId="WW8Num33z1">
    <w:name w:val="WW8Num33z1"/>
    <w:qFormat/>
    <w:rPr>
      <w:rFonts w:ascii="Courier New" w:hAnsi="Courier New" w:cs="Courier New"/>
    </w:rPr>
  </w:style>
  <w:style w:type="character" w:styleId="WW8Num33z3">
    <w:name w:val="WW8Num33z3"/>
    <w:qFormat/>
    <w:rPr>
      <w:rFonts w:ascii="Symbol" w:hAnsi="Symbol" w:cs="Symbol"/>
    </w:rPr>
  </w:style>
  <w:style w:type="character" w:styleId="WW8Num34z0">
    <w:name w:val="WW8Num34z0"/>
    <w:qFormat/>
    <w:rPr>
      <w:rFonts w:ascii="Tahoma" w:hAnsi="Tahoma" w:cs="Tahoma"/>
      <w:sz w:val="20"/>
    </w:rPr>
  </w:style>
  <w:style w:type="character" w:styleId="WW8Num34z1">
    <w:name w:val="WW8Num34z1"/>
    <w:qFormat/>
    <w:rPr/>
  </w:style>
  <w:style w:type="character" w:styleId="WW8Num34z2">
    <w:name w:val="WW8Num34z2"/>
    <w:qFormat/>
    <w:rPr/>
  </w:style>
  <w:style w:type="character" w:styleId="WW8Num34z3">
    <w:name w:val="WW8Num34z3"/>
    <w:qFormat/>
    <w:rPr/>
  </w:style>
  <w:style w:type="character" w:styleId="WW8Num34z4">
    <w:name w:val="WW8Num34z4"/>
    <w:qFormat/>
    <w:rPr/>
  </w:style>
  <w:style w:type="character" w:styleId="WW8Num34z5">
    <w:name w:val="WW8Num34z5"/>
    <w:qFormat/>
    <w:rPr/>
  </w:style>
  <w:style w:type="character" w:styleId="WW8Num34z6">
    <w:name w:val="WW8Num34z6"/>
    <w:qFormat/>
    <w:rPr/>
  </w:style>
  <w:style w:type="character" w:styleId="WW8Num34z7">
    <w:name w:val="WW8Num34z7"/>
    <w:qFormat/>
    <w:rPr/>
  </w:style>
  <w:style w:type="character" w:styleId="WW8Num34z8">
    <w:name w:val="WW8Num34z8"/>
    <w:qFormat/>
    <w:rPr/>
  </w:style>
  <w:style w:type="character" w:styleId="WW8Num35z0">
    <w:name w:val="WW8Num35z0"/>
    <w:qFormat/>
    <w:rPr>
      <w:rFonts w:ascii="Symbol" w:hAnsi="Symbol" w:cs="Symbol"/>
      <w:color w:val="000000"/>
    </w:rPr>
  </w:style>
  <w:style w:type="character" w:styleId="WW8Num35z1">
    <w:name w:val="WW8Num35z1"/>
    <w:qFormat/>
    <w:rPr>
      <w:rFonts w:ascii="Courier New" w:hAnsi="Courier New" w:cs="Courier New"/>
    </w:rPr>
  </w:style>
  <w:style w:type="character" w:styleId="WW8Num35z2">
    <w:name w:val="WW8Num35z2"/>
    <w:qFormat/>
    <w:rPr>
      <w:rFonts w:ascii="Wingdings" w:hAnsi="Wingdings" w:cs="Wingdings"/>
    </w:rPr>
  </w:style>
  <w:style w:type="character" w:styleId="WW8Num35z3">
    <w:name w:val="WW8Num35z3"/>
    <w:qFormat/>
    <w:rPr>
      <w:rFonts w:ascii="Symbol" w:hAnsi="Symbol" w:cs="Symbol"/>
    </w:rPr>
  </w:style>
  <w:style w:type="character" w:styleId="WW8Num36z0">
    <w:name w:val="WW8Num36z0"/>
    <w:qFormat/>
    <w:rPr/>
  </w:style>
  <w:style w:type="character" w:styleId="WW8Num36z1">
    <w:name w:val="WW8Num36z1"/>
    <w:qFormat/>
    <w:rPr/>
  </w:style>
  <w:style w:type="character" w:styleId="WW8Num36z2">
    <w:name w:val="WW8Num36z2"/>
    <w:qFormat/>
    <w:rPr/>
  </w:style>
  <w:style w:type="character" w:styleId="WW8Num36z3">
    <w:name w:val="WW8Num36z3"/>
    <w:qFormat/>
    <w:rPr/>
  </w:style>
  <w:style w:type="character" w:styleId="WW8Num36z4">
    <w:name w:val="WW8Num36z4"/>
    <w:qFormat/>
    <w:rPr/>
  </w:style>
  <w:style w:type="character" w:styleId="WW8Num36z5">
    <w:name w:val="WW8Num36z5"/>
    <w:qFormat/>
    <w:rPr/>
  </w:style>
  <w:style w:type="character" w:styleId="WW8Num36z6">
    <w:name w:val="WW8Num36z6"/>
    <w:qFormat/>
    <w:rPr/>
  </w:style>
  <w:style w:type="character" w:styleId="WW8Num36z7">
    <w:name w:val="WW8Num36z7"/>
    <w:qFormat/>
    <w:rPr/>
  </w:style>
  <w:style w:type="character" w:styleId="WW8Num36z8">
    <w:name w:val="WW8Num36z8"/>
    <w:qFormat/>
    <w:rPr/>
  </w:style>
  <w:style w:type="character" w:styleId="WW8Num37z0">
    <w:name w:val="WW8Num37z0"/>
    <w:qFormat/>
    <w:rPr>
      <w:rFonts w:ascii="Wingdings" w:hAnsi="Wingdings" w:cs="Wingdings"/>
    </w:rPr>
  </w:style>
  <w:style w:type="character" w:styleId="WW8Num37z1">
    <w:name w:val="WW8Num37z1"/>
    <w:qFormat/>
    <w:rPr/>
  </w:style>
  <w:style w:type="character" w:styleId="WW8Num37z2">
    <w:name w:val="WW8Num37z2"/>
    <w:qFormat/>
    <w:rPr>
      <w:rFonts w:ascii="Arial" w:hAnsi="Arial" w:eastAsia="Calibri" w:cs="Arial"/>
    </w:rPr>
  </w:style>
  <w:style w:type="character" w:styleId="WW8Num37z3">
    <w:name w:val="WW8Num37z3"/>
    <w:qFormat/>
    <w:rPr>
      <w:rFonts w:ascii="Symbol" w:hAnsi="Symbol" w:cs="Symbol"/>
    </w:rPr>
  </w:style>
  <w:style w:type="character" w:styleId="WW8Num37z4">
    <w:name w:val="WW8Num37z4"/>
    <w:qFormat/>
    <w:rPr>
      <w:rFonts w:ascii="Courier New" w:hAnsi="Courier New" w:cs="Courier New"/>
    </w:rPr>
  </w:style>
  <w:style w:type="character" w:styleId="WW8Num38z0">
    <w:name w:val="WW8Num38z0"/>
    <w:qFormat/>
    <w:rPr>
      <w:rFonts w:ascii="Symbol" w:hAnsi="Symbol" w:cs="Symbol"/>
    </w:rPr>
  </w:style>
  <w:style w:type="character" w:styleId="WW8Num38z1">
    <w:name w:val="WW8Num38z1"/>
    <w:qFormat/>
    <w:rPr>
      <w:rFonts w:ascii="Courier New" w:hAnsi="Courier New" w:cs="Courier New"/>
    </w:rPr>
  </w:style>
  <w:style w:type="character" w:styleId="WW8Num38z2">
    <w:name w:val="WW8Num38z2"/>
    <w:qFormat/>
    <w:rPr>
      <w:rFonts w:ascii="Wingdings" w:hAnsi="Wingdings" w:cs="Wingdings"/>
    </w:rPr>
  </w:style>
  <w:style w:type="character" w:styleId="WW8Num39z0">
    <w:name w:val="WW8Num39z0"/>
    <w:qFormat/>
    <w:rPr>
      <w:rFonts w:ascii="Wingdings" w:hAnsi="Wingdings" w:cs="Wingdings"/>
    </w:rPr>
  </w:style>
  <w:style w:type="character" w:styleId="WW8Num39z1">
    <w:name w:val="WW8Num39z1"/>
    <w:qFormat/>
    <w:rPr>
      <w:rFonts w:ascii="Courier New" w:hAnsi="Courier New" w:cs="Courier New"/>
    </w:rPr>
  </w:style>
  <w:style w:type="character" w:styleId="WW8Num39z3">
    <w:name w:val="WW8Num39z3"/>
    <w:qFormat/>
    <w:rPr>
      <w:rFonts w:ascii="Symbol" w:hAnsi="Symbol" w:cs="Symbol"/>
    </w:rPr>
  </w:style>
  <w:style w:type="character" w:styleId="WW8Num40z0">
    <w:name w:val="WW8Num40z0"/>
    <w:qFormat/>
    <w:rPr>
      <w:rFonts w:ascii="Symbol" w:hAnsi="Symbol" w:cs="Symbol"/>
      <w:color w:val="000000"/>
    </w:rPr>
  </w:style>
  <w:style w:type="character" w:styleId="WW8Num40z1">
    <w:name w:val="WW8Num40z1"/>
    <w:qFormat/>
    <w:rPr>
      <w:rFonts w:ascii="Courier New" w:hAnsi="Courier New" w:cs="Courier New"/>
    </w:rPr>
  </w:style>
  <w:style w:type="character" w:styleId="WW8Num40z2">
    <w:name w:val="WW8Num40z2"/>
    <w:qFormat/>
    <w:rPr>
      <w:rFonts w:ascii="Wingdings" w:hAnsi="Wingdings" w:cs="Wingdings"/>
    </w:rPr>
  </w:style>
  <w:style w:type="character" w:styleId="WW8Num40z3">
    <w:name w:val="WW8Num40z3"/>
    <w:qFormat/>
    <w:rPr>
      <w:rFonts w:ascii="Symbol" w:hAnsi="Symbol" w:cs="Symbol"/>
    </w:rPr>
  </w:style>
  <w:style w:type="character" w:styleId="WW8Num41z0">
    <w:name w:val="WW8Num41z0"/>
    <w:qFormat/>
    <w:rPr>
      <w:rFonts w:ascii="Wingdings" w:hAnsi="Wingdings" w:cs="Wingdings"/>
    </w:rPr>
  </w:style>
  <w:style w:type="character" w:styleId="WW8Num41z1">
    <w:name w:val="WW8Num41z1"/>
    <w:qFormat/>
    <w:rPr>
      <w:rFonts w:ascii="Courier New" w:hAnsi="Courier New" w:cs="Courier New"/>
    </w:rPr>
  </w:style>
  <w:style w:type="character" w:styleId="WW8Num41z3">
    <w:name w:val="WW8Num41z3"/>
    <w:qFormat/>
    <w:rPr>
      <w:rFonts w:ascii="Symbol" w:hAnsi="Symbol" w:cs="Symbol"/>
    </w:rPr>
  </w:style>
  <w:style w:type="character" w:styleId="WW8Num42z0">
    <w:name w:val="WW8Num42z0"/>
    <w:qFormat/>
    <w:rPr>
      <w:rFonts w:ascii="Wingdings" w:hAnsi="Wingdings" w:cs="Wingdings"/>
      <w:b/>
      <w:i w:val="false"/>
      <w:outline w:val="false"/>
      <w:shadow w:val="false"/>
      <w:imprint/>
      <w:color w:val="0000FF"/>
      <w:sz w:val="28"/>
      <w:szCs w:val="28"/>
      <w:u w:val="none"/>
    </w:rPr>
  </w:style>
  <w:style w:type="character" w:styleId="WW8Num42z1">
    <w:name w:val="WW8Num42z1"/>
    <w:qFormat/>
    <w:rPr>
      <w:rFonts w:ascii="Arial" w:hAnsi="Arial" w:eastAsia="Times New Roman" w:cs="Arial"/>
    </w:rPr>
  </w:style>
  <w:style w:type="character" w:styleId="WW8Num42z2">
    <w:name w:val="WW8Num42z2"/>
    <w:qFormat/>
    <w:rPr>
      <w:rFonts w:ascii="Wingdings" w:hAnsi="Wingdings" w:cs="Wingdings"/>
    </w:rPr>
  </w:style>
  <w:style w:type="character" w:styleId="WW8Num42z3">
    <w:name w:val="WW8Num42z3"/>
    <w:qFormat/>
    <w:rPr>
      <w:rFonts w:ascii="Symbol" w:hAnsi="Symbol" w:cs="Symbol"/>
    </w:rPr>
  </w:style>
  <w:style w:type="character" w:styleId="WW8Num42z4">
    <w:name w:val="WW8Num42z4"/>
    <w:qFormat/>
    <w:rPr>
      <w:rFonts w:ascii="Courier New" w:hAnsi="Courier New" w:cs="Courier New"/>
    </w:rPr>
  </w:style>
  <w:style w:type="character" w:styleId="WW8Num43z0">
    <w:name w:val="WW8Num43z0"/>
    <w:qFormat/>
    <w:rPr>
      <w:rFonts w:ascii="Wingdings" w:hAnsi="Wingdings" w:cs="Wingdings"/>
      <w:sz w:val="20"/>
    </w:rPr>
  </w:style>
  <w:style w:type="character" w:styleId="WW8Num43z1">
    <w:name w:val="WW8Num43z1"/>
    <w:qFormat/>
    <w:rPr>
      <w:rFonts w:ascii="Courier New" w:hAnsi="Courier New" w:cs="Courier New"/>
    </w:rPr>
  </w:style>
  <w:style w:type="character" w:styleId="WW8Num43z3">
    <w:name w:val="WW8Num43z3"/>
    <w:qFormat/>
    <w:rPr>
      <w:rFonts w:ascii="Symbol" w:hAnsi="Symbol" w:cs="Symbol"/>
    </w:rPr>
  </w:style>
  <w:style w:type="character" w:styleId="WW8Num44z0">
    <w:name w:val="WW8Num44z0"/>
    <w:qFormat/>
    <w:rPr/>
  </w:style>
  <w:style w:type="character" w:styleId="WW8Num44z1">
    <w:name w:val="WW8Num44z1"/>
    <w:qFormat/>
    <w:rPr/>
  </w:style>
  <w:style w:type="character" w:styleId="WW8Num44z2">
    <w:name w:val="WW8Num44z2"/>
    <w:qFormat/>
    <w:rPr/>
  </w:style>
  <w:style w:type="character" w:styleId="WW8Num44z3">
    <w:name w:val="WW8Num44z3"/>
    <w:qFormat/>
    <w:rPr/>
  </w:style>
  <w:style w:type="character" w:styleId="WW8Num44z4">
    <w:name w:val="WW8Num44z4"/>
    <w:qFormat/>
    <w:rPr/>
  </w:style>
  <w:style w:type="character" w:styleId="WW8Num44z5">
    <w:name w:val="WW8Num44z5"/>
    <w:qFormat/>
    <w:rPr/>
  </w:style>
  <w:style w:type="character" w:styleId="WW8Num44z6">
    <w:name w:val="WW8Num44z6"/>
    <w:qFormat/>
    <w:rPr/>
  </w:style>
  <w:style w:type="character" w:styleId="WW8Num44z7">
    <w:name w:val="WW8Num44z7"/>
    <w:qFormat/>
    <w:rPr/>
  </w:style>
  <w:style w:type="character" w:styleId="WW8Num44z8">
    <w:name w:val="WW8Num44z8"/>
    <w:qFormat/>
    <w:rPr/>
  </w:style>
  <w:style w:type="character" w:styleId="WW8Num45z0">
    <w:name w:val="WW8Num45z0"/>
    <w:qFormat/>
    <w:rPr>
      <w:rFonts w:ascii="Times New Roman" w:hAnsi="Times New Roman" w:eastAsia="Arial Unicode MS" w:cs="Times New Roman"/>
    </w:rPr>
  </w:style>
  <w:style w:type="character" w:styleId="WW8Num45z1">
    <w:name w:val="WW8Num45z1"/>
    <w:qFormat/>
    <w:rPr>
      <w:rFonts w:ascii="Courier New" w:hAnsi="Courier New" w:cs="Courier New"/>
    </w:rPr>
  </w:style>
  <w:style w:type="character" w:styleId="WW8Num45z2">
    <w:name w:val="WW8Num45z2"/>
    <w:qFormat/>
    <w:rPr>
      <w:rFonts w:ascii="Wingdings" w:hAnsi="Wingdings" w:cs="Wingdings"/>
    </w:rPr>
  </w:style>
  <w:style w:type="character" w:styleId="WW8Num45z3">
    <w:name w:val="WW8Num45z3"/>
    <w:qFormat/>
    <w:rPr>
      <w:rFonts w:ascii="Symbol" w:hAnsi="Symbol" w:cs="Symbol"/>
    </w:rPr>
  </w:style>
  <w:style w:type="character" w:styleId="WW8Num46z0">
    <w:name w:val="WW8Num46z0"/>
    <w:qFormat/>
    <w:rPr>
      <w:rFonts w:ascii="Arial Narrow" w:hAnsi="Arial Narrow" w:eastAsia="MS Mincho;ＭＳ 明朝" w:cs="Arial"/>
    </w:rPr>
  </w:style>
  <w:style w:type="character" w:styleId="WW8Num46z1">
    <w:name w:val="WW8Num46z1"/>
    <w:qFormat/>
    <w:rPr>
      <w:rFonts w:ascii="Courier New" w:hAnsi="Courier New" w:cs="Courier New"/>
    </w:rPr>
  </w:style>
  <w:style w:type="character" w:styleId="WW8Num46z2">
    <w:name w:val="WW8Num46z2"/>
    <w:qFormat/>
    <w:rPr>
      <w:rFonts w:ascii="Wingdings" w:hAnsi="Wingdings" w:cs="Wingdings"/>
    </w:rPr>
  </w:style>
  <w:style w:type="character" w:styleId="WW8Num46z3">
    <w:name w:val="WW8Num46z3"/>
    <w:qFormat/>
    <w:rPr>
      <w:rFonts w:ascii="Symbol" w:hAnsi="Symbol" w:cs="Symbol"/>
    </w:rPr>
  </w:style>
  <w:style w:type="character" w:styleId="WW8Num47z0">
    <w:name w:val="WW8Num47z0"/>
    <w:qFormat/>
    <w:rPr>
      <w:rFonts w:ascii="Symbol" w:hAnsi="Symbol" w:cs="Symbol"/>
    </w:rPr>
  </w:style>
  <w:style w:type="character" w:styleId="WW8Num47z1">
    <w:name w:val="WW8Num47z1"/>
    <w:qFormat/>
    <w:rPr>
      <w:rFonts w:ascii="Courier New" w:hAnsi="Courier New" w:cs="Courier New"/>
    </w:rPr>
  </w:style>
  <w:style w:type="character" w:styleId="WW8Num47z2">
    <w:name w:val="WW8Num47z2"/>
    <w:qFormat/>
    <w:rPr>
      <w:rFonts w:ascii="Wingdings" w:hAnsi="Wingdings" w:cs="Wingdings"/>
    </w:rPr>
  </w:style>
  <w:style w:type="character" w:styleId="WW8Num48z0">
    <w:name w:val="WW8Num48z0"/>
    <w:qFormat/>
    <w:rPr>
      <w:rFonts w:ascii="Tahoma" w:hAnsi="Tahoma" w:cs="Tahoma"/>
      <w:sz w:val="20"/>
    </w:rPr>
  </w:style>
  <w:style w:type="character" w:styleId="WW8Num48z1">
    <w:name w:val="WW8Num48z1"/>
    <w:qFormat/>
    <w:rPr/>
  </w:style>
  <w:style w:type="character" w:styleId="WW8Num48z2">
    <w:name w:val="WW8Num48z2"/>
    <w:qFormat/>
    <w:rPr/>
  </w:style>
  <w:style w:type="character" w:styleId="WW8Num48z3">
    <w:name w:val="WW8Num48z3"/>
    <w:qFormat/>
    <w:rPr/>
  </w:style>
  <w:style w:type="character" w:styleId="WW8Num48z4">
    <w:name w:val="WW8Num48z4"/>
    <w:qFormat/>
    <w:rPr/>
  </w:style>
  <w:style w:type="character" w:styleId="WW8Num48z5">
    <w:name w:val="WW8Num48z5"/>
    <w:qFormat/>
    <w:rPr/>
  </w:style>
  <w:style w:type="character" w:styleId="WW8Num48z6">
    <w:name w:val="WW8Num48z6"/>
    <w:qFormat/>
    <w:rPr/>
  </w:style>
  <w:style w:type="character" w:styleId="WW8Num48z7">
    <w:name w:val="WW8Num48z7"/>
    <w:qFormat/>
    <w:rPr/>
  </w:style>
  <w:style w:type="character" w:styleId="WW8Num48z8">
    <w:name w:val="WW8Num48z8"/>
    <w:qFormat/>
    <w:rPr/>
  </w:style>
  <w:style w:type="character" w:styleId="WW8Num49z0">
    <w:name w:val="WW8Num49z0"/>
    <w:qFormat/>
    <w:rPr>
      <w:rFonts w:ascii="Wingdings" w:hAnsi="Wingdings" w:cs="Wingdings"/>
      <w:b/>
      <w:i w:val="false"/>
      <w:outline w:val="false"/>
      <w:shadow w:val="false"/>
      <w:imprint/>
      <w:color w:val="0000FF"/>
      <w:sz w:val="28"/>
      <w:szCs w:val="28"/>
      <w:u w:val="none"/>
    </w:rPr>
  </w:style>
  <w:style w:type="character" w:styleId="WW8Num49z1">
    <w:name w:val="WW8Num49z1"/>
    <w:qFormat/>
    <w:rPr>
      <w:rFonts w:ascii="Courier New" w:hAnsi="Courier New" w:cs="Courier New"/>
    </w:rPr>
  </w:style>
  <w:style w:type="character" w:styleId="WW8Num49z2">
    <w:name w:val="WW8Num49z2"/>
    <w:qFormat/>
    <w:rPr>
      <w:rFonts w:ascii="Wingdings" w:hAnsi="Wingdings" w:cs="Wingdings"/>
    </w:rPr>
  </w:style>
  <w:style w:type="character" w:styleId="WW8Num49z3">
    <w:name w:val="WW8Num49z3"/>
    <w:qFormat/>
    <w:rPr>
      <w:rFonts w:ascii="Symbol" w:hAnsi="Symbol" w:cs="Symbol"/>
    </w:rPr>
  </w:style>
  <w:style w:type="character" w:styleId="Policepardfaut">
    <w:name w:val="Police par défaut"/>
    <w:qFormat/>
    <w:rPr/>
  </w:style>
  <w:style w:type="character" w:styleId="PageNumber">
    <w:name w:val="Page Number"/>
    <w:basedOn w:val="Policepardfaut"/>
    <w:rPr/>
  </w:style>
  <w:style w:type="character" w:styleId="InternetLink">
    <w:name w:val="Internet Link"/>
    <w:rPr>
      <w:color w:val="0000FF"/>
      <w:u w:val="single"/>
    </w:rPr>
  </w:style>
  <w:style w:type="character" w:styleId="Titre3Car">
    <w:name w:val="Titre 3 Car"/>
    <w:qFormat/>
    <w:rPr>
      <w:rFonts w:ascii="Calibri Light" w:hAnsi="Calibri Light" w:eastAsia="Times New Roman" w:cs="Times New Roman"/>
      <w:b/>
      <w:bCs/>
      <w:sz w:val="26"/>
      <w:szCs w:val="26"/>
    </w:rPr>
  </w:style>
  <w:style w:type="character" w:styleId="Titre4Car">
    <w:name w:val="Titre 4 Car"/>
    <w:qFormat/>
    <w:rPr>
      <w:rFonts w:ascii="Calibri" w:hAnsi="Calibri" w:eastAsia="Times New Roman" w:cs="Times New Roman"/>
      <w:b/>
      <w:bCs/>
      <w:sz w:val="28"/>
      <w:szCs w:val="28"/>
    </w:rPr>
  </w:style>
  <w:style w:type="character" w:styleId="PieddepageCar">
    <w:name w:val="Pied de page Car"/>
    <w:qFormat/>
    <w:rPr>
      <w:rFonts w:ascii="Arial" w:hAnsi="Arial" w:cs="Arial"/>
      <w:sz w:val="22"/>
      <w:szCs w:val="24"/>
    </w:rPr>
  </w:style>
  <w:style w:type="paragraph" w:styleId="Heading">
    <w:name w:val="Heading"/>
    <w:basedOn w:val="Normal"/>
    <w:next w:val="TextBody"/>
    <w:qFormat/>
    <w:pPr>
      <w:keepNext w:val="true"/>
      <w:spacing w:before="240" w:after="120"/>
    </w:pPr>
    <w:rPr>
      <w:rFonts w:ascii="Liberation Sans" w:hAnsi="Liberation Sans" w:eastAsia="DejaVu Sans" w:cs="DejaVu Sans"/>
      <w:sz w:val="28"/>
      <w:szCs w:val="28"/>
    </w:rPr>
  </w:style>
  <w:style w:type="paragraph" w:styleId="TextBody">
    <w:name w:val="Body Text"/>
    <w:basedOn w:val="Normal"/>
    <w:pPr>
      <w:jc w:val="left"/>
    </w:pPr>
    <w:rPr>
      <w:szCs w:val="22"/>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Header">
    <w:name w:val="Header"/>
    <w:basedOn w:val="Normal"/>
    <w:pPr>
      <w:tabs>
        <w:tab w:val="center" w:pos="4536" w:leader="none"/>
        <w:tab w:val="right" w:pos="9072" w:leader="none"/>
      </w:tabs>
    </w:pPr>
    <w:rPr/>
  </w:style>
  <w:style w:type="paragraph" w:styleId="Textebrut">
    <w:name w:val="Texte brut"/>
    <w:basedOn w:val="Normal"/>
    <w:qFormat/>
    <w:pPr/>
    <w:rPr>
      <w:rFonts w:ascii="Courier New" w:hAnsi="Courier New" w:cs="Courier New"/>
      <w:sz w:val="20"/>
      <w:szCs w:val="20"/>
    </w:rPr>
  </w:style>
  <w:style w:type="paragraph" w:styleId="Texte">
    <w:name w:val="texte"/>
    <w:basedOn w:val="Textebrut"/>
    <w:qFormat/>
    <w:pPr/>
    <w:rPr>
      <w:rFonts w:ascii="Arial" w:hAnsi="Arial" w:eastAsia="MS Mincho;ＭＳ 明朝" w:cs="Arial"/>
      <w:sz w:val="22"/>
    </w:rPr>
  </w:style>
  <w:style w:type="paragraph" w:styleId="Retraitcorpsdetexte3">
    <w:name w:val="Retrait corps de texte 3"/>
    <w:basedOn w:val="Normal"/>
    <w:qFormat/>
    <w:pPr>
      <w:tabs>
        <w:tab w:val="left" w:pos="851" w:leader="none"/>
      </w:tabs>
      <w:ind w:left="567" w:hanging="0"/>
    </w:pPr>
    <w:rPr>
      <w:szCs w:val="22"/>
    </w:rPr>
  </w:style>
  <w:style w:type="paragraph" w:styleId="Corpsdetexte3">
    <w:name w:val="Corps de texte 3"/>
    <w:basedOn w:val="Normal"/>
    <w:qFormat/>
    <w:pPr/>
    <w:rPr>
      <w:b/>
      <w:bCs/>
      <w:szCs w:val="22"/>
    </w:rPr>
  </w:style>
  <w:style w:type="paragraph" w:styleId="Textedebulles">
    <w:name w:val="Texte de bulles"/>
    <w:basedOn w:val="Normal"/>
    <w:qFormat/>
    <w:pPr/>
    <w:rPr>
      <w:rFonts w:ascii="Tahoma" w:hAnsi="Tahoma" w:cs="Tahoma"/>
      <w:sz w:val="16"/>
      <w:szCs w:val="16"/>
    </w:rPr>
  </w:style>
  <w:style w:type="paragraph" w:styleId="Footer">
    <w:name w:val="Footer"/>
    <w:basedOn w:val="Normal"/>
    <w:pPr>
      <w:tabs>
        <w:tab w:val="center" w:pos="4536" w:leader="none"/>
        <w:tab w:val="right" w:pos="9072" w:leader="none"/>
      </w:tabs>
    </w:pPr>
    <w:rPr/>
  </w:style>
  <w:style w:type="paragraph" w:styleId="Paragraphedeliste">
    <w:name w:val="Paragraphe de liste"/>
    <w:basedOn w:val="Normal"/>
    <w:qFormat/>
    <w:pPr>
      <w:spacing w:before="0" w:after="0"/>
      <w:ind w:left="720" w:hanging="0"/>
      <w:contextualSpacing/>
      <w:jc w:val="left"/>
    </w:pPr>
    <w:rPr>
      <w:rFonts w:ascii="Times New Roman" w:hAnsi="Times New Roman" w:cs="Times New Roman"/>
      <w:sz w:val="24"/>
    </w:rPr>
  </w:style>
  <w:style w:type="paragraph" w:styleId="FrameContents">
    <w:name w:val="Frame Contents"/>
    <w:basedOn w:val="Normal"/>
    <w:qFormat/>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Num40">
    <w:name w:val="WW8Num40"/>
    <w:qFormat/>
  </w:style>
  <w:style w:type="numbering" w:styleId="WW8Num41">
    <w:name w:val="WW8Num41"/>
    <w:qFormat/>
  </w:style>
  <w:style w:type="numbering" w:styleId="WW8Num42">
    <w:name w:val="WW8Num42"/>
    <w:qFormat/>
  </w:style>
  <w:style w:type="numbering" w:styleId="WW8Num43">
    <w:name w:val="WW8Num43"/>
    <w:qFormat/>
  </w:style>
  <w:style w:type="numbering" w:styleId="WW8Num44">
    <w:name w:val="WW8Num44"/>
    <w:qFormat/>
  </w:style>
  <w:style w:type="numbering" w:styleId="WW8Num45">
    <w:name w:val="WW8Num45"/>
    <w:qFormat/>
  </w:style>
  <w:style w:type="numbering" w:styleId="WW8Num46">
    <w:name w:val="WW8Num46"/>
    <w:qFormat/>
  </w:style>
  <w:style w:type="numbering" w:styleId="WW8Num47">
    <w:name w:val="WW8Num47"/>
    <w:qFormat/>
  </w:style>
  <w:style w:type="numbering" w:styleId="WW8Num48">
    <w:name w:val="WW8Num48"/>
    <w:qFormat/>
  </w:style>
  <w:style w:type="numbering" w:styleId="WW8Num49">
    <w:name w:val="WW8Num49"/>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LibreOffice/5.3.6.1$Linux_X86_64 LibreOffice_project/30$Build-1</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2022-02-03T18:22:00Z</dcterms:created>
  <dc:creator/>
  <dc:description/>
  <dc:language>en-GB</dc:language>
  <cp:lastModifiedBy/>
  <cp:lastPrinted>2021-01-27T15:16:00Z</cp:lastPrinted>
  <dcterms:modified xsi:type="dcterms:W3CDTF">2022-03-14T16:44:00Z</dcterms:modified>
  <cp:revision>14</cp:revision>
  <dc:subject/>
  <dc:title>Entre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135c4ba-2280-41f8-be7d-6f21d368baa3_ActionId">
    <vt:lpwstr>6bab64f7-e477-4126-a8b4-17489f3a9b6c</vt:lpwstr>
  </property>
  <property fmtid="{D5CDD505-2E9C-101B-9397-08002B2CF9AE}" pid="3" name="MSIP_Label_c135c4ba-2280-41f8-be7d-6f21d368baa3_ContentBits">
    <vt:lpwstr>0</vt:lpwstr>
  </property>
  <property fmtid="{D5CDD505-2E9C-101B-9397-08002B2CF9AE}" pid="4" name="MSIP_Label_c135c4ba-2280-41f8-be7d-6f21d368baa3_Enabled">
    <vt:lpwstr>true</vt:lpwstr>
  </property>
  <property fmtid="{D5CDD505-2E9C-101B-9397-08002B2CF9AE}" pid="5" name="MSIP_Label_c135c4ba-2280-41f8-be7d-6f21d368baa3_Method">
    <vt:lpwstr>Standard</vt:lpwstr>
  </property>
  <property fmtid="{D5CDD505-2E9C-101B-9397-08002B2CF9AE}" pid="6" name="MSIP_Label_c135c4ba-2280-41f8-be7d-6f21d368baa3_Name">
    <vt:lpwstr>c135c4ba-2280-41f8-be7d-6f21d368baa3</vt:lpwstr>
  </property>
  <property fmtid="{D5CDD505-2E9C-101B-9397-08002B2CF9AE}" pid="7" name="MSIP_Label_c135c4ba-2280-41f8-be7d-6f21d368baa3_SetDate">
    <vt:lpwstr>2021-03-05T14:44:24Z</vt:lpwstr>
  </property>
  <property fmtid="{D5CDD505-2E9C-101B-9397-08002B2CF9AE}" pid="8" name="MSIP_Label_c135c4ba-2280-41f8-be7d-6f21d368baa3_SiteId">
    <vt:lpwstr>24139d14-c62c-4c47-8bdd-ce71ea1d50cf</vt:lpwstr>
  </property>
</Properties>
</file>