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906EDA" w:rsidR="000D07F1" w:rsidRDefault="006C5CEC">
      <w:pPr>
        <w:spacing w:before="60"/>
        <w:rPr>
          <w:b/>
        </w:rPr>
      </w:pPr>
      <w:r>
        <w:rPr>
          <w:noProof/>
          <w:lang w:eastAsia="fr-FR"/>
        </w:rPr>
        <w:drawing>
          <wp:inline distB="0" distL="0" distR="0" distT="0" wp14:anchorId="30E98E90" wp14:editId="0B0EE91B">
            <wp:extent cx="2647950" cy="895350"/>
            <wp:effectExtent b="0" l="0" r="0" t="0"/>
            <wp:docPr descr="Capture"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apture" id="0" name="Imag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95350"/>
                    </a:xfrm>
                    <a:prstGeom prst="rect">
                      <a:avLst/>
                    </a:prstGeom>
                    <a:noFill/>
                    <a:ln>
                      <a:noFill/>
                    </a:ln>
                  </pic:spPr>
                </pic:pic>
              </a:graphicData>
            </a:graphic>
          </wp:inline>
        </w:drawing>
      </w:r>
    </w:p>
    <w:p w:rsidP="00906EDA" w:rsidR="00DB54D9" w:rsidRDefault="00DB54D9" w:rsidRPr="00651DA9">
      <w:pPr>
        <w:spacing w:before="60"/>
        <w:rPr>
          <w:b/>
        </w:rPr>
      </w:pPr>
    </w:p>
    <w:p w:rsidP="005D0FCB" w:rsidR="005D0FCB" w:rsidRDefault="005D0FCB">
      <w:pPr>
        <w:spacing w:before="60"/>
        <w:ind w:firstLine="708"/>
        <w:jc w:val="center"/>
        <w:rPr>
          <w:b/>
          <w:sz w:val="28"/>
          <w:szCs w:val="28"/>
        </w:rPr>
      </w:pPr>
      <w:r>
        <w:rPr>
          <w:b/>
          <w:sz w:val="28"/>
          <w:szCs w:val="28"/>
        </w:rPr>
        <w:t xml:space="preserve">PROCES VERBAL D’ACCORD </w:t>
      </w:r>
    </w:p>
    <w:p w:rsidP="005D0FCB" w:rsidR="005D0FCB" w:rsidRDefault="005D0FCB">
      <w:pPr>
        <w:spacing w:before="60"/>
        <w:ind w:firstLine="708"/>
        <w:jc w:val="center"/>
        <w:rPr>
          <w:b/>
          <w:sz w:val="28"/>
          <w:szCs w:val="28"/>
        </w:rPr>
      </w:pPr>
      <w:r>
        <w:rPr>
          <w:b/>
          <w:sz w:val="28"/>
          <w:szCs w:val="28"/>
        </w:rPr>
        <w:t xml:space="preserve">DE NEGOCIATION SUR LA REMUNERATION, TEMPS DE TRAVAIL ET PARTAGE DE LA VALEUR AJOUTEE </w:t>
      </w:r>
    </w:p>
    <w:p w:rsidP="005D0FCB" w:rsidR="00703E01" w:rsidRDefault="005D0FCB" w:rsidRPr="00651DA9">
      <w:pPr>
        <w:spacing w:before="60"/>
        <w:ind w:firstLine="708"/>
        <w:jc w:val="center"/>
        <w:rPr>
          <w:b/>
          <w:sz w:val="28"/>
          <w:szCs w:val="28"/>
        </w:rPr>
      </w:pPr>
      <w:r>
        <w:rPr>
          <w:b/>
          <w:sz w:val="28"/>
          <w:szCs w:val="28"/>
        </w:rPr>
        <w:t>EGALITE PROFESSIONNELLE FEMMES / HOMMES ET QUALITE DE VIE AU TRAVAIL</w:t>
      </w:r>
    </w:p>
    <w:p w:rsidP="00906EDA" w:rsidR="00703E01" w:rsidRDefault="00703E01" w:rsidRPr="00651DA9">
      <w:pPr>
        <w:spacing w:before="60"/>
        <w:jc w:val="center"/>
        <w:rPr>
          <w:b/>
          <w:caps/>
          <w:color w:val="000000"/>
          <w:sz w:val="28"/>
          <w:szCs w:val="28"/>
        </w:rPr>
      </w:pPr>
      <w:r w:rsidRPr="00651DA9">
        <w:rPr>
          <w:b/>
          <w:sz w:val="28"/>
          <w:szCs w:val="28"/>
        </w:rPr>
        <w:t>ANNEE 20</w:t>
      </w:r>
      <w:r w:rsidR="00A253FC">
        <w:rPr>
          <w:b/>
          <w:sz w:val="28"/>
          <w:szCs w:val="28"/>
        </w:rPr>
        <w:t>2</w:t>
      </w:r>
      <w:r w:rsidR="00AD6496">
        <w:rPr>
          <w:b/>
          <w:sz w:val="28"/>
          <w:szCs w:val="28"/>
        </w:rPr>
        <w:t>2</w:t>
      </w:r>
    </w:p>
    <w:p w:rsidP="00AF32FD" w:rsidR="00703E01" w:rsidRDefault="00703E01" w:rsidRPr="00651DA9">
      <w:pPr>
        <w:spacing w:before="60"/>
        <w:rPr>
          <w:b/>
        </w:rPr>
      </w:pPr>
    </w:p>
    <w:p w:rsidP="00906EDA" w:rsidR="00DB54D9" w:rsidRDefault="00DB54D9" w:rsidRPr="00651DA9">
      <w:pPr>
        <w:spacing w:before="60"/>
        <w:jc w:val="center"/>
        <w:rPr>
          <w:b/>
        </w:rPr>
      </w:pPr>
    </w:p>
    <w:p w:rsidP="00906EDA" w:rsidR="00703E01" w:rsidRDefault="00703E01" w:rsidRPr="00651DA9">
      <w:pPr>
        <w:pStyle w:val="Texte"/>
        <w:spacing w:before="60"/>
        <w:ind w:left="0"/>
        <w:rPr>
          <w:rFonts w:ascii="Arial" w:cs="Arial" w:hAnsi="Arial"/>
          <w:b/>
          <w:caps/>
          <w:color w:val="auto"/>
          <w:u w:val="single"/>
        </w:rPr>
      </w:pPr>
      <w:r w:rsidRPr="00651DA9">
        <w:rPr>
          <w:rFonts w:ascii="Arial" w:cs="Arial" w:hAnsi="Arial"/>
          <w:b/>
          <w:caps/>
          <w:color w:val="auto"/>
          <w:u w:val="single"/>
        </w:rPr>
        <w:t>Entre les soussignés :</w:t>
      </w:r>
    </w:p>
    <w:p w:rsidP="00906EDA" w:rsidR="00703E01" w:rsidRDefault="00703E01" w:rsidRPr="00651DA9">
      <w:pPr>
        <w:pStyle w:val="Texte"/>
        <w:spacing w:before="60"/>
        <w:rPr>
          <w:rFonts w:ascii="Arial" w:cs="Arial" w:hAnsi="Arial"/>
          <w:b/>
          <w:caps/>
          <w:color w:val="auto"/>
          <w:u w:val="single"/>
        </w:rPr>
      </w:pPr>
    </w:p>
    <w:p w:rsidP="00EB62A5" w:rsidR="00703E01" w:rsidRDefault="00703E01" w:rsidRPr="00651DA9">
      <w:pPr>
        <w:spacing w:before="60"/>
        <w:jc w:val="both"/>
      </w:pPr>
      <w:r w:rsidRPr="00651DA9">
        <w:t>L‘Office public de l’habitat (OPH) Colombes Habitat Public, dont le siège social est 29, avenu</w:t>
      </w:r>
      <w:r w:rsidR="00614A75">
        <w:t>e Henri Barbusse à Colombes (92</w:t>
      </w:r>
      <w:r w:rsidRPr="00651DA9">
        <w:t xml:space="preserve">700), immatriculé au Registre du Commerce et des Sociétés de Nanterre, sous le numéro B 484 201 157, </w:t>
      </w:r>
      <w:r w:rsidR="00D45F64">
        <w:t>représenté par</w:t>
      </w:r>
      <w:r w:rsidR="007F508D">
        <w:t xml:space="preserve"> xx</w:t>
      </w:r>
      <w:r w:rsidRPr="00651DA9">
        <w:t>, ag</w:t>
      </w:r>
      <w:r w:rsidR="0078222F">
        <w:t>issant en qualité de Directeur G</w:t>
      </w:r>
      <w:r w:rsidRPr="00651DA9">
        <w:t>énéral.</w:t>
      </w:r>
    </w:p>
    <w:p w:rsidP="00EB62A5" w:rsidR="00703E01" w:rsidRDefault="00703E01" w:rsidRPr="00651DA9">
      <w:pPr>
        <w:spacing w:before="60"/>
        <w:jc w:val="both"/>
      </w:pPr>
    </w:p>
    <w:p w:rsidP="00906EDA" w:rsidR="00703E01" w:rsidRDefault="00703E01" w:rsidRPr="00651DA9">
      <w:pPr>
        <w:pStyle w:val="Texte"/>
        <w:spacing w:before="60"/>
        <w:jc w:val="right"/>
        <w:rPr>
          <w:rFonts w:ascii="Arial" w:cs="Arial" w:hAnsi="Arial"/>
          <w:b/>
          <w:color w:val="auto"/>
        </w:rPr>
      </w:pP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color w:val="auto"/>
        </w:rPr>
        <w:tab/>
      </w:r>
      <w:r w:rsidRPr="00651DA9">
        <w:rPr>
          <w:rFonts w:ascii="Arial" w:cs="Arial" w:hAnsi="Arial"/>
          <w:b/>
          <w:color w:val="auto"/>
        </w:rPr>
        <w:t>D’une part,</w:t>
      </w:r>
    </w:p>
    <w:p w:rsidP="00906EDA" w:rsidR="00703E01" w:rsidRDefault="00703E01">
      <w:pPr>
        <w:pStyle w:val="Texte"/>
        <w:spacing w:before="60"/>
        <w:rPr>
          <w:rFonts w:ascii="Arial" w:cs="Arial" w:hAnsi="Arial"/>
          <w:color w:val="auto"/>
        </w:rPr>
      </w:pPr>
    </w:p>
    <w:p w:rsidP="00906EDA" w:rsidR="00703E01" w:rsidRDefault="00703E01" w:rsidRPr="00651DA9">
      <w:pPr>
        <w:pStyle w:val="Texte"/>
        <w:spacing w:before="60"/>
        <w:ind w:left="0"/>
        <w:rPr>
          <w:rFonts w:ascii="Arial" w:cs="Arial" w:hAnsi="Arial"/>
          <w:bCs/>
          <w:color w:val="auto"/>
        </w:rPr>
      </w:pPr>
      <w:r w:rsidRPr="00651DA9">
        <w:rPr>
          <w:rFonts w:ascii="Arial" w:cs="Arial" w:hAnsi="Arial"/>
          <w:bCs/>
          <w:color w:val="auto"/>
        </w:rPr>
        <w:t>Les organisations syndicales représentatives au sein de l’entreprise, représentées par :</w:t>
      </w:r>
    </w:p>
    <w:p w:rsidP="00906EDA" w:rsidR="00703E01" w:rsidRDefault="00703E01" w:rsidRPr="00651DA9">
      <w:pPr>
        <w:spacing w:before="60"/>
      </w:pPr>
    </w:p>
    <w:p w:rsidP="00906EDA" w:rsidR="00D636F4" w:rsidRDefault="007F508D">
      <w:pPr>
        <w:spacing w:before="60"/>
      </w:pPr>
      <w:r>
        <w:t>xx, délégué</w:t>
      </w:r>
      <w:r w:rsidR="00D636F4">
        <w:t xml:space="preserve"> syndical CGT,</w:t>
      </w:r>
    </w:p>
    <w:p w:rsidP="00906EDA" w:rsidR="00703E01" w:rsidRDefault="007F508D" w:rsidRPr="00651DA9">
      <w:pPr>
        <w:spacing w:before="60"/>
      </w:pPr>
      <w:r>
        <w:t>xx</w:t>
      </w:r>
      <w:r w:rsidR="00703E01" w:rsidRPr="00651DA9">
        <w:t>, délégué syndical CFE CGC,</w:t>
      </w:r>
    </w:p>
    <w:p w:rsidP="00EB62A5" w:rsidR="00703E01" w:rsidRDefault="007F508D" w:rsidRPr="00651DA9">
      <w:pPr>
        <w:spacing w:before="60"/>
      </w:pPr>
      <w:r>
        <w:t>xx</w:t>
      </w:r>
      <w:r w:rsidR="00703E01" w:rsidRPr="00651DA9">
        <w:t>, délégué syndical CFDT</w:t>
      </w:r>
    </w:p>
    <w:p w:rsidP="00EB62A5" w:rsidR="00703E01" w:rsidRDefault="00703E01" w:rsidRPr="00651DA9">
      <w:pPr>
        <w:pStyle w:val="Texte"/>
        <w:spacing w:before="60"/>
        <w:jc w:val="right"/>
        <w:rPr>
          <w:rFonts w:ascii="Arial" w:cs="Arial" w:hAnsi="Arial"/>
          <w:b/>
          <w:color w:val="auto"/>
        </w:rPr>
      </w:pPr>
      <w:r w:rsidRPr="00651DA9">
        <w:rPr>
          <w:rFonts w:ascii="Arial" w:cs="Arial" w:hAnsi="Arial"/>
          <w:color w:val="auto"/>
        </w:rPr>
        <w:tab/>
      </w:r>
      <w:r w:rsidRPr="00651DA9">
        <w:rPr>
          <w:rFonts w:ascii="Arial" w:cs="Arial" w:hAnsi="Arial"/>
          <w:b/>
          <w:color w:val="auto"/>
        </w:rPr>
        <w:t>D’autre part,</w:t>
      </w:r>
    </w:p>
    <w:p w:rsidP="00EB62A5" w:rsidR="00EB62A5" w:rsidRDefault="00EB62A5" w:rsidRPr="00651DA9">
      <w:pPr>
        <w:pStyle w:val="Texte"/>
        <w:spacing w:before="60"/>
        <w:jc w:val="right"/>
        <w:rPr>
          <w:rFonts w:ascii="Arial" w:cs="Arial" w:hAnsi="Arial"/>
          <w:b/>
          <w:color w:val="auto"/>
        </w:rPr>
      </w:pPr>
    </w:p>
    <w:p w:rsidP="00EB62A5" w:rsidR="00EB62A5" w:rsidRDefault="00EB62A5">
      <w:pPr>
        <w:pStyle w:val="Texte"/>
        <w:spacing w:before="60"/>
        <w:jc w:val="right"/>
        <w:rPr>
          <w:rFonts w:ascii="Arial" w:cs="Arial" w:hAnsi="Arial"/>
          <w:b/>
          <w:color w:val="auto"/>
        </w:rPr>
      </w:pPr>
    </w:p>
    <w:p w:rsidP="00EB62A5" w:rsidR="009F6B0D" w:rsidRDefault="009F6B0D" w:rsidRPr="009F6B0D">
      <w:pPr>
        <w:spacing w:before="60"/>
        <w:jc w:val="both"/>
        <w:rPr>
          <w:b/>
          <w:u w:val="single"/>
        </w:rPr>
      </w:pPr>
      <w:r w:rsidRPr="009F6B0D">
        <w:rPr>
          <w:b/>
          <w:u w:val="single"/>
        </w:rPr>
        <w:t>Préambule</w:t>
      </w:r>
    </w:p>
    <w:p w:rsidP="00EB62A5" w:rsidR="008A549A" w:rsidRDefault="005B7350">
      <w:pPr>
        <w:spacing w:before="60"/>
        <w:jc w:val="both"/>
      </w:pPr>
      <w:r>
        <w:t>L</w:t>
      </w:r>
      <w:r w:rsidR="00FF787A" w:rsidRPr="00651DA9">
        <w:t xml:space="preserve">a négociation annuelle obligatoire </w:t>
      </w:r>
      <w:r w:rsidR="00614A75">
        <w:t xml:space="preserve">prévue </w:t>
      </w:r>
      <w:r w:rsidR="008E484B" w:rsidRPr="00651DA9">
        <w:t xml:space="preserve">à l’article L.2242-1 </w:t>
      </w:r>
      <w:r w:rsidR="00F10146" w:rsidRPr="00651DA9">
        <w:t xml:space="preserve">et suivants </w:t>
      </w:r>
      <w:r w:rsidR="008E484B" w:rsidRPr="00651DA9">
        <w:t xml:space="preserve">du Code du travail, </w:t>
      </w:r>
      <w:r>
        <w:t xml:space="preserve">s’est </w:t>
      </w:r>
      <w:r w:rsidRPr="00D94C91">
        <w:t xml:space="preserve">tenue </w:t>
      </w:r>
      <w:r w:rsidR="008A549A" w:rsidRPr="00D94C91">
        <w:t>les</w:t>
      </w:r>
      <w:r w:rsidRPr="00D94C91">
        <w:t xml:space="preserve"> </w:t>
      </w:r>
      <w:r w:rsidR="00365399">
        <w:t xml:space="preserve">9/11, </w:t>
      </w:r>
      <w:r w:rsidR="005A163C">
        <w:t>17/01</w:t>
      </w:r>
      <w:r w:rsidR="00365399">
        <w:t xml:space="preserve"> et 19/0</w:t>
      </w:r>
      <w:r w:rsidR="005A163C">
        <w:t>3</w:t>
      </w:r>
      <w:r w:rsidR="00365399">
        <w:t>/2</w:t>
      </w:r>
      <w:r w:rsidR="005A163C">
        <w:t>0</w:t>
      </w:r>
      <w:r w:rsidR="00365399">
        <w:t>2</w:t>
      </w:r>
      <w:r w:rsidR="005A163C">
        <w:t>2</w:t>
      </w:r>
      <w:r w:rsidR="00365399">
        <w:t xml:space="preserve"> et </w:t>
      </w:r>
      <w:r w:rsidR="007427A2">
        <w:t>a porté sur les thèmes de négociation suivants :</w:t>
      </w:r>
    </w:p>
    <w:p w:rsidP="00DB530D" w:rsidR="00DB530D" w:rsidRDefault="00DB530D">
      <w:pPr>
        <w:pStyle w:val="Paragraphedeliste"/>
        <w:numPr>
          <w:ilvl w:val="0"/>
          <w:numId w:val="17"/>
        </w:numPr>
        <w:spacing w:before="60"/>
        <w:jc w:val="both"/>
      </w:pPr>
      <w:r>
        <w:t>Rémunération, temps de travail et partage de la valeur ajoutée</w:t>
      </w:r>
    </w:p>
    <w:p w:rsidP="00DB530D" w:rsidR="00DB530D" w:rsidRDefault="00DB530D" w:rsidRPr="00DB530D">
      <w:pPr>
        <w:pStyle w:val="Paragraphedeliste"/>
        <w:numPr>
          <w:ilvl w:val="0"/>
          <w:numId w:val="17"/>
        </w:numPr>
        <w:spacing w:before="60"/>
        <w:jc w:val="both"/>
      </w:pPr>
      <w:r>
        <w:t>Egalité professionnelle et Qualité de vie au travail.</w:t>
      </w:r>
    </w:p>
    <w:p w:rsidP="00EB62A5" w:rsidR="007427A2" w:rsidRDefault="007427A2">
      <w:pPr>
        <w:spacing w:before="60"/>
        <w:jc w:val="both"/>
      </w:pPr>
    </w:p>
    <w:p w:rsidP="00EB62A5" w:rsidR="00BA3164" w:rsidRDefault="001213A1" w:rsidRPr="009F58A0">
      <w:pPr>
        <w:spacing w:before="60"/>
        <w:jc w:val="both"/>
      </w:pPr>
      <w:r>
        <w:t>La première réunion a fixé</w:t>
      </w:r>
      <w:r w:rsidR="007427A2">
        <w:t xml:space="preserve"> le</w:t>
      </w:r>
      <w:r w:rsidR="00BA3164">
        <w:t xml:space="preserve"> calendrier </w:t>
      </w:r>
      <w:r w:rsidR="007427A2">
        <w:t xml:space="preserve">de la négociation et le lieu </w:t>
      </w:r>
      <w:r w:rsidR="00BA3164">
        <w:t>des réunions</w:t>
      </w:r>
      <w:r w:rsidR="007427A2">
        <w:t>. Les premières discussions se sont déroulées lors de la seconde réunion suite au rapport transmis et par chaque organisation syndicale</w:t>
      </w:r>
      <w:r w:rsidR="0038019C">
        <w:t xml:space="preserve"> a pu présenter ses propositions </w:t>
      </w:r>
      <w:r w:rsidR="0038019C" w:rsidRPr="009F58A0">
        <w:t xml:space="preserve">qui </w:t>
      </w:r>
      <w:r w:rsidR="008B3ABC" w:rsidRPr="009F58A0">
        <w:t>figurent</w:t>
      </w:r>
      <w:r w:rsidR="0038019C" w:rsidRPr="009F58A0">
        <w:t xml:space="preserve"> en annexe de ce procès-verbal.</w:t>
      </w:r>
    </w:p>
    <w:p w:rsidP="00EB62A5" w:rsidR="00BA3164" w:rsidRDefault="00BA3164" w:rsidRPr="009F58A0">
      <w:pPr>
        <w:spacing w:before="60"/>
        <w:jc w:val="both"/>
      </w:pPr>
    </w:p>
    <w:p w:rsidP="00EB62A5" w:rsidR="007427A2" w:rsidRDefault="007427A2">
      <w:pPr>
        <w:spacing w:before="60"/>
        <w:jc w:val="both"/>
      </w:pPr>
      <w:r>
        <w:t>La troisième réunion a été consacrée aux réponses aux propositions et à la conclusion du présent accord.</w:t>
      </w:r>
    </w:p>
    <w:p w:rsidP="00EB62A5" w:rsidR="007427A2" w:rsidRDefault="007427A2">
      <w:pPr>
        <w:spacing w:before="60"/>
        <w:jc w:val="both"/>
      </w:pPr>
    </w:p>
    <w:p w:rsidP="00906EDA" w:rsidR="00C97DA0" w:rsidRDefault="00C97DA0">
      <w:pPr>
        <w:spacing w:before="60"/>
        <w:rPr>
          <w:b/>
          <w:caps/>
          <w:u w:val="single"/>
        </w:rPr>
      </w:pPr>
    </w:p>
    <w:p w:rsidP="00906EDA" w:rsidR="00C97DA0" w:rsidRDefault="00C97DA0">
      <w:pPr>
        <w:spacing w:before="60"/>
        <w:rPr>
          <w:b/>
          <w:caps/>
          <w:u w:val="single"/>
        </w:rPr>
      </w:pPr>
    </w:p>
    <w:p w:rsidP="00906EDA" w:rsidR="00C97DA0" w:rsidRDefault="00C97DA0">
      <w:pPr>
        <w:spacing w:before="60"/>
        <w:rPr>
          <w:b/>
          <w:caps/>
          <w:u w:val="single"/>
        </w:rPr>
      </w:pPr>
    </w:p>
    <w:p w:rsidP="00906EDA" w:rsidR="00B9693F" w:rsidRDefault="00B9693F" w:rsidRPr="00651DA9">
      <w:pPr>
        <w:spacing w:before="60"/>
        <w:rPr>
          <w:b/>
          <w:caps/>
          <w:u w:val="single"/>
        </w:rPr>
      </w:pPr>
      <w:r w:rsidRPr="00651DA9">
        <w:rPr>
          <w:b/>
          <w:caps/>
          <w:u w:val="single"/>
        </w:rPr>
        <w:lastRenderedPageBreak/>
        <w:t xml:space="preserve">Article 1 : </w:t>
      </w:r>
      <w:r w:rsidR="00FF787A" w:rsidRPr="00651DA9">
        <w:rPr>
          <w:b/>
          <w:caps/>
          <w:u w:val="single"/>
        </w:rPr>
        <w:t>Champ d’application</w:t>
      </w:r>
    </w:p>
    <w:p w:rsidP="00906EDA" w:rsidR="00B9693F" w:rsidRDefault="00B9693F" w:rsidRPr="00651DA9">
      <w:pPr>
        <w:spacing w:before="60"/>
      </w:pPr>
    </w:p>
    <w:p w:rsidP="00906EDA" w:rsidR="00B9693F" w:rsidRDefault="00FF787A">
      <w:pPr>
        <w:pStyle w:val="Textebrut"/>
        <w:spacing w:before="60"/>
        <w:jc w:val="both"/>
        <w:rPr>
          <w:rFonts w:ascii="Arial" w:cs="Arial" w:hAnsi="Arial"/>
          <w:sz w:val="22"/>
          <w:szCs w:val="22"/>
        </w:rPr>
      </w:pPr>
      <w:r w:rsidRPr="00651DA9">
        <w:rPr>
          <w:rFonts w:ascii="Arial" w:cs="Arial" w:hAnsi="Arial"/>
          <w:sz w:val="22"/>
          <w:szCs w:val="22"/>
        </w:rPr>
        <w:t xml:space="preserve">Le présent accord s’applique à tout le personnel </w:t>
      </w:r>
      <w:r w:rsidR="00DB530D">
        <w:rPr>
          <w:rFonts w:ascii="Arial" w:cs="Arial" w:hAnsi="Arial"/>
          <w:sz w:val="22"/>
          <w:szCs w:val="22"/>
        </w:rPr>
        <w:t xml:space="preserve">de statut privé </w:t>
      </w:r>
      <w:r w:rsidRPr="00651DA9">
        <w:rPr>
          <w:rFonts w:ascii="Arial" w:cs="Arial" w:hAnsi="Arial"/>
          <w:sz w:val="22"/>
          <w:szCs w:val="22"/>
        </w:rPr>
        <w:t>de Colombes Habitat Public</w:t>
      </w:r>
      <w:r w:rsidR="00A064E7">
        <w:rPr>
          <w:rFonts w:ascii="Arial" w:cs="Arial" w:hAnsi="Arial"/>
          <w:sz w:val="22"/>
          <w:szCs w:val="22"/>
        </w:rPr>
        <w:t>,</w:t>
      </w:r>
      <w:r w:rsidR="00F13C99">
        <w:rPr>
          <w:rFonts w:ascii="Arial" w:cs="Arial" w:hAnsi="Arial"/>
          <w:sz w:val="22"/>
          <w:szCs w:val="22"/>
        </w:rPr>
        <w:t xml:space="preserve"> à l’exception du Directeur g</w:t>
      </w:r>
      <w:r w:rsidR="009731FF" w:rsidRPr="00651DA9">
        <w:rPr>
          <w:rFonts w:ascii="Arial" w:cs="Arial" w:hAnsi="Arial"/>
          <w:sz w:val="22"/>
          <w:szCs w:val="22"/>
        </w:rPr>
        <w:t>énéral</w:t>
      </w:r>
      <w:r w:rsidR="00A064E7">
        <w:rPr>
          <w:rFonts w:ascii="Arial" w:cs="Arial" w:hAnsi="Arial"/>
          <w:sz w:val="22"/>
          <w:szCs w:val="22"/>
        </w:rPr>
        <w:t>,</w:t>
      </w:r>
      <w:r w:rsidR="00B03F99" w:rsidRPr="00651DA9">
        <w:rPr>
          <w:rFonts w:ascii="Arial" w:cs="Arial" w:hAnsi="Arial"/>
          <w:sz w:val="22"/>
          <w:szCs w:val="22"/>
        </w:rPr>
        <w:t xml:space="preserve"> au titre de l’année 20</w:t>
      </w:r>
      <w:r w:rsidR="00A253FC">
        <w:rPr>
          <w:rFonts w:ascii="Arial" w:cs="Arial" w:hAnsi="Arial"/>
          <w:sz w:val="22"/>
          <w:szCs w:val="22"/>
        </w:rPr>
        <w:t>2</w:t>
      </w:r>
      <w:r w:rsidR="005A163C">
        <w:rPr>
          <w:rFonts w:ascii="Arial" w:cs="Arial" w:hAnsi="Arial"/>
          <w:sz w:val="22"/>
          <w:szCs w:val="22"/>
        </w:rPr>
        <w:t>2</w:t>
      </w:r>
      <w:r w:rsidR="00B03F99" w:rsidRPr="00651DA9">
        <w:rPr>
          <w:rFonts w:ascii="Arial" w:cs="Arial" w:hAnsi="Arial"/>
          <w:sz w:val="22"/>
          <w:szCs w:val="22"/>
        </w:rPr>
        <w:t>.</w:t>
      </w:r>
    </w:p>
    <w:p w:rsidP="00906EDA" w:rsidR="00543CEF" w:rsidRDefault="00543CEF">
      <w:pPr>
        <w:autoSpaceDE w:val="0"/>
        <w:autoSpaceDN w:val="0"/>
        <w:adjustRightInd w:val="0"/>
        <w:spacing w:before="60"/>
        <w:rPr>
          <w:b/>
          <w:caps/>
          <w:u w:val="single"/>
        </w:rPr>
      </w:pPr>
    </w:p>
    <w:p w:rsidP="00906EDA" w:rsidR="00FF787A" w:rsidRDefault="00FF787A" w:rsidRPr="00651DA9">
      <w:pPr>
        <w:autoSpaceDE w:val="0"/>
        <w:autoSpaceDN w:val="0"/>
        <w:adjustRightInd w:val="0"/>
        <w:spacing w:before="60"/>
        <w:rPr>
          <w:b/>
          <w:caps/>
          <w:u w:val="single"/>
        </w:rPr>
      </w:pPr>
      <w:r w:rsidRPr="00651DA9">
        <w:rPr>
          <w:b/>
          <w:caps/>
          <w:u w:val="single"/>
        </w:rPr>
        <w:t xml:space="preserve">Article 2 : </w:t>
      </w:r>
      <w:r w:rsidR="00BA3164">
        <w:rPr>
          <w:b/>
          <w:caps/>
          <w:u w:val="single"/>
        </w:rPr>
        <w:t>OBJET DE L’ACCORD</w:t>
      </w:r>
    </w:p>
    <w:p w:rsidP="00906EDA" w:rsidR="00FF787A" w:rsidRDefault="00FF787A">
      <w:pPr>
        <w:spacing w:before="60"/>
        <w:jc w:val="both"/>
      </w:pPr>
    </w:p>
    <w:p w:rsidP="00906EDA" w:rsidR="00BA3164" w:rsidRDefault="00A253FC" w:rsidRPr="00651DA9">
      <w:pPr>
        <w:spacing w:before="60"/>
        <w:jc w:val="both"/>
      </w:pPr>
      <w:r>
        <w:t>La Direction, le</w:t>
      </w:r>
      <w:r w:rsidR="00D636F4">
        <w:t>s</w:t>
      </w:r>
      <w:r>
        <w:t xml:space="preserve"> syndicat</w:t>
      </w:r>
      <w:r w:rsidR="00D636F4">
        <w:t>s</w:t>
      </w:r>
      <w:r>
        <w:t xml:space="preserve"> </w:t>
      </w:r>
      <w:r w:rsidR="00D636F4">
        <w:t xml:space="preserve">CGT, </w:t>
      </w:r>
      <w:r>
        <w:t xml:space="preserve">CFDT et </w:t>
      </w:r>
      <w:r w:rsidR="00BA3164">
        <w:t>CFE-CGC, après discussions intervenues au cours des réunions</w:t>
      </w:r>
      <w:r w:rsidR="002519C4">
        <w:t>,</w:t>
      </w:r>
      <w:r w:rsidR="00BA3164">
        <w:t xml:space="preserve"> ont convenu ce qui suit.</w:t>
      </w:r>
    </w:p>
    <w:p w:rsidP="00D45F64" w:rsidR="00BA3164" w:rsidRDefault="00BA3164">
      <w:pPr>
        <w:spacing w:before="60"/>
        <w:jc w:val="both"/>
      </w:pPr>
    </w:p>
    <w:p w:rsidP="00D45F64" w:rsidR="00090C2B" w:rsidRDefault="00090C2B">
      <w:pPr>
        <w:spacing w:before="60"/>
        <w:jc w:val="both"/>
      </w:pPr>
    </w:p>
    <w:p w:rsidP="00BA3164" w:rsidR="00BA3164" w:rsidRDefault="00820ECA" w:rsidRPr="00932B71">
      <w:pPr>
        <w:spacing w:before="60"/>
        <w:jc w:val="both"/>
        <w:rPr>
          <w:b/>
          <w:u w:val="single"/>
        </w:rPr>
      </w:pPr>
      <w:r>
        <w:rPr>
          <w:b/>
          <w:u w:val="single"/>
        </w:rPr>
        <w:t xml:space="preserve">I – </w:t>
      </w:r>
      <w:r w:rsidR="00464FE4" w:rsidRPr="00932B71">
        <w:rPr>
          <w:b/>
          <w:u w:val="single"/>
        </w:rPr>
        <w:t>REMUNERATION</w:t>
      </w:r>
      <w:r w:rsidR="00932B71" w:rsidRPr="00932B71">
        <w:rPr>
          <w:b/>
          <w:u w:val="single"/>
        </w:rPr>
        <w:t xml:space="preserve">, </w:t>
      </w:r>
      <w:r w:rsidR="00932B71">
        <w:rPr>
          <w:b/>
          <w:u w:val="single"/>
        </w:rPr>
        <w:t xml:space="preserve">TEMPS </w:t>
      </w:r>
      <w:r w:rsidR="00932B71" w:rsidRPr="00932B71">
        <w:rPr>
          <w:b/>
          <w:u w:val="single"/>
        </w:rPr>
        <w:t>DE TRAVAIL ET PARTAGE DE LA VALEUR AJOUTEE</w:t>
      </w:r>
    </w:p>
    <w:p w:rsidP="00BA3164" w:rsidR="00BA3164" w:rsidRDefault="00BA3164">
      <w:pPr>
        <w:spacing w:before="60"/>
        <w:jc w:val="both"/>
      </w:pPr>
    </w:p>
    <w:p w:rsidP="00BA3164" w:rsidR="00932B71" w:rsidRDefault="00820ECA" w:rsidRPr="003D6957">
      <w:pPr>
        <w:spacing w:before="60"/>
        <w:jc w:val="both"/>
        <w:rPr>
          <w:b/>
          <w:u w:val="single"/>
        </w:rPr>
      </w:pPr>
      <w:r>
        <w:rPr>
          <w:b/>
          <w:u w:val="single"/>
        </w:rPr>
        <w:t>A</w:t>
      </w:r>
      <w:r w:rsidR="00932B71" w:rsidRPr="003D6957">
        <w:rPr>
          <w:b/>
          <w:u w:val="single"/>
        </w:rPr>
        <w:t xml:space="preserve"> – Rémunérations 20</w:t>
      </w:r>
      <w:r w:rsidR="00A253FC">
        <w:rPr>
          <w:b/>
          <w:u w:val="single"/>
        </w:rPr>
        <w:t>2</w:t>
      </w:r>
      <w:r w:rsidR="005A163C">
        <w:rPr>
          <w:b/>
          <w:u w:val="single"/>
        </w:rPr>
        <w:t>2</w:t>
      </w:r>
    </w:p>
    <w:p w:rsidP="00BA3164" w:rsidR="00932B71" w:rsidRDefault="00AC5E0F">
      <w:pPr>
        <w:spacing w:before="60"/>
        <w:jc w:val="both"/>
      </w:pPr>
      <w:r>
        <w:t>Les organisations syndicales proposent une augmentation générale de 3 à 3,5% pour pallier les effets de l’inflation fixée à 2,8% au 31/12/2021.</w:t>
      </w:r>
    </w:p>
    <w:p w:rsidP="00BA3164" w:rsidR="00AC5E0F" w:rsidRDefault="00AC5E0F" w:rsidRPr="00BA3164">
      <w:pPr>
        <w:spacing w:before="60"/>
        <w:jc w:val="both"/>
      </w:pPr>
    </w:p>
    <w:p w:rsidP="002545C2" w:rsidR="009B2B56" w:rsidRDefault="00EE5347">
      <w:pPr>
        <w:spacing w:before="60"/>
        <w:jc w:val="both"/>
      </w:pPr>
      <w:r>
        <w:t>Conscient de la diminution du pouvoir d’achat générée par cette inflation, la direction a proposé</w:t>
      </w:r>
      <w:r w:rsidR="00AC5E0F">
        <w:t xml:space="preserve"> </w:t>
      </w:r>
      <w:r>
        <w:t xml:space="preserve">d’une augmentation générale de 2,5% pour </w:t>
      </w:r>
      <w:r w:rsidR="00AC5E0F">
        <w:t>c</w:t>
      </w:r>
      <w:r w:rsidR="001C3618">
        <w:t xml:space="preserve">haque </w:t>
      </w:r>
      <w:r w:rsidR="00A253FC">
        <w:t>salarié</w:t>
      </w:r>
      <w:r w:rsidR="0031025E">
        <w:t>(e)</w:t>
      </w:r>
      <w:r w:rsidR="001C3618">
        <w:t xml:space="preserve"> </w:t>
      </w:r>
      <w:r w:rsidR="00A253FC">
        <w:t>présent</w:t>
      </w:r>
      <w:r w:rsidR="0031025E">
        <w:t>(e)</w:t>
      </w:r>
      <w:r w:rsidR="00A253FC">
        <w:t xml:space="preserve"> au 0</w:t>
      </w:r>
      <w:r w:rsidR="00232289">
        <w:t>3</w:t>
      </w:r>
      <w:r w:rsidR="00A253FC">
        <w:t>/01/202</w:t>
      </w:r>
      <w:r w:rsidR="005A163C">
        <w:t>2</w:t>
      </w:r>
      <w:r w:rsidR="002545C2">
        <w:t>.</w:t>
      </w:r>
      <w:r w:rsidR="00AC5E0F">
        <w:t xml:space="preserve"> Il s’agit </w:t>
      </w:r>
      <w:r>
        <w:t xml:space="preserve">là </w:t>
      </w:r>
      <w:r w:rsidR="00AC5E0F">
        <w:t>d’une augmentation inédite à Colombes Habitat Public, les augmentations collectives étant en général de 0.8% hormis l’an passé avec une augmentation de 1,5%.</w:t>
      </w:r>
      <w:r>
        <w:t xml:space="preserve"> </w:t>
      </w:r>
      <w:r w:rsidR="00AC5E0F">
        <w:t xml:space="preserve">Les 0,3% manquants feront éventuellement l’objet </w:t>
      </w:r>
      <w:r>
        <w:t>d’un rattrapage lors de la NAO 2023.</w:t>
      </w:r>
    </w:p>
    <w:p w:rsidP="002545C2" w:rsidR="002545C2" w:rsidRDefault="002545C2" w:rsidRPr="00D636F4">
      <w:pPr>
        <w:spacing w:before="60"/>
        <w:jc w:val="both"/>
        <w:rPr>
          <w:highlight w:val="yellow"/>
        </w:rPr>
      </w:pPr>
    </w:p>
    <w:p w:rsidP="00D45F64" w:rsidR="00AE0640" w:rsidRDefault="00AE0640">
      <w:pPr>
        <w:spacing w:before="60"/>
        <w:jc w:val="both"/>
      </w:pPr>
      <w:r>
        <w:t>Il est à noter que les salaires bruts de base pratiqués à Colombes Habitat Public sont tous supérieurs aux minima de la Convention Collective Nationale du personnel des Offices Publics de l’Habitat (avenant n°</w:t>
      </w:r>
      <w:r w:rsidR="00232289">
        <w:t>7</w:t>
      </w:r>
      <w:r>
        <w:t xml:space="preserve"> signé le </w:t>
      </w:r>
      <w:r w:rsidR="00232289">
        <w:t xml:space="preserve">17/02/2021 et recommandations de la </w:t>
      </w:r>
      <w:r w:rsidR="00485BFA">
        <w:t>Fédération des OPH suite à l’échec des négociations engagées pour la fixation des rémunérations minimales au 01/01/2022</w:t>
      </w:r>
      <w:r w:rsidR="00932B71">
        <w:t>).</w:t>
      </w:r>
      <w:r>
        <w:t xml:space="preserve"> </w:t>
      </w:r>
    </w:p>
    <w:p w:rsidP="00D45F64" w:rsidR="00932B71" w:rsidRDefault="00932B71">
      <w:pPr>
        <w:spacing w:before="60"/>
        <w:jc w:val="both"/>
      </w:pPr>
    </w:p>
    <w:p w:rsidP="00D45F64" w:rsidR="00BA3164" w:rsidRDefault="00992904">
      <w:pPr>
        <w:spacing w:before="60"/>
        <w:jc w:val="both"/>
      </w:pPr>
      <w:r>
        <w:t>Chaque année, à la date anniversaire du recr</w:t>
      </w:r>
      <w:r w:rsidR="00A253FC">
        <w:t xml:space="preserve">utement, la prime d’ancienneté </w:t>
      </w:r>
      <w:r>
        <w:t>augmente</w:t>
      </w:r>
      <w:r w:rsidR="00464FE4">
        <w:t xml:space="preserve"> de 1% pour les </w:t>
      </w:r>
      <w:r w:rsidR="00A253FC">
        <w:t>salariés</w:t>
      </w:r>
      <w:r w:rsidR="00464FE4">
        <w:t xml:space="preserve"> dont la durée de présence </w:t>
      </w:r>
      <w:r w:rsidR="007149D1">
        <w:t xml:space="preserve">dans l’établissement </w:t>
      </w:r>
      <w:r w:rsidR="00464FE4">
        <w:t>est inférieure à 1</w:t>
      </w:r>
      <w:r w:rsidR="00A253FC">
        <w:t>9</w:t>
      </w:r>
      <w:r w:rsidR="00464FE4">
        <w:t xml:space="preserve"> ans</w:t>
      </w:r>
      <w:r w:rsidR="00751731">
        <w:t xml:space="preserve"> et ce, conformément à l’accord collectif du travail signé le 22 décembre 2006</w:t>
      </w:r>
      <w:r w:rsidR="00464FE4">
        <w:t>.</w:t>
      </w:r>
    </w:p>
    <w:p w:rsidP="00D45F64" w:rsidR="0091077D" w:rsidRDefault="0091077D">
      <w:pPr>
        <w:spacing w:before="60"/>
        <w:jc w:val="both"/>
      </w:pPr>
    </w:p>
    <w:p w:rsidP="00D45F64" w:rsidR="00BA3164" w:rsidRDefault="00992904">
      <w:pPr>
        <w:spacing w:before="60"/>
        <w:jc w:val="both"/>
      </w:pPr>
      <w:r>
        <w:t xml:space="preserve">Les collaborateurs logés par nécessité de service bénéficient d’un logement de fonctions à titre gratuit et </w:t>
      </w:r>
      <w:r w:rsidR="00BF7321">
        <w:t>de la</w:t>
      </w:r>
      <w:r>
        <w:t xml:space="preserve"> prise en charge par Colombes Habitat Public des frais liés aux consommations d’eau, d’électricité et de gaz</w:t>
      </w:r>
      <w:r w:rsidR="00BF7321">
        <w:t>,</w:t>
      </w:r>
      <w:r>
        <w:t xml:space="preserve"> le </w:t>
      </w:r>
      <w:r w:rsidR="0031025E">
        <w:t>cas échéant. La contrepartie de ces gratuités donne</w:t>
      </w:r>
      <w:r>
        <w:t xml:space="preserve"> lieu à déclaration </w:t>
      </w:r>
      <w:r w:rsidR="00BF7321">
        <w:t xml:space="preserve">fiscale </w:t>
      </w:r>
      <w:r>
        <w:t>et cotisations des avanta</w:t>
      </w:r>
      <w:r w:rsidR="00BF7321">
        <w:t>ges en nature selon une évaluation forfaitaire variant en fonction du nombre de pièces et du niveau de rémunération du bénéficiaire.</w:t>
      </w:r>
    </w:p>
    <w:p w:rsidP="00D45F64" w:rsidR="00E8376D" w:rsidRDefault="00E8376D">
      <w:pPr>
        <w:spacing w:before="60"/>
        <w:jc w:val="both"/>
      </w:pPr>
    </w:p>
    <w:p w:rsidP="00D45F64" w:rsidR="00090C2B" w:rsidRDefault="00090C2B">
      <w:pPr>
        <w:spacing w:before="60"/>
        <w:jc w:val="both"/>
      </w:pPr>
    </w:p>
    <w:p w:rsidP="00D45F64" w:rsidR="00A253FC" w:rsidRDefault="00820ECA" w:rsidRPr="00A253FC">
      <w:pPr>
        <w:spacing w:before="60"/>
        <w:jc w:val="both"/>
        <w:rPr>
          <w:b/>
          <w:u w:val="single"/>
        </w:rPr>
      </w:pPr>
      <w:r>
        <w:t>B</w:t>
      </w:r>
      <w:r w:rsidR="00A253FC" w:rsidRPr="00A253FC">
        <w:rPr>
          <w:b/>
          <w:u w:val="single"/>
        </w:rPr>
        <w:t xml:space="preserve"> – Ti</w:t>
      </w:r>
      <w:r w:rsidR="00A253FC">
        <w:rPr>
          <w:b/>
          <w:u w:val="single"/>
        </w:rPr>
        <w:t>tres</w:t>
      </w:r>
      <w:r w:rsidR="00A253FC" w:rsidRPr="00A253FC">
        <w:rPr>
          <w:b/>
          <w:u w:val="single"/>
        </w:rPr>
        <w:t xml:space="preserve"> restaurant </w:t>
      </w:r>
    </w:p>
    <w:p w:rsidP="00D45F64" w:rsidR="00A253FC" w:rsidRDefault="00A253FC">
      <w:pPr>
        <w:spacing w:before="60"/>
        <w:jc w:val="both"/>
      </w:pPr>
    </w:p>
    <w:p w:rsidP="00D45F64" w:rsidR="0091077D" w:rsidRDefault="00485BFA">
      <w:pPr>
        <w:spacing w:before="60"/>
        <w:jc w:val="both"/>
      </w:pPr>
      <w:r>
        <w:t>Malgré la demande des organisations syndicales, l</w:t>
      </w:r>
      <w:r w:rsidR="002545C2">
        <w:t>a valeur faciale du ticket restaurant reste fixée à 10€, avec 50% pour la part salariale et 50% pour la part patronale.</w:t>
      </w:r>
    </w:p>
    <w:p w:rsidP="00D45F64" w:rsidR="002545C2" w:rsidRDefault="002545C2">
      <w:pPr>
        <w:spacing w:before="60"/>
        <w:jc w:val="both"/>
      </w:pPr>
    </w:p>
    <w:p w:rsidP="00D45F64" w:rsidR="00090C2B" w:rsidRDefault="00090C2B">
      <w:pPr>
        <w:spacing w:before="60"/>
        <w:jc w:val="both"/>
      </w:pPr>
    </w:p>
    <w:p w:rsidP="00D45F64" w:rsidR="00AC5E0F" w:rsidRDefault="00AC5E0F" w:rsidRPr="00AC5E0F">
      <w:pPr>
        <w:spacing w:before="60"/>
        <w:jc w:val="both"/>
        <w:rPr>
          <w:b/>
          <w:u w:val="single"/>
        </w:rPr>
      </w:pPr>
      <w:r w:rsidRPr="00AC5E0F">
        <w:rPr>
          <w:b/>
          <w:u w:val="single"/>
        </w:rPr>
        <w:t>C -  Autres demandes</w:t>
      </w:r>
    </w:p>
    <w:p w:rsidP="00D45F64" w:rsidR="00EE5347" w:rsidRDefault="00AC5E0F">
      <w:pPr>
        <w:spacing w:before="60"/>
        <w:jc w:val="both"/>
      </w:pPr>
      <w:r>
        <w:t xml:space="preserve">Les demandes des organisations syndicales </w:t>
      </w:r>
      <w:r w:rsidR="00EE5347">
        <w:t>sont annexées au présent procès-verbal.</w:t>
      </w:r>
    </w:p>
    <w:p w:rsidP="00D45F64" w:rsidR="00EE5347" w:rsidRDefault="00EE5347">
      <w:pPr>
        <w:spacing w:before="60"/>
        <w:jc w:val="both"/>
      </w:pPr>
    </w:p>
    <w:p w:rsidP="00D45F64" w:rsidR="00AC5E0F" w:rsidRDefault="00EE5347">
      <w:pPr>
        <w:spacing w:before="60"/>
        <w:jc w:val="both"/>
      </w:pPr>
      <w:r>
        <w:t>Elles portent sur l’attribution de primes pour des motifs divers, l’augmentation de la part patronale mutuelle, la négociation sur différents sujets (politique de rémunération, intéressement et supplément d’intéressement, aménagement du temps de travail</w:t>
      </w:r>
      <w:r w:rsidR="00A95F53">
        <w:t>, télétravail, métier de Gardien) et l’augmentation du nombre de jours de congés et du nombre de jours enfant malade.</w:t>
      </w:r>
    </w:p>
    <w:p w:rsidP="00D45F64" w:rsidR="00EE5347" w:rsidRDefault="00EE5347">
      <w:pPr>
        <w:spacing w:before="60"/>
        <w:jc w:val="both"/>
        <w:rPr>
          <w:b/>
          <w:u w:val="single"/>
        </w:rPr>
      </w:pPr>
    </w:p>
    <w:p w:rsidP="00D45F64" w:rsidR="00EE5347" w:rsidRDefault="00A95F53">
      <w:pPr>
        <w:spacing w:before="60"/>
        <w:jc w:val="both"/>
      </w:pPr>
      <w:r>
        <w:t>La direction a apporté une réponse négative aux demandes d’avantages salariaux.</w:t>
      </w:r>
    </w:p>
    <w:p w:rsidP="00D45F64" w:rsidR="00A95F53" w:rsidRDefault="00A95F53">
      <w:pPr>
        <w:spacing w:before="60"/>
        <w:jc w:val="both"/>
      </w:pPr>
    </w:p>
    <w:p w:rsidP="00D45F64" w:rsidR="00A95F53" w:rsidRDefault="00A95F53">
      <w:pPr>
        <w:spacing w:before="60"/>
        <w:jc w:val="both"/>
      </w:pPr>
      <w:r>
        <w:t>En ce qui concernent les négociations, certaines ont été réalisées (supplément d’intéressement) ou sont en cours (télétravail) ou sont prévues en 2022 (réflexion sur le métier de gardien).</w:t>
      </w:r>
    </w:p>
    <w:p w:rsidP="00D45F64" w:rsidR="00A95F53" w:rsidRDefault="00A95F53">
      <w:pPr>
        <w:spacing w:before="60"/>
        <w:jc w:val="both"/>
      </w:pPr>
    </w:p>
    <w:p w:rsidP="00D45F64" w:rsidR="00A95F53" w:rsidRDefault="00A95F53" w:rsidRPr="00A95F53">
      <w:pPr>
        <w:spacing w:before="60"/>
        <w:jc w:val="both"/>
      </w:pPr>
      <w:r>
        <w:t>Il a été acté de réfléchir sur la politique de rémunération et sur l’aménagement du temps de travail.</w:t>
      </w:r>
    </w:p>
    <w:p w:rsidP="00D45F64" w:rsidR="00EE5347" w:rsidRDefault="00EE5347">
      <w:pPr>
        <w:spacing w:before="60"/>
        <w:jc w:val="both"/>
        <w:rPr>
          <w:b/>
          <w:u w:val="single"/>
        </w:rPr>
      </w:pPr>
    </w:p>
    <w:p w:rsidP="00D45F64" w:rsidR="00BA3164" w:rsidRDefault="00A95F53" w:rsidRPr="003D6957">
      <w:pPr>
        <w:spacing w:before="60"/>
        <w:jc w:val="both"/>
        <w:rPr>
          <w:b/>
          <w:u w:val="single"/>
        </w:rPr>
      </w:pPr>
      <w:r>
        <w:rPr>
          <w:b/>
          <w:u w:val="single"/>
        </w:rPr>
        <w:t>D</w:t>
      </w:r>
      <w:r w:rsidR="00820ECA">
        <w:rPr>
          <w:b/>
          <w:u w:val="single"/>
        </w:rPr>
        <w:t xml:space="preserve"> </w:t>
      </w:r>
      <w:r w:rsidR="00932B71" w:rsidRPr="003D6957">
        <w:rPr>
          <w:b/>
          <w:u w:val="single"/>
        </w:rPr>
        <w:t xml:space="preserve">– </w:t>
      </w:r>
      <w:r w:rsidR="000E62DE" w:rsidRPr="003D6957">
        <w:rPr>
          <w:b/>
          <w:u w:val="single"/>
        </w:rPr>
        <w:t>Temps de travail</w:t>
      </w:r>
    </w:p>
    <w:p w:rsidP="00D45F64" w:rsidR="00BA3164" w:rsidRDefault="00BA3164">
      <w:pPr>
        <w:spacing w:before="60"/>
        <w:jc w:val="both"/>
      </w:pPr>
    </w:p>
    <w:p w:rsidP="007149D1" w:rsidR="007149D1" w:rsidRDefault="007149D1" w:rsidRPr="002A734D">
      <w:pPr>
        <w:jc w:val="both"/>
      </w:pPr>
      <w:r w:rsidRPr="002A734D">
        <w:t>Les temps partiel</w:t>
      </w:r>
      <w:r>
        <w:t xml:space="preserve">, exercée uniquement par des femmes, </w:t>
      </w:r>
      <w:r w:rsidRPr="002A734D">
        <w:t>sont de 3 types :</w:t>
      </w:r>
    </w:p>
    <w:p w:rsidP="007149D1" w:rsidR="007149D1" w:rsidRDefault="007149D1" w:rsidRPr="002A734D">
      <w:pPr>
        <w:pStyle w:val="Paragraphedeliste"/>
        <w:numPr>
          <w:ilvl w:val="0"/>
          <w:numId w:val="29"/>
        </w:numPr>
      </w:pPr>
      <w:r w:rsidRPr="002A734D">
        <w:t xml:space="preserve">de droit : </w:t>
      </w:r>
      <w:r>
        <w:tab/>
        <w:t xml:space="preserve">  </w:t>
      </w:r>
      <w:r w:rsidR="003E09D3">
        <w:t>3</w:t>
      </w:r>
      <w:r w:rsidRPr="002A734D">
        <w:t>,</w:t>
      </w:r>
    </w:p>
    <w:p w:rsidP="007149D1" w:rsidR="007149D1" w:rsidRDefault="007149D1">
      <w:pPr>
        <w:pStyle w:val="Paragraphedeliste"/>
        <w:numPr>
          <w:ilvl w:val="0"/>
          <w:numId w:val="29"/>
        </w:numPr>
      </w:pPr>
      <w:r w:rsidRPr="002A734D">
        <w:t>sur demande :</w:t>
      </w:r>
      <w:r>
        <w:t xml:space="preserve">  </w:t>
      </w:r>
      <w:r w:rsidR="003E09D3">
        <w:t>1</w:t>
      </w:r>
      <w:r w:rsidRPr="002A734D">
        <w:t>,</w:t>
      </w:r>
    </w:p>
    <w:p w:rsidP="007149D1" w:rsidR="007149D1" w:rsidRDefault="007149D1">
      <w:pPr>
        <w:pStyle w:val="Paragraphedeliste"/>
        <w:numPr>
          <w:ilvl w:val="0"/>
          <w:numId w:val="29"/>
        </w:numPr>
      </w:pPr>
      <w:r w:rsidRPr="002A734D">
        <w:t>conventionnel : 1</w:t>
      </w:r>
      <w:r>
        <w:t>.</w:t>
      </w:r>
    </w:p>
    <w:p w:rsidP="007149D1" w:rsidR="007149D1" w:rsidRDefault="007149D1">
      <w:pPr>
        <w:jc w:val="both"/>
        <w:rPr>
          <w:u w:val="single"/>
        </w:rPr>
      </w:pPr>
    </w:p>
    <w:p w:rsidP="007149D1" w:rsidR="00090C2B" w:rsidRDefault="00090C2B" w:rsidRPr="002A734D">
      <w:pPr>
        <w:jc w:val="both"/>
        <w:rPr>
          <w:u w:val="single"/>
        </w:rPr>
      </w:pPr>
    </w:p>
    <w:p w:rsidP="00DB530D" w:rsidR="00932B71" w:rsidRDefault="00A95F53" w:rsidRPr="003D6957">
      <w:pPr>
        <w:spacing w:before="60"/>
        <w:jc w:val="both"/>
        <w:rPr>
          <w:b/>
          <w:u w:val="single"/>
        </w:rPr>
      </w:pPr>
      <w:r>
        <w:rPr>
          <w:b/>
          <w:u w:val="single"/>
        </w:rPr>
        <w:t>E</w:t>
      </w:r>
      <w:r w:rsidR="000E62DE" w:rsidRPr="003D6957">
        <w:rPr>
          <w:b/>
          <w:u w:val="single"/>
        </w:rPr>
        <w:t xml:space="preserve"> – Partage de la valeur ajoutée : intéressement</w:t>
      </w:r>
    </w:p>
    <w:p w:rsidP="00DB530D" w:rsidR="000E62DE" w:rsidRDefault="000E62DE">
      <w:pPr>
        <w:spacing w:before="60"/>
        <w:jc w:val="both"/>
      </w:pPr>
    </w:p>
    <w:p w:rsidP="00A66663" w:rsidR="00A66663" w:rsidRDefault="00A66663">
      <w:pPr>
        <w:pStyle w:val="Sansinterligne"/>
      </w:pPr>
      <w:r>
        <w:t xml:space="preserve">L’accord d’entreprise en vigueur dispose que le calcul de l’intéressement est fondé sur le taux de satisfaction globale de l’enquête annuelle adressée à un panel de locataires. </w:t>
      </w:r>
      <w:r w:rsidRPr="00DF37B2">
        <w:t>Pour 20</w:t>
      </w:r>
      <w:r w:rsidR="00D636F4">
        <w:t>2</w:t>
      </w:r>
      <w:r w:rsidR="00485BFA">
        <w:t>1</w:t>
      </w:r>
      <w:r w:rsidRPr="00DF37B2">
        <w:t>, le taux de satisfaction globale au titre de l’année 201</w:t>
      </w:r>
      <w:r w:rsidR="00D636F4">
        <w:t>9</w:t>
      </w:r>
      <w:r w:rsidRPr="00DF37B2">
        <w:t xml:space="preserve"> est de 8</w:t>
      </w:r>
      <w:r w:rsidR="00485BFA">
        <w:t>4</w:t>
      </w:r>
      <w:r w:rsidRPr="00DF37B2">
        <w:t>% permettant de verser un intéressement à hauteur de 1,</w:t>
      </w:r>
      <w:r w:rsidR="00485BFA">
        <w:t>50</w:t>
      </w:r>
      <w:r w:rsidRPr="00DF37B2">
        <w:t>% du salaire brut de 20</w:t>
      </w:r>
      <w:r w:rsidR="00485BFA">
        <w:t>20</w:t>
      </w:r>
      <w:r>
        <w:t>.</w:t>
      </w:r>
    </w:p>
    <w:p w:rsidP="00A66663" w:rsidR="007149D1" w:rsidRDefault="007149D1">
      <w:pPr>
        <w:pStyle w:val="Sansinterligne"/>
      </w:pPr>
    </w:p>
    <w:p w:rsidP="00A66663" w:rsidR="00A66663" w:rsidRDefault="00A66663">
      <w:pPr>
        <w:pStyle w:val="Sansinterligne"/>
      </w:pPr>
      <w:r>
        <w:t xml:space="preserve">Les collaborateurs ont la possibilité de placer tout ou partie du montant de l’intéressement sur un </w:t>
      </w:r>
      <w:r w:rsidR="0007142B">
        <w:t>Plan d’épargne entreprise (PEE)</w:t>
      </w:r>
      <w:r>
        <w:t xml:space="preserve"> ou un </w:t>
      </w:r>
      <w:r w:rsidR="0007142B">
        <w:t xml:space="preserve">Plan d’épargne retraite </w:t>
      </w:r>
      <w:r w:rsidR="001A7788">
        <w:t>entreprise collectif</w:t>
      </w:r>
      <w:r w:rsidR="0007142B">
        <w:t xml:space="preserve"> (PER</w:t>
      </w:r>
      <w:r w:rsidR="001A7788">
        <w:t>E</w:t>
      </w:r>
      <w:r w:rsidR="0007142B">
        <w:t>CO)</w:t>
      </w:r>
      <w:r>
        <w:t>, avec plusieurs choix de placement.</w:t>
      </w:r>
    </w:p>
    <w:p w:rsidP="00A66663" w:rsidR="007149D1" w:rsidRDefault="007149D1">
      <w:pPr>
        <w:pStyle w:val="Sansinterligne"/>
      </w:pPr>
    </w:p>
    <w:p w:rsidP="00485BFA" w:rsidR="00485BFA" w:rsidRDefault="00485BFA" w:rsidRPr="00485BFA">
      <w:pPr>
        <w:jc w:val="both"/>
      </w:pPr>
      <w:r w:rsidRPr="00485BFA">
        <w:t xml:space="preserve">Par ailleurs, un nouvel accord sur un supplément d’intéressement permettant de valoriser les collaborateurs ayant totalisé peu d’absence a été signé fin décembre 2021. </w:t>
      </w:r>
      <w:r>
        <w:t xml:space="preserve">Cet accord prévoit non seulement une revalorisation du montant alloué </w:t>
      </w:r>
      <w:r w:rsidR="00E639BE">
        <w:t xml:space="preserve">mais également </w:t>
      </w:r>
      <w:r>
        <w:t>des fourchettes d’absences plus large</w:t>
      </w:r>
      <w:r w:rsidR="00E639BE">
        <w:t>s.</w:t>
      </w:r>
    </w:p>
    <w:p w:rsidP="00DB530D" w:rsidR="007149D1" w:rsidRDefault="007149D1">
      <w:pPr>
        <w:spacing w:before="60"/>
        <w:jc w:val="both"/>
      </w:pPr>
    </w:p>
    <w:p w:rsidP="00DB530D" w:rsidR="00E639BE" w:rsidRDefault="00E639BE">
      <w:pPr>
        <w:spacing w:before="60"/>
        <w:jc w:val="both"/>
      </w:pPr>
    </w:p>
    <w:p w:rsidP="00DB530D" w:rsidR="00932B71" w:rsidRDefault="00820ECA" w:rsidRPr="00A66663">
      <w:pPr>
        <w:spacing w:before="60"/>
        <w:jc w:val="both"/>
        <w:rPr>
          <w:b/>
          <w:u w:val="single"/>
        </w:rPr>
      </w:pPr>
      <w:r>
        <w:rPr>
          <w:b/>
          <w:u w:val="single"/>
        </w:rPr>
        <w:t>II</w:t>
      </w:r>
      <w:r w:rsidR="00090C2B">
        <w:rPr>
          <w:b/>
          <w:u w:val="single"/>
        </w:rPr>
        <w:t xml:space="preserve"> </w:t>
      </w:r>
      <w:r w:rsidR="00A66663" w:rsidRPr="00A66663">
        <w:rPr>
          <w:b/>
          <w:u w:val="single"/>
        </w:rPr>
        <w:t>EGALITE PROFESSIONNELLE ET QUALITE DE VIE AU TRAVAIL</w:t>
      </w:r>
    </w:p>
    <w:p w:rsidP="00A66663" w:rsidR="00A66663" w:rsidRDefault="00A66663">
      <w:pPr>
        <w:spacing w:before="60"/>
        <w:jc w:val="both"/>
      </w:pPr>
    </w:p>
    <w:p w:rsidP="00A66663" w:rsidR="00A66663" w:rsidRDefault="00820ECA" w:rsidRPr="003D6957">
      <w:pPr>
        <w:spacing w:before="60"/>
        <w:jc w:val="both"/>
        <w:rPr>
          <w:b/>
          <w:u w:val="single"/>
        </w:rPr>
      </w:pPr>
      <w:r>
        <w:rPr>
          <w:b/>
          <w:u w:val="single"/>
        </w:rPr>
        <w:t>A</w:t>
      </w:r>
      <w:r w:rsidR="00A66663" w:rsidRPr="003D6957">
        <w:rPr>
          <w:b/>
          <w:u w:val="single"/>
        </w:rPr>
        <w:t xml:space="preserve"> – Egalité professionnelle</w:t>
      </w:r>
    </w:p>
    <w:p w:rsidP="009F6B0D" w:rsidR="005D0FCB" w:rsidRDefault="005D0FCB">
      <w:pPr>
        <w:pStyle w:val="Sansinterligne"/>
        <w:jc w:val="left"/>
        <w:rPr>
          <w:u w:val="single"/>
        </w:rPr>
      </w:pPr>
    </w:p>
    <w:p w:rsidP="003465EA" w:rsidR="003465EA" w:rsidRDefault="003465EA">
      <w:pPr>
        <w:jc w:val="both"/>
      </w:pPr>
      <w:r w:rsidRPr="003465EA">
        <w:t>Le 30 décembre 2020, la Fédération des OPH a signé avec les partenaires sociaux un accord sur l’égalité professionnelle, accord portant révision par voie d’avenant du chapitre IX de la Convention collective Nationale des personnels des OPH. Cet avenant est en cours d’extension.</w:t>
      </w:r>
    </w:p>
    <w:p w:rsidP="003465EA" w:rsidR="003465EA" w:rsidRDefault="003465EA">
      <w:pPr>
        <w:jc w:val="both"/>
      </w:pPr>
    </w:p>
    <w:p w:rsidP="003465EA" w:rsidR="008B3ABC" w:rsidRDefault="003465EA" w:rsidRPr="009F58A0">
      <w:pPr>
        <w:jc w:val="both"/>
      </w:pPr>
      <w:r>
        <w:t>Au niveau local, l</w:t>
      </w:r>
      <w:r w:rsidR="008B3ABC" w:rsidRPr="009F58A0">
        <w:t xml:space="preserve">’accord </w:t>
      </w:r>
      <w:r>
        <w:t xml:space="preserve">d’entreprise </w:t>
      </w:r>
      <w:r w:rsidR="008B3ABC" w:rsidRPr="009F58A0">
        <w:t xml:space="preserve">sur l’égalité professionnelle a été signé </w:t>
      </w:r>
      <w:r w:rsidR="00B0164A">
        <w:t>le 02/03/2020</w:t>
      </w:r>
      <w:r w:rsidR="008B3ABC" w:rsidRPr="009F58A0">
        <w:t xml:space="preserve"> par Colombes Habitat Public et les Organisations syndicales représentatives dotées d’un Délégué syndical.</w:t>
      </w:r>
    </w:p>
    <w:p w:rsidP="009F6B0D" w:rsidR="008B3ABC" w:rsidRDefault="008B3ABC">
      <w:pPr>
        <w:pStyle w:val="Sansinterligne"/>
        <w:jc w:val="left"/>
      </w:pPr>
    </w:p>
    <w:p w:rsidP="009F6B0D" w:rsidR="00A95F53" w:rsidRDefault="00A95F53" w:rsidRPr="009F58A0">
      <w:pPr>
        <w:pStyle w:val="Sansinterligne"/>
        <w:jc w:val="left"/>
      </w:pPr>
    </w:p>
    <w:p w:rsidP="00D53809" w:rsidR="00D53809" w:rsidRDefault="00D53809" w:rsidRPr="009F58A0">
      <w:pPr>
        <w:jc w:val="both"/>
        <w:rPr>
          <w:rFonts w:eastAsia="Times New Roman"/>
          <w:lang w:eastAsia="fr-FR"/>
        </w:rPr>
      </w:pPr>
      <w:r w:rsidRPr="009F58A0">
        <w:rPr>
          <w:rFonts w:eastAsia="Times New Roman"/>
          <w:lang w:eastAsia="fr-FR"/>
        </w:rPr>
        <w:t xml:space="preserve">Les axes prioritaires retenus concernent les sujets suivants : </w:t>
      </w:r>
    </w:p>
    <w:p w:rsidP="00D53809" w:rsidR="00D53809" w:rsidRDefault="00D53809" w:rsidRPr="009F58A0">
      <w:pPr>
        <w:numPr>
          <w:ilvl w:val="0"/>
          <w:numId w:val="31"/>
        </w:numPr>
        <w:jc w:val="both"/>
        <w:rPr>
          <w:rFonts w:eastAsia="Times New Roman"/>
          <w:lang w:eastAsia="fr-FR"/>
        </w:rPr>
      </w:pPr>
      <w:r w:rsidRPr="009F58A0">
        <w:rPr>
          <w:rFonts w:eastAsia="Times New Roman"/>
          <w:lang w:eastAsia="fr-FR"/>
        </w:rPr>
        <w:t>la réduction des écarts de rémunération constatés</w:t>
      </w:r>
    </w:p>
    <w:p w:rsidP="00D53809" w:rsidR="00D53809" w:rsidRDefault="00D53809" w:rsidRPr="009F58A0">
      <w:pPr>
        <w:numPr>
          <w:ilvl w:val="0"/>
          <w:numId w:val="31"/>
        </w:numPr>
        <w:rPr>
          <w:rFonts w:eastAsia="Times New Roman"/>
          <w:lang w:eastAsia="fr-FR"/>
        </w:rPr>
      </w:pPr>
      <w:r w:rsidRPr="009F58A0">
        <w:rPr>
          <w:rFonts w:eastAsia="Times New Roman"/>
          <w:lang w:eastAsia="fr-FR"/>
        </w:rPr>
        <w:t>les conditions d’accès à l’emploi et le développement de la mixité dans les métiers</w:t>
      </w:r>
    </w:p>
    <w:p w:rsidP="00D53809" w:rsidR="00D53809" w:rsidRDefault="00D53809" w:rsidRPr="009F58A0">
      <w:pPr>
        <w:numPr>
          <w:ilvl w:val="0"/>
          <w:numId w:val="31"/>
        </w:numPr>
        <w:rPr>
          <w:rFonts w:eastAsia="Times New Roman"/>
          <w:lang w:eastAsia="fr-FR"/>
        </w:rPr>
      </w:pPr>
      <w:r w:rsidRPr="009F58A0">
        <w:rPr>
          <w:rFonts w:eastAsia="Times New Roman"/>
          <w:lang w:eastAsia="fr-FR"/>
        </w:rPr>
        <w:t>les conditions d’accès à la formation, à la promotion professionnelle et au retour à l’emploi</w:t>
      </w:r>
    </w:p>
    <w:p w:rsidP="00D53809" w:rsidR="00D53809" w:rsidRDefault="00D53809" w:rsidRPr="009F58A0">
      <w:pPr>
        <w:numPr>
          <w:ilvl w:val="0"/>
          <w:numId w:val="31"/>
        </w:numPr>
        <w:rPr>
          <w:rFonts w:eastAsia="Times New Roman"/>
          <w:lang w:eastAsia="fr-FR"/>
        </w:rPr>
      </w:pPr>
      <w:r w:rsidRPr="009F58A0">
        <w:rPr>
          <w:rFonts w:eastAsia="Times New Roman"/>
          <w:lang w:eastAsia="fr-FR"/>
        </w:rPr>
        <w:t>Conditions d’emplois des salariés à temps partiel.</w:t>
      </w:r>
    </w:p>
    <w:p w:rsidP="009F6B0D" w:rsidR="00D53809" w:rsidRDefault="00D53809">
      <w:pPr>
        <w:pStyle w:val="Sansinterligne"/>
        <w:jc w:val="left"/>
      </w:pPr>
    </w:p>
    <w:p w:rsidP="00E639BE" w:rsidR="00E639BE" w:rsidRDefault="00E639BE" w:rsidRPr="00E639BE">
      <w:pPr>
        <w:jc w:val="both"/>
      </w:pPr>
      <w:r>
        <w:t>Par ailleurs, les entreprises sont tenues, d</w:t>
      </w:r>
      <w:r w:rsidRPr="00E639BE">
        <w:t>epuis le 1</w:t>
      </w:r>
      <w:r w:rsidRPr="00E639BE">
        <w:rPr>
          <w:vertAlign w:val="superscript"/>
        </w:rPr>
        <w:t>er</w:t>
      </w:r>
      <w:r>
        <w:t xml:space="preserve"> mars 2020, </w:t>
      </w:r>
      <w:r w:rsidRPr="00E639BE">
        <w:t>de publier sur le site du ministère du travail leur index en matière d’égalité professionnelle. Cet index permet d’évaluer sur 100 points le niveau d’égalité entre les femmes et les hommes en s’appuyant, pour les entreprises de moins de 250 salariés, sur les critères mentionnés dans le tableau ci-dessous.</w:t>
      </w:r>
    </w:p>
    <w:p w:rsidP="00E639BE" w:rsidR="00E639BE" w:rsidRDefault="00E639BE" w:rsidRPr="00E639BE">
      <w:pPr>
        <w:jc w:val="both"/>
      </w:pPr>
    </w:p>
    <w:p w:rsidP="00E639BE" w:rsidR="00E639BE" w:rsidRDefault="00E639BE" w:rsidRPr="00E639BE">
      <w:pPr>
        <w:jc w:val="both"/>
      </w:pPr>
      <w:r w:rsidRPr="00E639BE">
        <w:t>L’index Egalité Hommes Femmes établi au titre de l’année 202</w:t>
      </w:r>
      <w:r>
        <w:t>1</w:t>
      </w:r>
      <w:r w:rsidRPr="00E639BE">
        <w:t xml:space="preserve"> a porté sur un effectif de 15</w:t>
      </w:r>
      <w:r>
        <w:t>7</w:t>
      </w:r>
      <w:r w:rsidRPr="00E639BE">
        <w:t xml:space="preserve"> </w:t>
      </w:r>
      <w:r>
        <w:t>salariés</w:t>
      </w:r>
      <w:r w:rsidRPr="00E639BE">
        <w:t xml:space="preserve"> de droit privé ; les </w:t>
      </w:r>
      <w:r>
        <w:t xml:space="preserve">salariés </w:t>
      </w:r>
      <w:r w:rsidRPr="00E639BE">
        <w:t>ayant plus de 6 m</w:t>
      </w:r>
      <w:r>
        <w:t>ois d’absence ne sont pas pris</w:t>
      </w:r>
      <w:r w:rsidRPr="00E639BE">
        <w:t xml:space="preserve"> en compte.</w:t>
      </w:r>
    </w:p>
    <w:p w:rsidP="00E639BE" w:rsidR="00E639BE" w:rsidRDefault="00E639BE" w:rsidRPr="00E639BE">
      <w:pPr>
        <w:jc w:val="both"/>
      </w:pPr>
    </w:p>
    <w:tbl>
      <w:tblPr>
        <w:tblStyle w:val="Grilledutableau4"/>
        <w:tblW w:type="auto" w:w="0"/>
        <w:tblLook w:firstColumn="1" w:firstRow="1" w:lastColumn="0" w:lastRow="0" w:noHBand="0" w:noVBand="1" w:val="04A0"/>
      </w:tblPr>
      <w:tblGrid>
        <w:gridCol w:w="4388"/>
        <w:gridCol w:w="1927"/>
        <w:gridCol w:w="2971"/>
      </w:tblGrid>
      <w:tr w:rsidR="00E639BE" w:rsidRPr="00E639BE" w:rsidTr="00E639BE">
        <w:tc>
          <w:tcPr>
            <w:tcW w:type="dxa" w:w="4388"/>
          </w:tcPr>
          <w:p w:rsidP="00E639BE" w:rsidR="00E639BE" w:rsidRDefault="00E639BE" w:rsidRPr="00E639BE">
            <w:pPr>
              <w:rPr>
                <w:rFonts w:ascii="Arial" w:cs="Arial" w:hAnsi="Arial"/>
                <w:sz w:val="22"/>
                <w:szCs w:val="22"/>
              </w:rPr>
            </w:pPr>
          </w:p>
        </w:tc>
        <w:tc>
          <w:tcPr>
            <w:tcW w:type="dxa" w:w="1927"/>
          </w:tcPr>
          <w:p w:rsidP="00E639BE" w:rsidR="00E639BE" w:rsidRDefault="00E639BE" w:rsidRPr="00E639BE">
            <w:pPr>
              <w:rPr>
                <w:rFonts w:ascii="Arial" w:cs="Arial" w:hAnsi="Arial"/>
                <w:sz w:val="22"/>
                <w:szCs w:val="22"/>
              </w:rPr>
            </w:pPr>
            <w:r w:rsidRPr="00E639BE">
              <w:rPr>
                <w:rFonts w:ascii="Arial" w:cs="Arial" w:hAnsi="Arial"/>
                <w:sz w:val="22"/>
                <w:szCs w:val="22"/>
              </w:rPr>
              <w:t>Points obtenus</w:t>
            </w:r>
          </w:p>
        </w:tc>
        <w:tc>
          <w:tcPr>
            <w:tcW w:type="dxa" w:w="2971"/>
          </w:tcPr>
          <w:p w:rsidP="00E639BE" w:rsidR="00E639BE" w:rsidRDefault="00E639BE" w:rsidRPr="00E639BE">
            <w:pPr>
              <w:rPr>
                <w:rFonts w:ascii="Arial" w:cs="Arial" w:hAnsi="Arial"/>
                <w:sz w:val="22"/>
                <w:szCs w:val="22"/>
              </w:rPr>
            </w:pPr>
            <w:r w:rsidRPr="00E639BE">
              <w:rPr>
                <w:rFonts w:ascii="Arial" w:cs="Arial" w:hAnsi="Arial"/>
                <w:sz w:val="22"/>
                <w:szCs w:val="22"/>
              </w:rPr>
              <w:t>Nombre de points maximum de l’indicateur</w:t>
            </w:r>
          </w:p>
        </w:tc>
      </w:tr>
      <w:tr w:rsidR="00E639BE" w:rsidRPr="00E639BE" w:rsidTr="00E639BE">
        <w:trPr>
          <w:trHeight w:val="461"/>
        </w:trPr>
        <w:tc>
          <w:tcPr>
            <w:tcW w:type="dxa" w:w="4388"/>
            <w:vAlign w:val="center"/>
          </w:tcPr>
          <w:p w:rsidP="00E639BE" w:rsidR="00E639BE" w:rsidRDefault="00E639BE" w:rsidRPr="00E639BE">
            <w:pPr>
              <w:rPr>
                <w:rFonts w:ascii="Arial" w:cs="Arial" w:hAnsi="Arial"/>
                <w:sz w:val="22"/>
                <w:szCs w:val="22"/>
              </w:rPr>
            </w:pPr>
            <w:r w:rsidRPr="00E639BE">
              <w:rPr>
                <w:rFonts w:ascii="Arial" w:cs="Arial" w:hAnsi="Arial"/>
                <w:sz w:val="22"/>
                <w:szCs w:val="22"/>
              </w:rPr>
              <w:t>Ecart de rémunération</w:t>
            </w:r>
          </w:p>
        </w:tc>
        <w:tc>
          <w:tcPr>
            <w:tcW w:type="dxa" w:w="1927"/>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39</w:t>
            </w:r>
          </w:p>
        </w:tc>
        <w:tc>
          <w:tcPr>
            <w:tcW w:type="dxa" w:w="2971"/>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40</w:t>
            </w:r>
          </w:p>
        </w:tc>
      </w:tr>
      <w:tr w:rsidR="00E639BE" w:rsidRPr="00E639BE" w:rsidTr="00E639BE">
        <w:trPr>
          <w:trHeight w:val="409"/>
        </w:trPr>
        <w:tc>
          <w:tcPr>
            <w:tcW w:type="dxa" w:w="4388"/>
            <w:vAlign w:val="center"/>
          </w:tcPr>
          <w:p w:rsidP="00E639BE" w:rsidR="00E639BE" w:rsidRDefault="00E639BE" w:rsidRPr="00E639BE">
            <w:pPr>
              <w:rPr>
                <w:rFonts w:ascii="Arial" w:cs="Arial" w:hAnsi="Arial"/>
                <w:sz w:val="22"/>
                <w:szCs w:val="22"/>
              </w:rPr>
            </w:pPr>
            <w:r w:rsidRPr="00E639BE">
              <w:rPr>
                <w:rFonts w:ascii="Arial" w:cs="Arial" w:hAnsi="Arial"/>
                <w:sz w:val="22"/>
                <w:szCs w:val="22"/>
              </w:rPr>
              <w:t>Ecart d’augmentation individuelle</w:t>
            </w:r>
          </w:p>
        </w:tc>
        <w:tc>
          <w:tcPr>
            <w:tcW w:type="dxa" w:w="1927"/>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25</w:t>
            </w:r>
          </w:p>
        </w:tc>
        <w:tc>
          <w:tcPr>
            <w:tcW w:type="dxa" w:w="2971"/>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35</w:t>
            </w:r>
          </w:p>
        </w:tc>
      </w:tr>
      <w:tr w:rsidR="00E639BE" w:rsidRPr="00E639BE" w:rsidTr="00E639BE">
        <w:tc>
          <w:tcPr>
            <w:tcW w:type="dxa" w:w="4388"/>
            <w:vAlign w:val="center"/>
          </w:tcPr>
          <w:p w:rsidP="00E639BE" w:rsidR="00E639BE" w:rsidRDefault="00E639BE" w:rsidRPr="00E639BE">
            <w:pPr>
              <w:rPr>
                <w:rFonts w:ascii="Arial" w:cs="Arial" w:hAnsi="Arial"/>
                <w:sz w:val="22"/>
                <w:szCs w:val="22"/>
              </w:rPr>
            </w:pPr>
            <w:r w:rsidRPr="00E639BE">
              <w:rPr>
                <w:rFonts w:ascii="Arial" w:cs="Arial" w:hAnsi="Arial"/>
                <w:sz w:val="22"/>
                <w:szCs w:val="22"/>
              </w:rPr>
              <w:t>Pourcentage de salariés augmentés au retour d’un congé maternité</w:t>
            </w:r>
          </w:p>
        </w:tc>
        <w:tc>
          <w:tcPr>
            <w:tcW w:type="dxa" w:w="1927"/>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15</w:t>
            </w:r>
          </w:p>
        </w:tc>
        <w:tc>
          <w:tcPr>
            <w:tcW w:type="dxa" w:w="2971"/>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15</w:t>
            </w:r>
          </w:p>
        </w:tc>
      </w:tr>
      <w:tr w:rsidR="00E639BE" w:rsidRPr="00E639BE" w:rsidTr="00E639BE">
        <w:trPr>
          <w:trHeight w:val="609"/>
        </w:trPr>
        <w:tc>
          <w:tcPr>
            <w:tcW w:type="dxa" w:w="4388"/>
            <w:vAlign w:val="center"/>
          </w:tcPr>
          <w:p w:rsidP="00E639BE" w:rsidR="00E639BE" w:rsidRDefault="00E639BE" w:rsidRPr="00E639BE">
            <w:pPr>
              <w:rPr>
                <w:rFonts w:ascii="Arial" w:cs="Arial" w:hAnsi="Arial"/>
                <w:sz w:val="22"/>
                <w:szCs w:val="22"/>
              </w:rPr>
            </w:pPr>
            <w:r w:rsidRPr="00E639BE">
              <w:rPr>
                <w:rFonts w:ascii="Arial" w:cs="Arial" w:hAnsi="Arial"/>
                <w:sz w:val="22"/>
                <w:szCs w:val="22"/>
              </w:rPr>
              <w:t>Nombre de salariés du sexe sous-représenté parmi les 10 plus hautes rémunérations</w:t>
            </w:r>
          </w:p>
        </w:tc>
        <w:tc>
          <w:tcPr>
            <w:tcW w:type="dxa" w:w="1927"/>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10</w:t>
            </w:r>
          </w:p>
        </w:tc>
        <w:tc>
          <w:tcPr>
            <w:tcW w:type="dxa" w:w="2971"/>
            <w:vAlign w:val="center"/>
          </w:tcPr>
          <w:p w:rsidP="00E639BE" w:rsidR="00E639BE" w:rsidRDefault="00E639BE" w:rsidRPr="00E639BE">
            <w:pPr>
              <w:jc w:val="center"/>
              <w:rPr>
                <w:rFonts w:ascii="Arial" w:cs="Arial" w:hAnsi="Arial"/>
                <w:sz w:val="22"/>
                <w:szCs w:val="22"/>
              </w:rPr>
            </w:pPr>
            <w:r w:rsidRPr="00E639BE">
              <w:rPr>
                <w:rFonts w:ascii="Arial" w:cs="Arial" w:hAnsi="Arial"/>
                <w:sz w:val="22"/>
                <w:szCs w:val="22"/>
              </w:rPr>
              <w:t>10</w:t>
            </w:r>
          </w:p>
        </w:tc>
      </w:tr>
      <w:tr w:rsidR="00E639BE" w:rsidRPr="00E639BE" w:rsidTr="00E639BE">
        <w:trPr>
          <w:trHeight w:val="419"/>
        </w:trPr>
        <w:tc>
          <w:tcPr>
            <w:tcW w:type="dxa" w:w="4388"/>
            <w:vAlign w:val="center"/>
          </w:tcPr>
          <w:p w:rsidP="00E639BE" w:rsidR="00E639BE" w:rsidRDefault="00E639BE" w:rsidRPr="00E639BE">
            <w:pPr>
              <w:rPr>
                <w:rFonts w:ascii="Arial" w:cs="Arial" w:hAnsi="Arial"/>
                <w:b/>
                <w:sz w:val="22"/>
                <w:szCs w:val="22"/>
              </w:rPr>
            </w:pPr>
            <w:r w:rsidRPr="00E639BE">
              <w:rPr>
                <w:rFonts w:ascii="Arial" w:cs="Arial" w:hAnsi="Arial"/>
                <w:b/>
                <w:sz w:val="22"/>
                <w:szCs w:val="22"/>
              </w:rPr>
              <w:t>Index sur 100 points année 2020</w:t>
            </w:r>
          </w:p>
        </w:tc>
        <w:tc>
          <w:tcPr>
            <w:tcW w:type="dxa" w:w="1927"/>
            <w:vAlign w:val="center"/>
          </w:tcPr>
          <w:p w:rsidP="00E639BE" w:rsidR="00E639BE" w:rsidRDefault="00E639BE" w:rsidRPr="00E639BE">
            <w:pPr>
              <w:jc w:val="center"/>
              <w:rPr>
                <w:rFonts w:ascii="Arial" w:cs="Arial" w:hAnsi="Arial"/>
                <w:b/>
                <w:sz w:val="22"/>
                <w:szCs w:val="22"/>
              </w:rPr>
            </w:pPr>
            <w:r w:rsidRPr="00E639BE">
              <w:rPr>
                <w:rFonts w:ascii="Arial" w:cs="Arial" w:hAnsi="Arial"/>
                <w:b/>
                <w:sz w:val="22"/>
                <w:szCs w:val="22"/>
              </w:rPr>
              <w:t>89</w:t>
            </w:r>
          </w:p>
        </w:tc>
        <w:tc>
          <w:tcPr>
            <w:tcW w:type="dxa" w:w="2971"/>
            <w:vAlign w:val="center"/>
          </w:tcPr>
          <w:p w:rsidP="00E639BE" w:rsidR="00E639BE" w:rsidRDefault="00E639BE" w:rsidRPr="00E639BE">
            <w:pPr>
              <w:jc w:val="center"/>
              <w:rPr>
                <w:rFonts w:ascii="Arial" w:cs="Arial" w:hAnsi="Arial"/>
                <w:b/>
                <w:sz w:val="22"/>
                <w:szCs w:val="22"/>
              </w:rPr>
            </w:pPr>
            <w:r w:rsidRPr="00E639BE">
              <w:rPr>
                <w:rFonts w:ascii="Arial" w:cs="Arial" w:hAnsi="Arial"/>
                <w:b/>
                <w:sz w:val="22"/>
                <w:szCs w:val="22"/>
              </w:rPr>
              <w:t>100</w:t>
            </w:r>
          </w:p>
        </w:tc>
      </w:tr>
    </w:tbl>
    <w:p w:rsidP="00E639BE" w:rsidR="00A95F53" w:rsidRDefault="00A95F53">
      <w:pPr>
        <w:jc w:val="both"/>
      </w:pPr>
    </w:p>
    <w:p w:rsidP="00E639BE" w:rsidR="00E639BE" w:rsidRDefault="00E639BE" w:rsidRPr="00E639BE">
      <w:pPr>
        <w:jc w:val="both"/>
      </w:pPr>
      <w:r w:rsidRPr="00E639BE">
        <w:t>Des mesures correctives sont à apporter si l’index est inférieur à 75.</w:t>
      </w:r>
    </w:p>
    <w:p w:rsidP="00E639BE" w:rsidR="00E639BE" w:rsidRDefault="00E639BE" w:rsidRPr="00E639BE">
      <w:pPr>
        <w:jc w:val="both"/>
      </w:pPr>
    </w:p>
    <w:p w:rsidP="00F12DEE" w:rsidR="00561B88" w:rsidRDefault="00561B88">
      <w:pPr>
        <w:pStyle w:val="Sansinterligne"/>
        <w:jc w:val="left"/>
      </w:pPr>
    </w:p>
    <w:p w:rsidP="00F12DEE" w:rsidR="00570856" w:rsidRDefault="00561B88">
      <w:pPr>
        <w:pStyle w:val="Sansinterligne"/>
        <w:jc w:val="left"/>
      </w:pPr>
      <w:r>
        <w:t>Le</w:t>
      </w:r>
      <w:r w:rsidR="00D53809">
        <w:t xml:space="preserve"> comparatif </w:t>
      </w:r>
      <w:r w:rsidR="00F12DEE">
        <w:t xml:space="preserve">effectué </w:t>
      </w:r>
      <w:r w:rsidR="00D53809">
        <w:t xml:space="preserve">entre </w:t>
      </w:r>
      <w:r w:rsidR="00C0645A">
        <w:t>le 28/02 et le 31/12/2021</w:t>
      </w:r>
      <w:r w:rsidR="00D53809">
        <w:t xml:space="preserve"> </w:t>
      </w:r>
      <w:r w:rsidR="00F12DEE">
        <w:t>donnent les indications ci-après.</w:t>
      </w:r>
    </w:p>
    <w:p w:rsidP="00570856" w:rsidR="00570856" w:rsidRDefault="00570856">
      <w:pPr>
        <w:pStyle w:val="Sansinterligne"/>
        <w:jc w:val="left"/>
      </w:pPr>
    </w:p>
    <w:p w:rsidP="00E8376D" w:rsidR="003D6957" w:rsidRDefault="003D6957" w:rsidRPr="003D6957">
      <w:pPr>
        <w:pStyle w:val="Sansinterligne"/>
        <w:numPr>
          <w:ilvl w:val="0"/>
          <w:numId w:val="41"/>
        </w:numPr>
        <w:ind w:hanging="426" w:left="426"/>
        <w:jc w:val="left"/>
        <w:rPr>
          <w:u w:val="single"/>
        </w:rPr>
      </w:pPr>
      <w:r w:rsidRPr="00DA75D7">
        <w:rPr>
          <w:u w:val="single"/>
        </w:rPr>
        <w:t>Effectifs :</w:t>
      </w:r>
      <w:r w:rsidRPr="003D6957">
        <w:rPr>
          <w:u w:val="single"/>
        </w:rPr>
        <w:t xml:space="preserve"> </w:t>
      </w:r>
    </w:p>
    <w:p w:rsidP="0005718F" w:rsidR="0005718F" w:rsidRDefault="0005718F">
      <w:pPr>
        <w:spacing w:before="60"/>
        <w:jc w:val="both"/>
      </w:pPr>
    </w:p>
    <w:p w:rsidP="00E8376D" w:rsidR="00C0645A" w:rsidRDefault="00C0645A" w:rsidRPr="00C0645A">
      <w:pPr>
        <w:tabs>
          <w:tab w:pos="0" w:val="left"/>
        </w:tabs>
        <w:jc w:val="both"/>
      </w:pPr>
      <w:r w:rsidRPr="00C0645A">
        <w:t>L’effectif global (CDI et CDD) au 31/12/2021, avec 4 unités (1 femme et 3 hommes) de plus qu’en février 2021 (185 au 31/12/2021 contre 181 au 28/02/2021) fait ressortir un nombre de femmes supérieur de 13 unités, au lieu de 23 au 28/02/2021. Le pourcentage des femmes est de 54% et reste supérieur de 8% à celui des hommes (12% au 28/02/2021).</w:t>
      </w:r>
    </w:p>
    <w:p w:rsidP="00E8376D" w:rsidR="00C0645A" w:rsidRDefault="00C0645A" w:rsidRPr="00C0645A">
      <w:pPr>
        <w:tabs>
          <w:tab w:pos="0" w:val="left"/>
        </w:tabs>
        <w:jc w:val="both"/>
      </w:pPr>
    </w:p>
    <w:p w:rsidP="00E8376D" w:rsidR="00C97DA0" w:rsidRDefault="00C0645A">
      <w:pPr>
        <w:tabs>
          <w:tab w:pos="0" w:val="left"/>
        </w:tabs>
        <w:jc w:val="both"/>
      </w:pPr>
      <w:r>
        <w:t>I</w:t>
      </w:r>
      <w:r w:rsidRPr="00C0645A">
        <w:t>l s’agit d’une photographie au 31/12/2021</w:t>
      </w:r>
      <w:r>
        <w:t>.</w:t>
      </w:r>
    </w:p>
    <w:p w:rsidP="00E8376D" w:rsidR="00E55A8B" w:rsidRDefault="00E55A8B">
      <w:pPr>
        <w:tabs>
          <w:tab w:pos="0" w:val="left"/>
        </w:tabs>
        <w:jc w:val="both"/>
      </w:pPr>
    </w:p>
    <w:p w:rsidP="00E8376D" w:rsidR="00C0645A" w:rsidRDefault="00C0645A">
      <w:pPr>
        <w:tabs>
          <w:tab w:pos="0" w:val="left"/>
        </w:tabs>
        <w:jc w:val="both"/>
      </w:pPr>
      <w:r>
        <w:t xml:space="preserve">L’écart F/H reste à 12 % en faveur des femmes en ce qui concerne les CDI, écart ramené à 8% </w:t>
      </w:r>
      <w:r w:rsidR="003D6D64">
        <w:t>quand il est fait masse des CDI et CDD</w:t>
      </w:r>
      <w:r>
        <w:t>.</w:t>
      </w:r>
    </w:p>
    <w:p w:rsidP="00E8376D" w:rsidR="00E55A8B" w:rsidRDefault="00E55A8B">
      <w:pPr>
        <w:tabs>
          <w:tab w:pos="0" w:val="left"/>
        </w:tabs>
        <w:jc w:val="both"/>
      </w:pPr>
    </w:p>
    <w:p w:rsidP="00E8376D" w:rsidR="00E8376D" w:rsidRDefault="00E8376D">
      <w:pPr>
        <w:tabs>
          <w:tab w:pos="0" w:val="left"/>
        </w:tabs>
        <w:jc w:val="both"/>
      </w:pPr>
    </w:p>
    <w:p w:rsidP="00E8376D" w:rsidR="00570856" w:rsidRDefault="00570856" w:rsidRPr="00820ECA">
      <w:pPr>
        <w:pStyle w:val="Paragraphedeliste"/>
        <w:numPr>
          <w:ilvl w:val="0"/>
          <w:numId w:val="41"/>
        </w:numPr>
        <w:tabs>
          <w:tab w:pos="426" w:val="left"/>
        </w:tabs>
        <w:ind w:hanging="720"/>
        <w:jc w:val="both"/>
        <w:rPr>
          <w:u w:val="single"/>
        </w:rPr>
      </w:pPr>
      <w:r w:rsidRPr="00820ECA">
        <w:rPr>
          <w:u w:val="single"/>
        </w:rPr>
        <w:t>Type de contrat :</w:t>
      </w:r>
    </w:p>
    <w:p w:rsidP="00391408" w:rsidR="00570856" w:rsidRDefault="00570856">
      <w:pPr>
        <w:tabs>
          <w:tab w:pos="426" w:val="left"/>
        </w:tabs>
        <w:jc w:val="both"/>
      </w:pPr>
    </w:p>
    <w:p w:rsidP="00E8376D" w:rsidR="00C0645A" w:rsidRDefault="00C0645A">
      <w:r w:rsidRPr="00C0645A">
        <w:t>Il est à noter une diminution de 3 unités dans les effectifs CDI (2 femmes 1 hommes) et une augmentation dans le recours aux CDD liée aux nécessités de remplacement de collaborateurs absents ou pour des accroissements temporaires d’activité.</w:t>
      </w:r>
    </w:p>
    <w:p w:rsidP="00E8376D" w:rsidR="00C0645A" w:rsidRDefault="00C0645A">
      <w:pPr>
        <w:tabs>
          <w:tab w:pos="426" w:val="left"/>
        </w:tabs>
        <w:jc w:val="both"/>
      </w:pPr>
    </w:p>
    <w:p w:rsidP="00E8376D" w:rsidR="00C0645A" w:rsidRDefault="00C0645A">
      <w:pPr>
        <w:tabs>
          <w:tab w:pos="426" w:val="left"/>
        </w:tabs>
        <w:jc w:val="both"/>
      </w:pPr>
    </w:p>
    <w:p w:rsidP="00E8376D" w:rsidR="00A95F53" w:rsidRDefault="00A95F53" w:rsidRPr="00391408">
      <w:pPr>
        <w:tabs>
          <w:tab w:pos="426" w:val="left"/>
        </w:tabs>
        <w:jc w:val="both"/>
      </w:pPr>
    </w:p>
    <w:p w:rsidP="00E8376D" w:rsidR="00570856" w:rsidRDefault="00570856" w:rsidRPr="00820ECA">
      <w:pPr>
        <w:pStyle w:val="Paragraphedeliste"/>
        <w:numPr>
          <w:ilvl w:val="0"/>
          <w:numId w:val="41"/>
        </w:numPr>
        <w:tabs>
          <w:tab w:pos="426" w:val="left"/>
        </w:tabs>
        <w:ind w:hanging="720"/>
        <w:jc w:val="both"/>
        <w:rPr>
          <w:u w:val="single"/>
        </w:rPr>
      </w:pPr>
      <w:r w:rsidRPr="00820ECA">
        <w:rPr>
          <w:u w:val="single"/>
        </w:rPr>
        <w:t>Catégories socio professionnelles :</w:t>
      </w:r>
    </w:p>
    <w:p w:rsidP="00391408" w:rsidR="00570856" w:rsidRDefault="00570856">
      <w:pPr>
        <w:tabs>
          <w:tab w:pos="426" w:val="left"/>
        </w:tabs>
        <w:jc w:val="both"/>
      </w:pPr>
    </w:p>
    <w:p w:rsidP="00E8376D" w:rsidR="00570856" w:rsidRDefault="00570856">
      <w:pPr>
        <w:pStyle w:val="Paragraphedeliste"/>
        <w:numPr>
          <w:ilvl w:val="0"/>
          <w:numId w:val="17"/>
        </w:numPr>
        <w:tabs>
          <w:tab w:pos="426" w:val="left"/>
        </w:tabs>
        <w:ind w:firstLine="0" w:left="0"/>
        <w:jc w:val="both"/>
      </w:pPr>
      <w:r>
        <w:t xml:space="preserve">Employés </w:t>
      </w:r>
      <w:r w:rsidR="00263AEC">
        <w:t xml:space="preserve">/ Ouvriers  / Gardiens :  </w:t>
      </w:r>
      <w:r w:rsidR="00E8376D">
        <w:t xml:space="preserve">     </w:t>
      </w:r>
      <w:r w:rsidR="00263AEC">
        <w:t xml:space="preserve"> </w:t>
      </w:r>
      <w:r w:rsidR="003D6D64">
        <w:t>49</w:t>
      </w:r>
      <w:r w:rsidR="00263AEC">
        <w:t xml:space="preserve">% de femmes – </w:t>
      </w:r>
      <w:r w:rsidR="003D6D64">
        <w:t>51</w:t>
      </w:r>
      <w:r w:rsidR="00263AEC">
        <w:t>% d’hommes</w:t>
      </w:r>
    </w:p>
    <w:p w:rsidP="00E8376D" w:rsidR="00263AEC" w:rsidRDefault="00263AEC">
      <w:pPr>
        <w:pStyle w:val="Paragraphedeliste"/>
        <w:numPr>
          <w:ilvl w:val="0"/>
          <w:numId w:val="17"/>
        </w:numPr>
        <w:tabs>
          <w:tab w:pos="426" w:val="left"/>
        </w:tabs>
        <w:ind w:firstLine="0" w:left="0"/>
        <w:jc w:val="both"/>
      </w:pPr>
      <w:r>
        <w:t xml:space="preserve">Agents de maîtrise / Techniciens : </w:t>
      </w:r>
      <w:r w:rsidR="00E8376D">
        <w:t xml:space="preserve">     </w:t>
      </w:r>
      <w:r>
        <w:t xml:space="preserve"> </w:t>
      </w:r>
      <w:r w:rsidR="00A64CA2">
        <w:t>7</w:t>
      </w:r>
      <w:r w:rsidR="003D6D64">
        <w:t>5</w:t>
      </w:r>
      <w:r>
        <w:t xml:space="preserve">% de femmes – </w:t>
      </w:r>
      <w:r w:rsidR="003D6D64">
        <w:t>25</w:t>
      </w:r>
      <w:r>
        <w:t>% d’hommes</w:t>
      </w:r>
    </w:p>
    <w:p w:rsidP="00E8376D" w:rsidR="00263AEC" w:rsidRDefault="00263AEC">
      <w:pPr>
        <w:pStyle w:val="Paragraphedeliste"/>
        <w:numPr>
          <w:ilvl w:val="0"/>
          <w:numId w:val="17"/>
        </w:numPr>
        <w:tabs>
          <w:tab w:pos="426" w:val="left"/>
        </w:tabs>
        <w:ind w:firstLine="0" w:left="0"/>
        <w:jc w:val="both"/>
      </w:pPr>
      <w:r>
        <w:t>Cadres :</w:t>
      </w:r>
      <w:r>
        <w:tab/>
      </w:r>
      <w:r>
        <w:tab/>
      </w:r>
      <w:r>
        <w:tab/>
      </w:r>
      <w:r w:rsidR="00E8376D">
        <w:tab/>
      </w:r>
      <w:r>
        <w:t xml:space="preserve">          </w:t>
      </w:r>
      <w:r w:rsidR="003D6D64">
        <w:t xml:space="preserve"> </w:t>
      </w:r>
      <w:r w:rsidR="00A64CA2">
        <w:t>42</w:t>
      </w:r>
      <w:r>
        <w:t xml:space="preserve">% de femmes – </w:t>
      </w:r>
      <w:r w:rsidR="00A64CA2">
        <w:t>58</w:t>
      </w:r>
      <w:r>
        <w:t>% d’hommes</w:t>
      </w:r>
    </w:p>
    <w:p w:rsidP="00E8376D" w:rsidR="00263AEC" w:rsidRDefault="00263AEC">
      <w:pPr>
        <w:pStyle w:val="Paragraphedeliste"/>
        <w:numPr>
          <w:ilvl w:val="0"/>
          <w:numId w:val="17"/>
        </w:numPr>
        <w:tabs>
          <w:tab w:pos="426" w:val="left"/>
        </w:tabs>
        <w:ind w:firstLine="0" w:left="0"/>
        <w:jc w:val="both"/>
      </w:pPr>
      <w:r>
        <w:t>Cadres dirigeants :</w:t>
      </w:r>
      <w:r>
        <w:tab/>
      </w:r>
      <w:r>
        <w:tab/>
        <w:t xml:space="preserve">         </w:t>
      </w:r>
      <w:r w:rsidR="003D6D64">
        <w:t xml:space="preserve"> </w:t>
      </w:r>
      <w:r>
        <w:t xml:space="preserve"> </w:t>
      </w:r>
      <w:r w:rsidR="00A64CA2">
        <w:t>43</w:t>
      </w:r>
      <w:r>
        <w:t xml:space="preserve">% de femmes – </w:t>
      </w:r>
      <w:r w:rsidR="00A64CA2">
        <w:t>57</w:t>
      </w:r>
      <w:r>
        <w:t>% d’hommes</w:t>
      </w:r>
    </w:p>
    <w:p w:rsidP="00263AEC" w:rsidR="00263AEC" w:rsidRDefault="00263AEC">
      <w:pPr>
        <w:tabs>
          <w:tab w:pos="426" w:val="left"/>
        </w:tabs>
        <w:jc w:val="both"/>
      </w:pPr>
    </w:p>
    <w:p w:rsidP="00263AEC" w:rsidR="00E8376D" w:rsidRDefault="00E8376D">
      <w:pPr>
        <w:tabs>
          <w:tab w:pos="426" w:val="left"/>
        </w:tabs>
        <w:jc w:val="both"/>
      </w:pPr>
    </w:p>
    <w:p w:rsidP="00E8376D" w:rsidR="00A64CA2" w:rsidRDefault="00A64CA2" w:rsidRPr="00820ECA">
      <w:pPr>
        <w:pStyle w:val="Paragraphedeliste"/>
        <w:numPr>
          <w:ilvl w:val="0"/>
          <w:numId w:val="41"/>
        </w:numPr>
        <w:tabs>
          <w:tab w:pos="426" w:val="left"/>
        </w:tabs>
        <w:ind w:hanging="720"/>
        <w:jc w:val="both"/>
        <w:rPr>
          <w:u w:val="single"/>
        </w:rPr>
      </w:pPr>
      <w:r w:rsidRPr="00820ECA">
        <w:rPr>
          <w:u w:val="single"/>
        </w:rPr>
        <w:t>Filière métier</w:t>
      </w:r>
    </w:p>
    <w:p w:rsidP="00263AEC" w:rsidR="00A64CA2" w:rsidRDefault="00A64CA2">
      <w:pPr>
        <w:tabs>
          <w:tab w:pos="426" w:val="left"/>
        </w:tabs>
        <w:jc w:val="both"/>
      </w:pPr>
    </w:p>
    <w:p w:rsidP="00E8376D" w:rsidR="00A64CA2" w:rsidRDefault="00A64CA2" w:rsidRPr="00A64CA2">
      <w:pPr>
        <w:numPr>
          <w:ilvl w:val="0"/>
          <w:numId w:val="19"/>
        </w:numPr>
        <w:spacing w:after="200"/>
        <w:ind w:hanging="284" w:left="284"/>
        <w:jc w:val="both"/>
      </w:pPr>
      <w:r w:rsidRPr="00A64CA2">
        <w:t xml:space="preserve">Gardiens : </w:t>
      </w:r>
      <w:r w:rsidR="003D6D64">
        <w:t xml:space="preserve">stabilité </w:t>
      </w:r>
      <w:r w:rsidRPr="00A64CA2">
        <w:t>du nombre de femmes</w:t>
      </w:r>
      <w:r w:rsidR="003D6D64">
        <w:t>(38)</w:t>
      </w:r>
      <w:r w:rsidRPr="00A64CA2">
        <w:t xml:space="preserve"> </w:t>
      </w:r>
      <w:r w:rsidR="003D6D64">
        <w:t>et une augmentation de 6 unités</w:t>
      </w:r>
      <w:r w:rsidRPr="00A64CA2">
        <w:t xml:space="preserve"> chez les hommes</w:t>
      </w:r>
      <w:r w:rsidR="003D6D64">
        <w:t xml:space="preserve"> (48)</w:t>
      </w:r>
      <w:r w:rsidRPr="00A64CA2">
        <w:t>. La répartition femmes / hommes est respectivement de 4</w:t>
      </w:r>
      <w:r w:rsidR="003D6D64">
        <w:t>4</w:t>
      </w:r>
      <w:r w:rsidRPr="00A64CA2">
        <w:t>% et 5</w:t>
      </w:r>
      <w:r w:rsidR="003D6D64">
        <w:t>6</w:t>
      </w:r>
      <w:r w:rsidRPr="00A64CA2">
        <w:t>% (4</w:t>
      </w:r>
      <w:r w:rsidR="003D6D64">
        <w:t>8</w:t>
      </w:r>
      <w:r w:rsidRPr="00A64CA2">
        <w:t>% - 5</w:t>
      </w:r>
      <w:r w:rsidR="003D6D64">
        <w:t>2</w:t>
      </w:r>
      <w:r w:rsidRPr="00A64CA2">
        <w:t xml:space="preserve">% au </w:t>
      </w:r>
      <w:r w:rsidR="003D6D64">
        <w:t>28/02/2021</w:t>
      </w:r>
      <w:r w:rsidRPr="00A64CA2">
        <w:t>).</w:t>
      </w:r>
    </w:p>
    <w:p w:rsidP="00E8376D" w:rsidR="00A64CA2" w:rsidRDefault="00A64CA2" w:rsidRPr="00A64CA2">
      <w:pPr>
        <w:numPr>
          <w:ilvl w:val="0"/>
          <w:numId w:val="19"/>
        </w:numPr>
        <w:spacing w:after="200"/>
        <w:ind w:hanging="284" w:left="284"/>
        <w:jc w:val="both"/>
      </w:pPr>
      <w:r w:rsidRPr="00A64CA2">
        <w:t xml:space="preserve">Administratifs : </w:t>
      </w:r>
      <w:r w:rsidR="003D6D64">
        <w:t xml:space="preserve">augmentation </w:t>
      </w:r>
      <w:r w:rsidRPr="00A64CA2">
        <w:t xml:space="preserve">du nombre de femmes de </w:t>
      </w:r>
      <w:r w:rsidR="003D6D64">
        <w:t>3</w:t>
      </w:r>
      <w:r w:rsidRPr="00A64CA2">
        <w:t xml:space="preserve"> unités</w:t>
      </w:r>
      <w:r w:rsidR="003D6D64">
        <w:t xml:space="preserve"> (56)</w:t>
      </w:r>
      <w:r w:rsidRPr="00A64CA2">
        <w:t xml:space="preserve"> et </w:t>
      </w:r>
      <w:r w:rsidR="003D6D64">
        <w:t>stabilité</w:t>
      </w:r>
      <w:r w:rsidRPr="00A64CA2">
        <w:t xml:space="preserve"> chez les hommes</w:t>
      </w:r>
      <w:r w:rsidR="003D6D64">
        <w:t xml:space="preserve"> (17)</w:t>
      </w:r>
      <w:r w:rsidRPr="00A64CA2">
        <w:t>. La répartition femmes / hommes est respectivement de 7</w:t>
      </w:r>
      <w:r w:rsidR="003D6D64">
        <w:t>7</w:t>
      </w:r>
      <w:r w:rsidRPr="00A64CA2">
        <w:t>% et 2</w:t>
      </w:r>
      <w:r w:rsidR="003D6D64">
        <w:t>3</w:t>
      </w:r>
      <w:r w:rsidRPr="00A64CA2">
        <w:t>% (7</w:t>
      </w:r>
      <w:r w:rsidR="003D6D64">
        <w:t>8</w:t>
      </w:r>
      <w:r w:rsidRPr="00A64CA2">
        <w:t>% - 2</w:t>
      </w:r>
      <w:r w:rsidR="003D6D64">
        <w:t>2</w:t>
      </w:r>
      <w:r w:rsidRPr="00A64CA2">
        <w:t xml:space="preserve">% au </w:t>
      </w:r>
      <w:r w:rsidR="003D6D64">
        <w:t>28/02/2021</w:t>
      </w:r>
      <w:r w:rsidRPr="00A64CA2">
        <w:t>).</w:t>
      </w:r>
    </w:p>
    <w:p w:rsidP="00E8376D" w:rsidR="00A64CA2" w:rsidRDefault="00A64CA2" w:rsidRPr="00A64CA2">
      <w:pPr>
        <w:numPr>
          <w:ilvl w:val="0"/>
          <w:numId w:val="19"/>
        </w:numPr>
        <w:spacing w:after="200"/>
        <w:ind w:hanging="284" w:left="284"/>
        <w:jc w:val="both"/>
      </w:pPr>
      <w:r w:rsidRPr="00A64CA2">
        <w:t xml:space="preserve">Technique : </w:t>
      </w:r>
      <w:r w:rsidR="00444F8A">
        <w:t>stabilité</w:t>
      </w:r>
      <w:r w:rsidRPr="00A64CA2">
        <w:t xml:space="preserve"> du nombre de femmes </w:t>
      </w:r>
      <w:r w:rsidR="00444F8A">
        <w:t xml:space="preserve">(5) </w:t>
      </w:r>
      <w:r w:rsidRPr="00A64CA2">
        <w:t xml:space="preserve">et </w:t>
      </w:r>
      <w:r w:rsidR="00444F8A">
        <w:t xml:space="preserve">augmentation d’une unité chez les </w:t>
      </w:r>
      <w:r w:rsidRPr="00A64CA2">
        <w:t xml:space="preserve">hommes </w:t>
      </w:r>
      <w:r w:rsidR="00444F8A">
        <w:t>(21)</w:t>
      </w:r>
      <w:r w:rsidRPr="00A64CA2">
        <w:t xml:space="preserve">. La répartition femmes / hommes est respectivement de </w:t>
      </w:r>
      <w:r w:rsidR="00444F8A">
        <w:t>19</w:t>
      </w:r>
      <w:r w:rsidRPr="00A64CA2">
        <w:t>% et 8</w:t>
      </w:r>
      <w:r w:rsidR="00444F8A">
        <w:t>1</w:t>
      </w:r>
      <w:r w:rsidRPr="00A64CA2">
        <w:t>% (</w:t>
      </w:r>
      <w:r w:rsidR="00444F8A">
        <w:t>20</w:t>
      </w:r>
      <w:r w:rsidRPr="00A64CA2">
        <w:t>% - 8</w:t>
      </w:r>
      <w:r w:rsidR="00444F8A">
        <w:t>0</w:t>
      </w:r>
      <w:r w:rsidRPr="00A64CA2">
        <w:t xml:space="preserve">% au </w:t>
      </w:r>
      <w:r w:rsidR="003D6D64">
        <w:t>28/02/2021</w:t>
      </w:r>
      <w:r w:rsidRPr="00A64CA2">
        <w:t>).</w:t>
      </w:r>
    </w:p>
    <w:p w:rsidP="00E8376D" w:rsidR="00090C2B" w:rsidRDefault="00090C2B">
      <w:pPr>
        <w:tabs>
          <w:tab w:pos="426" w:val="left"/>
        </w:tabs>
        <w:ind w:hanging="284" w:left="284"/>
        <w:jc w:val="both"/>
      </w:pPr>
    </w:p>
    <w:p w:rsidP="00E8376D" w:rsidR="00090C2B" w:rsidRDefault="00090C2B">
      <w:pPr>
        <w:tabs>
          <w:tab w:pos="426" w:val="left"/>
        </w:tabs>
        <w:ind w:hanging="284" w:left="284"/>
        <w:jc w:val="both"/>
      </w:pPr>
    </w:p>
    <w:p w:rsidP="00E8376D" w:rsidR="00653324" w:rsidRDefault="00653324" w:rsidRPr="00820ECA">
      <w:pPr>
        <w:pStyle w:val="Paragraphedeliste"/>
        <w:numPr>
          <w:ilvl w:val="0"/>
          <w:numId w:val="41"/>
        </w:numPr>
        <w:spacing w:before="60"/>
        <w:ind w:hanging="426" w:left="426"/>
        <w:jc w:val="both"/>
        <w:rPr>
          <w:u w:val="single"/>
        </w:rPr>
      </w:pPr>
      <w:r w:rsidRPr="00820ECA">
        <w:rPr>
          <w:u w:val="single"/>
        </w:rPr>
        <w:t>Accès à l’emploi :</w:t>
      </w:r>
    </w:p>
    <w:p w:rsidP="00391408" w:rsidR="00391408" w:rsidRDefault="00391408">
      <w:pPr>
        <w:tabs>
          <w:tab w:pos="426" w:val="left"/>
        </w:tabs>
        <w:jc w:val="both"/>
      </w:pPr>
    </w:p>
    <w:p w:rsidP="00E8376D" w:rsidR="00177396" w:rsidRDefault="00177396" w:rsidRPr="00177396">
      <w:pPr>
        <w:tabs>
          <w:tab w:pos="0" w:val="left"/>
        </w:tabs>
        <w:jc w:val="both"/>
      </w:pPr>
      <w:r w:rsidRPr="00177396">
        <w:t xml:space="preserve">En 2021, il a été procédé à 28 recrutements tout type de contrats confondus, mais hors CDD d’été : </w:t>
      </w:r>
    </w:p>
    <w:p w:rsidP="00E8376D" w:rsidR="00177396" w:rsidRDefault="00177396" w:rsidRPr="00177396">
      <w:pPr>
        <w:numPr>
          <w:ilvl w:val="0"/>
          <w:numId w:val="19"/>
        </w:numPr>
        <w:tabs>
          <w:tab w:pos="0" w:val="left"/>
          <w:tab w:pos="284" w:val="left"/>
        </w:tabs>
        <w:spacing w:after="200"/>
        <w:ind w:firstLine="0" w:left="0"/>
        <w:jc w:val="both"/>
      </w:pPr>
      <w:r w:rsidRPr="00177396">
        <w:t>10 femmes : 8 pour le secteur administratif et 2 pour le secteur gardiennage</w:t>
      </w:r>
    </w:p>
    <w:p w:rsidP="00E8376D" w:rsidR="00177396" w:rsidRDefault="00177396" w:rsidRPr="00177396">
      <w:pPr>
        <w:numPr>
          <w:ilvl w:val="0"/>
          <w:numId w:val="19"/>
        </w:numPr>
        <w:tabs>
          <w:tab w:pos="0" w:val="left"/>
          <w:tab w:pos="284" w:val="left"/>
        </w:tabs>
        <w:spacing w:after="200"/>
        <w:ind w:firstLine="0" w:left="0"/>
        <w:jc w:val="both"/>
      </w:pPr>
      <w:r w:rsidRPr="00177396">
        <w:t>18 hommes. : 4 pour le secteur administratif, 3 pour le secteur technique et 9 pour le secteur gardiennage.</w:t>
      </w:r>
    </w:p>
    <w:p w:rsidP="00A64CA2" w:rsidR="00820ECA" w:rsidRDefault="00820ECA" w:rsidRPr="00A64CA2">
      <w:pPr>
        <w:jc w:val="both"/>
      </w:pPr>
    </w:p>
    <w:p w:rsidP="00A64CA2" w:rsidR="00A64CA2" w:rsidRDefault="00A64CA2" w:rsidRPr="00A64CA2">
      <w:pPr>
        <w:jc w:val="both"/>
      </w:pPr>
    </w:p>
    <w:tbl>
      <w:tblPr>
        <w:tblStyle w:val="Grilledutableau3"/>
        <w:tblW w:type="auto" w:w="0"/>
        <w:tblInd w:type="dxa" w:w="534"/>
        <w:tblLook w:firstColumn="1" w:firstRow="1" w:lastColumn="0" w:lastRow="0" w:noHBand="0" w:noVBand="1" w:val="04A0"/>
      </w:tblPr>
      <w:tblGrid>
        <w:gridCol w:w="1407"/>
        <w:gridCol w:w="1693"/>
        <w:gridCol w:w="1275"/>
        <w:gridCol w:w="1408"/>
        <w:gridCol w:w="1694"/>
        <w:gridCol w:w="1275"/>
      </w:tblGrid>
      <w:tr w:rsidR="00A64CA2" w:rsidRPr="00A64CA2" w:rsidTr="00820ECA">
        <w:trPr>
          <w:trHeight w:val="494"/>
        </w:trPr>
        <w:tc>
          <w:tcPr>
            <w:tcW w:type="dxa" w:w="4039"/>
            <w:gridSpan w:val="3"/>
            <w:vAlign w:val="center"/>
          </w:tcPr>
          <w:p w:rsidP="00A64CA2" w:rsidR="00A64CA2" w:rsidRDefault="00A64CA2" w:rsidRPr="00A64CA2">
            <w:pPr>
              <w:jc w:val="center"/>
              <w:rPr>
                <w:rFonts w:ascii="Arial" w:cs="Arial" w:hAnsi="Arial"/>
              </w:rPr>
            </w:pPr>
            <w:r w:rsidRPr="00A64CA2">
              <w:rPr>
                <w:rFonts w:ascii="Arial" w:cs="Arial" w:hAnsi="Arial"/>
              </w:rPr>
              <w:t>Femmes</w:t>
            </w:r>
          </w:p>
        </w:tc>
        <w:tc>
          <w:tcPr>
            <w:tcW w:type="dxa" w:w="4713"/>
            <w:gridSpan w:val="3"/>
            <w:vAlign w:val="center"/>
          </w:tcPr>
          <w:p w:rsidP="00A64CA2" w:rsidR="00A64CA2" w:rsidRDefault="00A64CA2" w:rsidRPr="00A64CA2">
            <w:pPr>
              <w:jc w:val="center"/>
              <w:rPr>
                <w:rFonts w:ascii="Arial" w:cs="Arial" w:hAnsi="Arial"/>
              </w:rPr>
            </w:pPr>
            <w:r w:rsidRPr="00A64CA2">
              <w:rPr>
                <w:rFonts w:ascii="Arial" w:cs="Arial" w:hAnsi="Arial"/>
              </w:rPr>
              <w:t>Hommes</w:t>
            </w:r>
          </w:p>
        </w:tc>
      </w:tr>
      <w:tr w:rsidR="00A64CA2" w:rsidRPr="00A64CA2" w:rsidTr="00820ECA">
        <w:tc>
          <w:tcPr>
            <w:tcW w:type="dxa" w:w="991"/>
            <w:vAlign w:val="center"/>
          </w:tcPr>
          <w:p w:rsidP="00A64CA2" w:rsidR="00A64CA2" w:rsidRDefault="00A64CA2" w:rsidRPr="00A64CA2">
            <w:pPr>
              <w:jc w:val="left"/>
              <w:rPr>
                <w:rFonts w:ascii="Arial" w:cs="Arial" w:hAnsi="Arial"/>
                <w:sz w:val="20"/>
                <w:szCs w:val="20"/>
              </w:rPr>
            </w:pPr>
            <w:r w:rsidRPr="00A64CA2">
              <w:rPr>
                <w:rFonts w:ascii="Arial" w:cs="Arial" w:hAnsi="Arial"/>
                <w:sz w:val="20"/>
                <w:szCs w:val="20"/>
              </w:rPr>
              <w:t>Employé Ouvrier Gardien</w:t>
            </w:r>
          </w:p>
        </w:tc>
        <w:tc>
          <w:tcPr>
            <w:tcW w:type="dxa" w:w="1709"/>
            <w:vAlign w:val="center"/>
          </w:tcPr>
          <w:p w:rsidP="00A64CA2" w:rsidR="00A64CA2" w:rsidRDefault="00A64CA2" w:rsidRPr="00A64CA2">
            <w:pPr>
              <w:jc w:val="left"/>
              <w:rPr>
                <w:rFonts w:ascii="Arial" w:cs="Arial" w:hAnsi="Arial"/>
                <w:sz w:val="20"/>
                <w:szCs w:val="20"/>
              </w:rPr>
            </w:pPr>
            <w:r w:rsidRPr="00A64CA2">
              <w:rPr>
                <w:rFonts w:ascii="Arial" w:cs="Arial" w:hAnsi="Arial"/>
                <w:sz w:val="20"/>
                <w:szCs w:val="20"/>
              </w:rPr>
              <w:t>Agents maîtrise</w:t>
            </w:r>
          </w:p>
          <w:p w:rsidP="00A64CA2" w:rsidR="00A64CA2" w:rsidRDefault="00A64CA2" w:rsidRPr="00A64CA2">
            <w:pPr>
              <w:jc w:val="left"/>
              <w:rPr>
                <w:rFonts w:ascii="Arial" w:cs="Arial" w:hAnsi="Arial"/>
                <w:sz w:val="20"/>
                <w:szCs w:val="20"/>
              </w:rPr>
            </w:pPr>
            <w:r w:rsidRPr="00A64CA2">
              <w:rPr>
                <w:rFonts w:ascii="Arial" w:cs="Arial" w:hAnsi="Arial"/>
                <w:sz w:val="20"/>
                <w:szCs w:val="20"/>
              </w:rPr>
              <w:t>Techniciens</w:t>
            </w:r>
          </w:p>
        </w:tc>
        <w:tc>
          <w:tcPr>
            <w:tcW w:type="dxa" w:w="1339"/>
            <w:vAlign w:val="center"/>
          </w:tcPr>
          <w:p w:rsidP="00A64CA2" w:rsidR="00A64CA2" w:rsidRDefault="00A64CA2" w:rsidRPr="00A64CA2">
            <w:pPr>
              <w:jc w:val="left"/>
              <w:rPr>
                <w:rFonts w:ascii="Arial" w:cs="Arial" w:hAnsi="Arial"/>
                <w:sz w:val="20"/>
                <w:szCs w:val="20"/>
              </w:rPr>
            </w:pPr>
            <w:r w:rsidRPr="00A64CA2">
              <w:rPr>
                <w:rFonts w:ascii="Arial" w:cs="Arial" w:hAnsi="Arial"/>
                <w:sz w:val="20"/>
                <w:szCs w:val="20"/>
              </w:rPr>
              <w:t>Cadres</w:t>
            </w:r>
          </w:p>
        </w:tc>
        <w:tc>
          <w:tcPr>
            <w:tcW w:type="dxa" w:w="1602"/>
            <w:vAlign w:val="center"/>
          </w:tcPr>
          <w:p w:rsidP="00A64CA2" w:rsidR="00A64CA2" w:rsidRDefault="00A64CA2" w:rsidRPr="00A64CA2">
            <w:pPr>
              <w:jc w:val="left"/>
              <w:rPr>
                <w:rFonts w:ascii="Arial" w:cs="Arial" w:hAnsi="Arial"/>
              </w:rPr>
            </w:pPr>
            <w:r w:rsidRPr="00A64CA2">
              <w:rPr>
                <w:rFonts w:ascii="Arial" w:cs="Arial" w:hAnsi="Arial"/>
                <w:sz w:val="20"/>
                <w:szCs w:val="20"/>
              </w:rPr>
              <w:t>Employé Ouvrier Gardien</w:t>
            </w:r>
          </w:p>
        </w:tc>
        <w:tc>
          <w:tcPr>
            <w:tcW w:type="dxa" w:w="1709"/>
            <w:vAlign w:val="center"/>
          </w:tcPr>
          <w:p w:rsidP="00A64CA2" w:rsidR="00A64CA2" w:rsidRDefault="00A64CA2" w:rsidRPr="00A64CA2">
            <w:pPr>
              <w:jc w:val="left"/>
              <w:rPr>
                <w:rFonts w:ascii="Arial" w:cs="Arial" w:hAnsi="Arial"/>
                <w:sz w:val="20"/>
                <w:szCs w:val="20"/>
              </w:rPr>
            </w:pPr>
            <w:r w:rsidRPr="00A64CA2">
              <w:rPr>
                <w:rFonts w:ascii="Arial" w:cs="Arial" w:hAnsi="Arial"/>
                <w:sz w:val="20"/>
                <w:szCs w:val="20"/>
              </w:rPr>
              <w:t>Agents maîtrise</w:t>
            </w:r>
          </w:p>
          <w:p w:rsidP="00A64CA2" w:rsidR="00A64CA2" w:rsidRDefault="00A64CA2" w:rsidRPr="00A64CA2">
            <w:pPr>
              <w:jc w:val="left"/>
              <w:rPr>
                <w:rFonts w:ascii="Arial" w:cs="Arial" w:hAnsi="Arial"/>
              </w:rPr>
            </w:pPr>
            <w:r w:rsidRPr="00A64CA2">
              <w:rPr>
                <w:rFonts w:ascii="Arial" w:cs="Arial" w:hAnsi="Arial"/>
                <w:sz w:val="20"/>
                <w:szCs w:val="20"/>
              </w:rPr>
              <w:t>Techniciens</w:t>
            </w:r>
          </w:p>
        </w:tc>
        <w:tc>
          <w:tcPr>
            <w:tcW w:type="dxa" w:w="1402"/>
            <w:vAlign w:val="center"/>
          </w:tcPr>
          <w:p w:rsidP="00A64CA2" w:rsidR="00A64CA2" w:rsidRDefault="00A64CA2" w:rsidRPr="00A64CA2">
            <w:pPr>
              <w:jc w:val="left"/>
              <w:rPr>
                <w:rFonts w:ascii="Arial" w:cs="Arial" w:hAnsi="Arial"/>
              </w:rPr>
            </w:pPr>
            <w:r w:rsidRPr="00A64CA2">
              <w:rPr>
                <w:rFonts w:ascii="Arial" w:cs="Arial" w:hAnsi="Arial"/>
                <w:sz w:val="20"/>
                <w:szCs w:val="20"/>
              </w:rPr>
              <w:t>Cadres</w:t>
            </w:r>
          </w:p>
        </w:tc>
      </w:tr>
      <w:tr w:rsidR="00A64CA2" w:rsidRPr="00A64CA2" w:rsidTr="00820ECA">
        <w:trPr>
          <w:trHeight w:val="723"/>
        </w:trPr>
        <w:tc>
          <w:tcPr>
            <w:tcW w:type="dxa" w:w="991"/>
            <w:vAlign w:val="center"/>
          </w:tcPr>
          <w:p w:rsidP="00A64CA2" w:rsidR="00A64CA2" w:rsidRDefault="00177396" w:rsidRPr="00A64CA2">
            <w:pPr>
              <w:jc w:val="left"/>
              <w:rPr>
                <w:rFonts w:ascii="Arial" w:cs="Arial" w:hAnsi="Arial"/>
              </w:rPr>
            </w:pPr>
            <w:r>
              <w:rPr>
                <w:rFonts w:ascii="Arial" w:cs="Arial" w:hAnsi="Arial"/>
              </w:rPr>
              <w:t>4</w:t>
            </w:r>
          </w:p>
        </w:tc>
        <w:tc>
          <w:tcPr>
            <w:tcW w:type="dxa" w:w="1709"/>
            <w:vAlign w:val="center"/>
          </w:tcPr>
          <w:p w:rsidP="00A64CA2" w:rsidR="00A64CA2" w:rsidRDefault="00177396" w:rsidRPr="00A64CA2">
            <w:pPr>
              <w:jc w:val="left"/>
              <w:rPr>
                <w:rFonts w:ascii="Arial" w:cs="Arial" w:hAnsi="Arial"/>
              </w:rPr>
            </w:pPr>
            <w:r>
              <w:rPr>
                <w:rFonts w:ascii="Arial" w:cs="Arial" w:hAnsi="Arial"/>
              </w:rPr>
              <w:t xml:space="preserve">    5</w:t>
            </w:r>
          </w:p>
        </w:tc>
        <w:tc>
          <w:tcPr>
            <w:tcW w:type="dxa" w:w="1339"/>
            <w:vAlign w:val="center"/>
          </w:tcPr>
          <w:p w:rsidP="00A64CA2" w:rsidR="00A64CA2" w:rsidRDefault="00177396" w:rsidRPr="00A64CA2">
            <w:pPr>
              <w:jc w:val="left"/>
              <w:rPr>
                <w:rFonts w:ascii="Arial" w:cs="Arial" w:hAnsi="Arial"/>
              </w:rPr>
            </w:pPr>
            <w:r>
              <w:rPr>
                <w:rFonts w:ascii="Arial" w:cs="Arial" w:hAnsi="Arial"/>
              </w:rPr>
              <w:t xml:space="preserve"> 1</w:t>
            </w:r>
          </w:p>
        </w:tc>
        <w:tc>
          <w:tcPr>
            <w:tcW w:type="dxa" w:w="1602"/>
            <w:vAlign w:val="center"/>
          </w:tcPr>
          <w:p w:rsidP="00A64CA2" w:rsidR="00A64CA2" w:rsidRDefault="00177396" w:rsidRPr="00A64CA2">
            <w:pPr>
              <w:jc w:val="left"/>
              <w:rPr>
                <w:rFonts w:ascii="Arial" w:cs="Arial" w:hAnsi="Arial"/>
              </w:rPr>
            </w:pPr>
            <w:r>
              <w:rPr>
                <w:rFonts w:ascii="Arial" w:cs="Arial" w:hAnsi="Arial"/>
              </w:rPr>
              <w:t xml:space="preserve">  11</w:t>
            </w:r>
          </w:p>
        </w:tc>
        <w:tc>
          <w:tcPr>
            <w:tcW w:type="dxa" w:w="1709"/>
            <w:vAlign w:val="center"/>
          </w:tcPr>
          <w:p w:rsidP="00A64CA2" w:rsidR="00A64CA2" w:rsidRDefault="00177396" w:rsidRPr="00A64CA2">
            <w:pPr>
              <w:jc w:val="left"/>
              <w:rPr>
                <w:rFonts w:ascii="Arial" w:cs="Arial" w:hAnsi="Arial"/>
              </w:rPr>
            </w:pPr>
            <w:r>
              <w:rPr>
                <w:rFonts w:ascii="Arial" w:cs="Arial" w:hAnsi="Arial"/>
              </w:rPr>
              <w:t xml:space="preserve">    3</w:t>
            </w:r>
          </w:p>
        </w:tc>
        <w:tc>
          <w:tcPr>
            <w:tcW w:type="dxa" w:w="1402"/>
            <w:vAlign w:val="center"/>
          </w:tcPr>
          <w:p w:rsidP="00A64CA2" w:rsidR="00A64CA2" w:rsidRDefault="00177396" w:rsidRPr="00A64CA2">
            <w:pPr>
              <w:jc w:val="left"/>
              <w:rPr>
                <w:rFonts w:ascii="Arial" w:cs="Arial" w:hAnsi="Arial"/>
              </w:rPr>
            </w:pPr>
            <w:r>
              <w:rPr>
                <w:rFonts w:ascii="Arial" w:cs="Arial" w:hAnsi="Arial"/>
              </w:rPr>
              <w:t xml:space="preserve">   4</w:t>
            </w:r>
          </w:p>
        </w:tc>
      </w:tr>
    </w:tbl>
    <w:p w:rsidP="00391408" w:rsidR="00391408" w:rsidRDefault="00391408" w:rsidRPr="00391408">
      <w:pPr>
        <w:tabs>
          <w:tab w:pos="426" w:val="left"/>
        </w:tabs>
        <w:jc w:val="both"/>
      </w:pPr>
    </w:p>
    <w:p w:rsidP="00DB530D" w:rsidR="00653324" w:rsidRDefault="00653324">
      <w:pPr>
        <w:spacing w:before="60"/>
        <w:jc w:val="both"/>
      </w:pPr>
    </w:p>
    <w:p w:rsidP="00E8376D" w:rsidR="00932B71" w:rsidRDefault="003D6957" w:rsidRPr="00820ECA">
      <w:pPr>
        <w:pStyle w:val="Paragraphedeliste"/>
        <w:numPr>
          <w:ilvl w:val="0"/>
          <w:numId w:val="41"/>
        </w:numPr>
        <w:tabs>
          <w:tab w:pos="426" w:val="left"/>
        </w:tabs>
        <w:spacing w:before="60"/>
        <w:ind w:firstLine="0" w:left="0"/>
        <w:jc w:val="both"/>
        <w:rPr>
          <w:u w:val="single"/>
        </w:rPr>
      </w:pPr>
      <w:r w:rsidRPr="00820ECA">
        <w:rPr>
          <w:u w:val="single"/>
        </w:rPr>
        <w:t>Rémunérations :</w:t>
      </w:r>
    </w:p>
    <w:p w:rsidP="003D6957" w:rsidR="004420F5" w:rsidRDefault="004420F5">
      <w:pPr>
        <w:pStyle w:val="Sansinterligne"/>
      </w:pPr>
    </w:p>
    <w:p w:rsidP="00E8376D" w:rsidR="00177396" w:rsidRDefault="00177396" w:rsidRPr="00177396">
      <w:pPr>
        <w:ind w:left="142"/>
        <w:jc w:val="both"/>
      </w:pPr>
      <w:r w:rsidRPr="00177396">
        <w:t>La comparaison des rémunérations s’établit sur des emplois à valeur égale. Selon la définition mentionnée dans la CCN, sont considérés comme ayant une valeur égale, les travaux qui exigent des salariés un ensemble comparable de connaissances professionnelle consacrés par un titre, un diplôme ou une pratique professionnelle, de capacités découlant de l’expérience acquise, de responsabilités et de charges physiques ou nerveuses.</w:t>
      </w:r>
    </w:p>
    <w:p w:rsidP="00E8376D" w:rsidR="00DA75D7" w:rsidRDefault="00DA75D7" w:rsidRPr="00DA75D7">
      <w:pPr>
        <w:ind w:left="142"/>
        <w:jc w:val="both"/>
      </w:pPr>
    </w:p>
    <w:p w:rsidP="00E8376D" w:rsidR="00DA75D7" w:rsidRDefault="00DA75D7" w:rsidRPr="00DA75D7">
      <w:pPr>
        <w:ind w:left="142"/>
        <w:jc w:val="both"/>
      </w:pPr>
      <w:r w:rsidRPr="00DA75D7">
        <w:t xml:space="preserve">Le salaire brut mentionné correspond au salaire de base auquel sont ajoutés les primes fixes régulières </w:t>
      </w:r>
      <w:r w:rsidR="008B145D">
        <w:t xml:space="preserve">(prime d’ancienneté) </w:t>
      </w:r>
      <w:r w:rsidRPr="00DA75D7">
        <w:t>et les avantages en nature. Sont déduites les indemnités à caractère familial et les primes et indemnités à caractère non récurrents (heures supplémentaires, astreintes, primes exceptionnelles…).</w:t>
      </w:r>
    </w:p>
    <w:p w:rsidP="00E8376D" w:rsidR="00DA75D7" w:rsidRDefault="00570856" w:rsidRPr="00DA75D7">
      <w:pPr>
        <w:ind w:left="142"/>
        <w:jc w:val="both"/>
      </w:pPr>
      <w:r>
        <w:t>La rémunération</w:t>
      </w:r>
      <w:r w:rsidR="00DA75D7" w:rsidRPr="00DA75D7">
        <w:t xml:space="preserve"> des salariés à temps partiel a été pris</w:t>
      </w:r>
      <w:r>
        <w:t>e</w:t>
      </w:r>
      <w:r w:rsidR="00DA75D7" w:rsidRPr="00DA75D7">
        <w:t xml:space="preserve"> en compte sur du temps plein.</w:t>
      </w:r>
    </w:p>
    <w:p w:rsidP="00E8376D" w:rsidR="00DA75D7" w:rsidRDefault="00DA75D7" w:rsidRPr="00DA75D7">
      <w:pPr>
        <w:ind w:left="142"/>
        <w:jc w:val="both"/>
      </w:pPr>
    </w:p>
    <w:p w:rsidP="00E8376D" w:rsidR="00DA75D7" w:rsidRDefault="00DA75D7" w:rsidRPr="00DA75D7">
      <w:pPr>
        <w:ind w:left="142"/>
        <w:jc w:val="both"/>
      </w:pPr>
      <w:r w:rsidRPr="00DA75D7">
        <w:t>Les données pour les contrats professionnalisation et les métiers dont les effectifs sont inférieurs à 3 ne sont pas communiquées.</w:t>
      </w:r>
    </w:p>
    <w:p w:rsidP="00E8376D" w:rsidR="00DA75D7" w:rsidRDefault="00DA75D7" w:rsidRPr="00DA75D7">
      <w:pPr>
        <w:tabs>
          <w:tab w:pos="426" w:val="left"/>
        </w:tabs>
        <w:ind w:left="142"/>
        <w:jc w:val="both"/>
      </w:pPr>
    </w:p>
    <w:p w:rsidP="00E8376D" w:rsidR="00DA75D7" w:rsidRDefault="00DA75D7" w:rsidRPr="00DA75D7">
      <w:pPr>
        <w:tabs>
          <w:tab w:pos="426" w:val="left"/>
        </w:tabs>
        <w:ind w:left="142"/>
        <w:jc w:val="both"/>
      </w:pPr>
      <w:r w:rsidRPr="00DA75D7">
        <w:t>Il est rappelé que :</w:t>
      </w:r>
    </w:p>
    <w:p w:rsidP="00E8376D" w:rsidR="00DA75D7" w:rsidRDefault="00DA75D7" w:rsidRPr="00DA75D7">
      <w:pPr>
        <w:numPr>
          <w:ilvl w:val="0"/>
          <w:numId w:val="19"/>
        </w:numPr>
        <w:tabs>
          <w:tab w:pos="567" w:val="left"/>
        </w:tabs>
        <w:spacing w:after="200"/>
        <w:ind w:firstLine="0" w:left="142"/>
        <w:jc w:val="both"/>
      </w:pPr>
      <w:r w:rsidRPr="00DA75D7">
        <w:t>conformément à l’accord d’entreprise de 2006, chaque salarié bénéficie à la date anniversaire de son recrutement à une augmentation de 1% au titre de l’ancienneté et ce, dans la limite de 18%</w:t>
      </w:r>
    </w:p>
    <w:p w:rsidP="00E8376D" w:rsidR="00DA75D7" w:rsidRDefault="00DA75D7" w:rsidRPr="00DA75D7">
      <w:pPr>
        <w:numPr>
          <w:ilvl w:val="0"/>
          <w:numId w:val="19"/>
        </w:numPr>
        <w:tabs>
          <w:tab w:pos="567" w:val="left"/>
        </w:tabs>
        <w:spacing w:after="200"/>
        <w:ind w:firstLine="0" w:left="142"/>
        <w:jc w:val="both"/>
      </w:pPr>
      <w:r w:rsidRPr="00DA75D7">
        <w:t>la valorisation du logement de fonctions attribué à titre gratuit est établie selon les règles fiscales en vigueur et non sur la réalité des loyers pratiqués.</w:t>
      </w:r>
    </w:p>
    <w:p w:rsidP="00E8376D" w:rsidR="00DA75D7" w:rsidRDefault="00DA75D7" w:rsidRPr="00DA75D7">
      <w:pPr>
        <w:tabs>
          <w:tab w:pos="993" w:val="left"/>
        </w:tabs>
        <w:ind w:left="142"/>
        <w:jc w:val="both"/>
      </w:pPr>
      <w:r w:rsidRPr="00DA75D7">
        <w:t>A titre d’exemple, le montant moyen mensuel du loyer d’un T3 est de 574 €. Le montant moyen mensuel des avantages en nature pour un T3 est de 120 €.</w:t>
      </w:r>
    </w:p>
    <w:p w:rsidP="00E8376D" w:rsidR="00DA75D7" w:rsidRDefault="00DA75D7" w:rsidRPr="00DA75D7">
      <w:pPr>
        <w:tabs>
          <w:tab w:pos="993" w:val="left"/>
        </w:tabs>
        <w:ind w:left="142"/>
        <w:jc w:val="both"/>
      </w:pPr>
      <w:r w:rsidRPr="00DA75D7">
        <w:t>Il convient d’ajouter à ce montant les charges d’eau, de gaz et d’électricité prises en charge par Colombes Habitat Public (150 à 200 € mensuels en moyenne).</w:t>
      </w:r>
    </w:p>
    <w:p w:rsidP="00E8376D" w:rsidR="00DB54D9" w:rsidRDefault="00DB54D9">
      <w:pPr>
        <w:pStyle w:val="Sansinterligne"/>
        <w:tabs>
          <w:tab w:pos="993" w:val="left"/>
        </w:tabs>
        <w:ind w:left="142"/>
      </w:pPr>
    </w:p>
    <w:p w:rsidP="00E8376D" w:rsidR="0038019C" w:rsidRDefault="0038019C" w:rsidRPr="0038019C">
      <w:pPr>
        <w:pStyle w:val="Sansinterligne"/>
        <w:tabs>
          <w:tab w:pos="993" w:val="left"/>
        </w:tabs>
        <w:ind w:left="142"/>
      </w:pPr>
      <w:r w:rsidRPr="0038019C">
        <w:t xml:space="preserve">Les écarts de rémunération </w:t>
      </w:r>
      <w:r>
        <w:t xml:space="preserve">moyenne </w:t>
      </w:r>
      <w:r w:rsidRPr="0038019C">
        <w:t>entre les femmes et les hommes</w:t>
      </w:r>
      <w:r w:rsidR="00C03F8B">
        <w:t>, dans les métiers où la comparaison est possible (effectif supérieur ou égal à 3),</w:t>
      </w:r>
      <w:r w:rsidRPr="0038019C">
        <w:t xml:space="preserve"> sont </w:t>
      </w:r>
      <w:r w:rsidR="008B145D">
        <w:t>les suivants :</w:t>
      </w:r>
    </w:p>
    <w:p w:rsidP="00E8376D" w:rsidR="0088690D" w:rsidRDefault="0038019C">
      <w:pPr>
        <w:pStyle w:val="Sansinterligne"/>
        <w:numPr>
          <w:ilvl w:val="0"/>
          <w:numId w:val="19"/>
        </w:numPr>
        <w:tabs>
          <w:tab w:pos="426" w:val="left"/>
        </w:tabs>
        <w:ind w:firstLine="0" w:left="142"/>
      </w:pPr>
      <w:r>
        <w:t xml:space="preserve">Gardiens : les femmes gagnent en moyenne </w:t>
      </w:r>
      <w:r w:rsidR="00177396">
        <w:t>8,3</w:t>
      </w:r>
      <w:r>
        <w:t>% de plus que les hommes,</w:t>
      </w:r>
      <w:r w:rsidR="009566ED">
        <w:t xml:space="preserve"> mais avec une ancienneté supérieure de </w:t>
      </w:r>
      <w:r w:rsidR="00177396">
        <w:t>7</w:t>
      </w:r>
      <w:r w:rsidR="009566ED">
        <w:t xml:space="preserve"> ans</w:t>
      </w:r>
    </w:p>
    <w:p w:rsidP="00E8376D" w:rsidR="0038019C" w:rsidRDefault="0038019C">
      <w:pPr>
        <w:pStyle w:val="Sansinterligne"/>
        <w:numPr>
          <w:ilvl w:val="0"/>
          <w:numId w:val="19"/>
        </w:numPr>
        <w:tabs>
          <w:tab w:pos="426" w:val="left"/>
        </w:tabs>
        <w:ind w:firstLine="0" w:left="142"/>
      </w:pPr>
      <w:r>
        <w:t xml:space="preserve">Responsables de service : les femmes gagnent </w:t>
      </w:r>
      <w:r w:rsidR="00F2312B">
        <w:t>11,8</w:t>
      </w:r>
      <w:r>
        <w:t xml:space="preserve">% de </w:t>
      </w:r>
      <w:r w:rsidR="00F2312B">
        <w:t>moins</w:t>
      </w:r>
      <w:r>
        <w:t xml:space="preserve"> que les hommes,</w:t>
      </w:r>
      <w:r w:rsidR="008B145D">
        <w:t xml:space="preserve"> mais avec une ancienneté </w:t>
      </w:r>
      <w:r w:rsidR="00F2312B">
        <w:t>inférieure de 3</w:t>
      </w:r>
      <w:r w:rsidR="008B145D">
        <w:t xml:space="preserve"> ans,</w:t>
      </w:r>
    </w:p>
    <w:p w:rsidP="00E8376D" w:rsidR="0038019C" w:rsidRDefault="0038019C" w:rsidRPr="0038019C">
      <w:pPr>
        <w:pStyle w:val="Sansinterligne"/>
        <w:numPr>
          <w:ilvl w:val="0"/>
          <w:numId w:val="19"/>
        </w:numPr>
        <w:tabs>
          <w:tab w:pos="426" w:val="left"/>
        </w:tabs>
        <w:ind w:firstLine="0" w:left="142"/>
      </w:pPr>
      <w:r>
        <w:t xml:space="preserve">Techniciens : les femmes gagnent </w:t>
      </w:r>
      <w:r w:rsidR="00F2312B">
        <w:t>3,2</w:t>
      </w:r>
      <w:r>
        <w:t xml:space="preserve">% de </w:t>
      </w:r>
      <w:r w:rsidR="008B145D">
        <w:t>moins</w:t>
      </w:r>
      <w:r>
        <w:t xml:space="preserve"> que les hommes</w:t>
      </w:r>
      <w:r w:rsidR="008B145D">
        <w:t xml:space="preserve"> malgré une ancienneté supérieure de </w:t>
      </w:r>
      <w:r w:rsidR="00F2312B">
        <w:t>5</w:t>
      </w:r>
      <w:r w:rsidR="008B145D">
        <w:t xml:space="preserve"> ans</w:t>
      </w:r>
      <w:r>
        <w:t>.</w:t>
      </w:r>
    </w:p>
    <w:p w:rsidP="00E8376D" w:rsidR="0088690D" w:rsidRDefault="0088690D" w:rsidRPr="0038019C">
      <w:pPr>
        <w:pStyle w:val="Sansinterligne"/>
        <w:ind w:left="142"/>
      </w:pPr>
    </w:p>
    <w:p w:rsidP="00E8376D" w:rsidR="00194615" w:rsidRDefault="008B145D" w:rsidRPr="0038019C">
      <w:pPr>
        <w:pStyle w:val="Sansinterligne"/>
        <w:ind w:left="142"/>
      </w:pPr>
      <w:r>
        <w:t>Chaque année, l</w:t>
      </w:r>
      <w:r w:rsidR="00194615" w:rsidRPr="0038019C">
        <w:t>es situations des collaborat</w:t>
      </w:r>
      <w:r w:rsidR="0038019C">
        <w:t>eurs et collaboratrices</w:t>
      </w:r>
      <w:r w:rsidR="00194615" w:rsidRPr="0038019C">
        <w:t xml:space="preserve"> concerné</w:t>
      </w:r>
      <w:r w:rsidR="0038019C">
        <w:t>(</w:t>
      </w:r>
      <w:r w:rsidR="00194615" w:rsidRPr="0038019C">
        <w:t>e</w:t>
      </w:r>
      <w:r w:rsidR="0038019C">
        <w:t>)</w:t>
      </w:r>
      <w:r w:rsidR="00194615" w:rsidRPr="0038019C">
        <w:t xml:space="preserve">s </w:t>
      </w:r>
      <w:r w:rsidR="0038019C">
        <w:t xml:space="preserve">sont examinées </w:t>
      </w:r>
      <w:r w:rsidR="00194615" w:rsidRPr="0038019C">
        <w:t>afin de rééquilibrer</w:t>
      </w:r>
      <w:r w:rsidR="0038019C">
        <w:t xml:space="preserve">, le cas échéant, </w:t>
      </w:r>
      <w:r w:rsidR="00194615" w:rsidRPr="0038019C">
        <w:t xml:space="preserve">les salaires </w:t>
      </w:r>
      <w:r w:rsidR="0038019C">
        <w:t>en prenant notamment en compte le niveau de responsabilité exercée et les résultats professionnels.</w:t>
      </w:r>
      <w:r w:rsidR="00F2312B">
        <w:t xml:space="preserve"> </w:t>
      </w:r>
    </w:p>
    <w:p w:rsidP="00E8376D" w:rsidR="00561B88" w:rsidRDefault="00561B88">
      <w:pPr>
        <w:ind w:left="142"/>
        <w:jc w:val="both"/>
      </w:pPr>
    </w:p>
    <w:p w:rsidP="00E8376D" w:rsidR="00561B88" w:rsidRDefault="00561B88" w:rsidRPr="00561B88">
      <w:pPr>
        <w:ind w:left="142"/>
        <w:jc w:val="both"/>
      </w:pPr>
      <w:r w:rsidRPr="00561B88">
        <w:t xml:space="preserve">Le rééquilibrage des salaires est opéré en concertation avec les Directeurs et Responsables de service lors des augmentations individuelles des collaborateurs. En 2020, il a été procédé à une réduction des écarts de rémunération pour </w:t>
      </w:r>
      <w:r w:rsidR="00F2312B">
        <w:t>6</w:t>
      </w:r>
      <w:r w:rsidRPr="00561B88">
        <w:t xml:space="preserve"> hommes et </w:t>
      </w:r>
      <w:r w:rsidR="00F2312B">
        <w:t>4</w:t>
      </w:r>
      <w:r w:rsidRPr="00561B88">
        <w:t xml:space="preserve"> femmes.</w:t>
      </w:r>
    </w:p>
    <w:p w:rsidP="00E8376D" w:rsidR="00561B88" w:rsidRDefault="00561B88">
      <w:pPr>
        <w:ind w:left="142"/>
        <w:jc w:val="both"/>
      </w:pPr>
    </w:p>
    <w:p w:rsidP="00E8376D" w:rsidR="00E8376D" w:rsidRDefault="00E8376D" w:rsidRPr="00561B88">
      <w:pPr>
        <w:ind w:left="142"/>
        <w:jc w:val="both"/>
      </w:pPr>
    </w:p>
    <w:p w:rsidP="00E8376D" w:rsidR="00D25326" w:rsidRDefault="00990808" w:rsidRPr="00E8376D">
      <w:pPr>
        <w:pStyle w:val="Paragraphedeliste"/>
        <w:numPr>
          <w:ilvl w:val="0"/>
          <w:numId w:val="41"/>
        </w:numPr>
        <w:spacing w:before="60"/>
        <w:ind w:hanging="426" w:left="426"/>
        <w:jc w:val="both"/>
        <w:rPr>
          <w:u w:val="single"/>
        </w:rPr>
      </w:pPr>
      <w:r w:rsidRPr="00E8376D">
        <w:rPr>
          <w:u w:val="single"/>
        </w:rPr>
        <w:t>Déroulement de carrière et promotion :</w:t>
      </w:r>
    </w:p>
    <w:p w:rsidP="00990808" w:rsidR="004420F5" w:rsidRDefault="004420F5">
      <w:pPr>
        <w:pStyle w:val="Sansinterligne"/>
      </w:pPr>
    </w:p>
    <w:p w:rsidP="00E8376D" w:rsidR="00F2312B" w:rsidRDefault="00F2312B" w:rsidRPr="00F2312B">
      <w:pPr>
        <w:jc w:val="both"/>
      </w:pPr>
      <w:r w:rsidRPr="00F2312B">
        <w:t>2 changements de poste et/ou de classification ont eu lieu depuis février 2021 et ont concerné 2 hommes.</w:t>
      </w:r>
    </w:p>
    <w:p w:rsidP="00906EDA" w:rsidR="00E55A8B" w:rsidRDefault="00E55A8B">
      <w:pPr>
        <w:spacing w:before="60"/>
        <w:jc w:val="both"/>
        <w:rPr>
          <w:u w:val="single"/>
        </w:rPr>
      </w:pPr>
    </w:p>
    <w:p w:rsidP="00906EDA" w:rsidR="00A95F53" w:rsidRDefault="00A95F53">
      <w:pPr>
        <w:spacing w:before="60"/>
        <w:jc w:val="both"/>
        <w:rPr>
          <w:u w:val="single"/>
        </w:rPr>
      </w:pPr>
    </w:p>
    <w:p w:rsidP="00E8376D" w:rsidR="00990808" w:rsidRDefault="004420F5" w:rsidRPr="00E8376D">
      <w:pPr>
        <w:pStyle w:val="Paragraphedeliste"/>
        <w:numPr>
          <w:ilvl w:val="0"/>
          <w:numId w:val="41"/>
        </w:numPr>
        <w:spacing w:before="60"/>
        <w:ind w:hanging="426" w:left="426"/>
        <w:jc w:val="both"/>
        <w:rPr>
          <w:u w:val="single"/>
        </w:rPr>
      </w:pPr>
      <w:r w:rsidRPr="00E8376D">
        <w:rPr>
          <w:u w:val="single"/>
        </w:rPr>
        <w:t>Formation professionnelle</w:t>
      </w:r>
    </w:p>
    <w:p w:rsidP="00906EDA" w:rsidR="004420F5" w:rsidRDefault="004420F5">
      <w:pPr>
        <w:spacing w:before="60"/>
        <w:jc w:val="both"/>
      </w:pPr>
    </w:p>
    <w:p w:rsidP="00E8376D" w:rsidR="004420F5" w:rsidRDefault="004420F5" w:rsidRPr="00990808">
      <w:pPr>
        <w:spacing w:before="60"/>
        <w:jc w:val="both"/>
      </w:pPr>
      <w:r>
        <w:t>Chaque année, les collaborateurs peuvent émettre leur souhait de formation lors des entretiens annuels d’évaluation et l’entretien professionnel réalisé</w:t>
      </w:r>
      <w:r w:rsidRPr="004420F5">
        <w:t xml:space="preserve"> </w:t>
      </w:r>
      <w:r>
        <w:t xml:space="preserve">tous les deux ans permet aux collaborateurs d’exprimer leur souhait en matière de </w:t>
      </w:r>
      <w:r w:rsidR="00543CEF">
        <w:t>perspective d’évolution professionnelle</w:t>
      </w:r>
      <w:r>
        <w:t>.</w:t>
      </w:r>
    </w:p>
    <w:p w:rsidP="00E8376D" w:rsidR="004420F5" w:rsidRDefault="004420F5">
      <w:pPr>
        <w:jc w:val="both"/>
      </w:pPr>
    </w:p>
    <w:p w:rsidP="00E8376D" w:rsidR="004420F5" w:rsidRDefault="004420F5" w:rsidRPr="004420F5">
      <w:pPr>
        <w:jc w:val="both"/>
      </w:pPr>
      <w:r w:rsidRPr="004420F5">
        <w:t>En 20</w:t>
      </w:r>
      <w:r w:rsidR="00150F3B">
        <w:t>2</w:t>
      </w:r>
      <w:r w:rsidR="00F2312B">
        <w:t>1</w:t>
      </w:r>
      <w:r w:rsidRPr="004420F5">
        <w:t>,</w:t>
      </w:r>
      <w:r w:rsidR="00150F3B">
        <w:t xml:space="preserve"> </w:t>
      </w:r>
      <w:r w:rsidR="00F2312B">
        <w:t>56</w:t>
      </w:r>
      <w:r w:rsidRPr="004420F5">
        <w:t xml:space="preserve"> femmes et </w:t>
      </w:r>
      <w:r w:rsidR="00F2312B">
        <w:t>56</w:t>
      </w:r>
      <w:r w:rsidRPr="004420F5">
        <w:t xml:space="preserve"> hommes </w:t>
      </w:r>
      <w:r>
        <w:t>de toutes catégories socio-professionnelles</w:t>
      </w:r>
      <w:r w:rsidRPr="004420F5">
        <w:t xml:space="preserve"> ont suivi des formations.</w:t>
      </w:r>
    </w:p>
    <w:p w:rsidP="004420F5" w:rsidR="004420F5" w:rsidRDefault="004420F5" w:rsidRPr="004420F5">
      <w:pPr>
        <w:jc w:val="both"/>
      </w:pPr>
    </w:p>
    <w:p w:rsidP="00906EDA" w:rsidR="00653324" w:rsidRDefault="00653324">
      <w:pPr>
        <w:spacing w:before="60"/>
        <w:jc w:val="both"/>
        <w:rPr>
          <w:caps/>
        </w:rPr>
      </w:pPr>
    </w:p>
    <w:p w:rsidP="00906EDA" w:rsidR="00A95F53" w:rsidRDefault="00A95F53">
      <w:pPr>
        <w:spacing w:before="60"/>
        <w:jc w:val="both"/>
        <w:rPr>
          <w:caps/>
        </w:rPr>
      </w:pPr>
    </w:p>
    <w:p w:rsidP="00906EDA" w:rsidR="00A95F53" w:rsidRDefault="00A95F53">
      <w:pPr>
        <w:spacing w:before="60"/>
        <w:jc w:val="both"/>
        <w:rPr>
          <w:caps/>
        </w:rPr>
      </w:pPr>
    </w:p>
    <w:p w:rsidP="00906EDA" w:rsidR="00A95F53" w:rsidRDefault="00A95F53">
      <w:pPr>
        <w:spacing w:before="60"/>
        <w:jc w:val="both"/>
        <w:rPr>
          <w:caps/>
        </w:rPr>
      </w:pPr>
    </w:p>
    <w:p w:rsidP="00906EDA" w:rsidR="00653324" w:rsidRDefault="00E8376D" w:rsidRPr="002A734D">
      <w:pPr>
        <w:spacing w:before="60"/>
        <w:jc w:val="both"/>
        <w:rPr>
          <w:b/>
          <w:u w:val="single"/>
        </w:rPr>
      </w:pPr>
      <w:r>
        <w:rPr>
          <w:b/>
          <w:caps/>
          <w:u w:val="single"/>
        </w:rPr>
        <w:t>B</w:t>
      </w:r>
      <w:r w:rsidR="00090C2B">
        <w:rPr>
          <w:b/>
          <w:caps/>
          <w:u w:val="single"/>
        </w:rPr>
        <w:t xml:space="preserve"> </w:t>
      </w:r>
      <w:r w:rsidR="002A734D" w:rsidRPr="002A734D">
        <w:rPr>
          <w:b/>
          <w:caps/>
          <w:u w:val="single"/>
        </w:rPr>
        <w:t>- Q</w:t>
      </w:r>
      <w:r w:rsidR="002A734D" w:rsidRPr="002A734D">
        <w:rPr>
          <w:b/>
          <w:u w:val="single"/>
        </w:rPr>
        <w:t>ualité de vie au travail</w:t>
      </w:r>
    </w:p>
    <w:p w:rsidP="0040679D" w:rsidR="0040679D" w:rsidRDefault="0040679D">
      <w:pPr>
        <w:jc w:val="both"/>
      </w:pPr>
    </w:p>
    <w:p w:rsidP="0040679D" w:rsidR="0040679D" w:rsidRDefault="0040679D" w:rsidRPr="0040679D">
      <w:pPr>
        <w:jc w:val="both"/>
      </w:pPr>
      <w:r>
        <w:t>Des</w:t>
      </w:r>
      <w:r w:rsidRPr="0040679D">
        <w:t xml:space="preserve"> actions </w:t>
      </w:r>
      <w:r>
        <w:t xml:space="preserve">ont été </w:t>
      </w:r>
      <w:r w:rsidRPr="0040679D">
        <w:t xml:space="preserve">mises en place </w:t>
      </w:r>
      <w:r>
        <w:t xml:space="preserve">ou reconduites </w:t>
      </w:r>
      <w:r w:rsidRPr="0040679D">
        <w:t>visant une meilleure articulation entre vie personnelle et professionnelle et une meilleure qualité de vie au travail dans différents domaines.</w:t>
      </w:r>
    </w:p>
    <w:p w:rsidP="0040679D" w:rsidR="0040679D" w:rsidRDefault="0040679D" w:rsidRPr="0040679D">
      <w:pPr>
        <w:jc w:val="both"/>
      </w:pPr>
    </w:p>
    <w:p w:rsidP="0040679D" w:rsidR="0040679D" w:rsidRDefault="0040679D" w:rsidRPr="0040679D">
      <w:pPr>
        <w:jc w:val="both"/>
        <w:rPr>
          <w:u w:val="single"/>
        </w:rPr>
      </w:pPr>
    </w:p>
    <w:p w:rsidP="00E8376D" w:rsidR="0040679D" w:rsidRDefault="00766A80" w:rsidRPr="00E8376D">
      <w:pPr>
        <w:pStyle w:val="Paragraphedeliste"/>
        <w:numPr>
          <w:ilvl w:val="0"/>
          <w:numId w:val="42"/>
        </w:numPr>
        <w:spacing w:after="200"/>
        <w:ind w:hanging="284" w:left="284"/>
        <w:jc w:val="both"/>
        <w:rPr>
          <w:b/>
          <w:u w:val="single"/>
        </w:rPr>
      </w:pPr>
      <w:r w:rsidRPr="00E8376D">
        <w:rPr>
          <w:b/>
          <w:u w:val="single"/>
        </w:rPr>
        <w:t xml:space="preserve"> </w:t>
      </w:r>
      <w:r w:rsidR="0040679D" w:rsidRPr="00E8376D">
        <w:rPr>
          <w:b/>
          <w:u w:val="single"/>
        </w:rPr>
        <w:t xml:space="preserve">Démarche </w:t>
      </w:r>
      <w:r w:rsidR="003A4FD3" w:rsidRPr="00E8376D">
        <w:rPr>
          <w:b/>
          <w:u w:val="single"/>
        </w:rPr>
        <w:t>initiée à Colombes Habitat Public</w:t>
      </w:r>
    </w:p>
    <w:p w:rsidP="0040679D" w:rsidR="0040679D" w:rsidRDefault="0040679D" w:rsidRPr="0040679D">
      <w:pPr>
        <w:jc w:val="both"/>
      </w:pPr>
    </w:p>
    <w:p w:rsidP="00F2312B" w:rsidR="00F2312B" w:rsidRDefault="00F2312B" w:rsidRPr="00F2312B">
      <w:pPr>
        <w:jc w:val="both"/>
      </w:pPr>
      <w:r w:rsidRPr="00F2312B">
        <w:t>Pour rappel, Colombes Habitat Public s’est fait accompagner par la société Idéhos dans sa démarche d’évaluation des risques psychosociaux et de qualité de vie au travail.</w:t>
      </w:r>
    </w:p>
    <w:p w:rsidP="00F2312B" w:rsidR="00F2312B" w:rsidRDefault="00F2312B" w:rsidRPr="00F2312B">
      <w:pPr>
        <w:jc w:val="both"/>
      </w:pPr>
    </w:p>
    <w:p w:rsidP="00F2312B" w:rsidR="00F2312B" w:rsidRDefault="00F2312B" w:rsidRPr="00F2312B">
      <w:pPr>
        <w:jc w:val="both"/>
      </w:pPr>
      <w:r w:rsidRPr="00F2312B">
        <w:t>Le déroulé de la démarche a été précisé dans le rapport NAO 2021.</w:t>
      </w:r>
    </w:p>
    <w:p w:rsidP="00F2312B" w:rsidR="00F2312B" w:rsidRDefault="00F2312B" w:rsidRPr="00F2312B">
      <w:pPr>
        <w:jc w:val="both"/>
      </w:pPr>
    </w:p>
    <w:p w:rsidP="00F2312B" w:rsidR="00F2312B" w:rsidRDefault="00F2312B" w:rsidRPr="00F2312B">
      <w:pPr>
        <w:jc w:val="both"/>
      </w:pPr>
      <w:r w:rsidRPr="00F2312B">
        <w:t xml:space="preserve">Des pistes d’actions proposées lors des réunions du comité social et économique concernent : </w:t>
      </w:r>
    </w:p>
    <w:p w:rsidP="00F2312B" w:rsidR="00F2312B" w:rsidRDefault="00F2312B" w:rsidRPr="00F2312B">
      <w:pPr>
        <w:jc w:val="both"/>
      </w:pPr>
    </w:p>
    <w:p w:rsidP="00F2312B" w:rsidR="00F2312B" w:rsidRDefault="00F2312B" w:rsidRPr="00F2312B">
      <w:pPr>
        <w:numPr>
          <w:ilvl w:val="0"/>
          <w:numId w:val="19"/>
        </w:numPr>
        <w:spacing w:after="200"/>
        <w:jc w:val="both"/>
      </w:pPr>
      <w:r w:rsidRPr="00F2312B">
        <w:t>la mise en place d’une culture de respect et le renforcement de la reconnaissance sociale,</w:t>
      </w:r>
    </w:p>
    <w:p w:rsidP="00F2312B" w:rsidR="00F2312B" w:rsidRDefault="00F2312B" w:rsidRPr="00F2312B">
      <w:pPr>
        <w:numPr>
          <w:ilvl w:val="0"/>
          <w:numId w:val="19"/>
        </w:numPr>
        <w:spacing w:after="200"/>
        <w:jc w:val="both"/>
      </w:pPr>
      <w:r w:rsidRPr="00F2312B">
        <w:t>l’optimisation de l’utilisation de l’outil informatique Immoware,</w:t>
      </w:r>
    </w:p>
    <w:p w:rsidP="00F2312B" w:rsidR="00F2312B" w:rsidRDefault="00F2312B" w:rsidRPr="00F2312B">
      <w:pPr>
        <w:numPr>
          <w:ilvl w:val="0"/>
          <w:numId w:val="19"/>
        </w:numPr>
        <w:spacing w:after="200"/>
        <w:jc w:val="both"/>
      </w:pPr>
      <w:r w:rsidRPr="00F2312B">
        <w:t>la redynamisation de la politique ressources humaines,</w:t>
      </w:r>
    </w:p>
    <w:p w:rsidP="00F2312B" w:rsidR="00F2312B" w:rsidRDefault="00F2312B" w:rsidRPr="00F2312B">
      <w:pPr>
        <w:numPr>
          <w:ilvl w:val="0"/>
          <w:numId w:val="19"/>
        </w:numPr>
        <w:spacing w:after="200"/>
        <w:jc w:val="both"/>
      </w:pPr>
      <w:r w:rsidRPr="00F2312B">
        <w:t>la clarification des règles et l’homogénéisation des pratiques,</w:t>
      </w:r>
    </w:p>
    <w:p w:rsidP="00F2312B" w:rsidR="00F2312B" w:rsidRDefault="00F2312B" w:rsidRPr="00F2312B">
      <w:pPr>
        <w:numPr>
          <w:ilvl w:val="0"/>
          <w:numId w:val="19"/>
        </w:numPr>
        <w:spacing w:after="200"/>
        <w:jc w:val="both"/>
      </w:pPr>
      <w:r w:rsidRPr="00F2312B">
        <w:t>l’amélioration de la procédure de gestion des réclamations,</w:t>
      </w:r>
    </w:p>
    <w:p w:rsidP="00F2312B" w:rsidR="00F2312B" w:rsidRDefault="00F2312B" w:rsidRPr="00F2312B">
      <w:pPr>
        <w:numPr>
          <w:ilvl w:val="0"/>
          <w:numId w:val="19"/>
        </w:numPr>
        <w:spacing w:after="200"/>
        <w:jc w:val="both"/>
      </w:pPr>
      <w:r w:rsidRPr="00F2312B">
        <w:t>la mise en place des actions de prévention concernant la violence des usagers,</w:t>
      </w:r>
    </w:p>
    <w:p w:rsidP="00F2312B" w:rsidR="00F2312B" w:rsidRDefault="00F2312B">
      <w:pPr>
        <w:numPr>
          <w:ilvl w:val="0"/>
          <w:numId w:val="19"/>
        </w:numPr>
        <w:spacing w:after="200"/>
        <w:jc w:val="both"/>
      </w:pPr>
      <w:r w:rsidRPr="00F2312B">
        <w:t>l’amélioration des conditions de travail.</w:t>
      </w:r>
    </w:p>
    <w:p w:rsidP="00090C2B" w:rsidR="00090C2B" w:rsidRDefault="00090C2B" w:rsidRPr="00F2312B">
      <w:pPr>
        <w:spacing w:after="200"/>
        <w:ind w:left="644"/>
        <w:jc w:val="both"/>
      </w:pPr>
    </w:p>
    <w:p w:rsidP="00F2312B" w:rsidR="00F2312B" w:rsidRDefault="00F2312B" w:rsidRPr="00F2312B">
      <w:pPr>
        <w:numPr>
          <w:ilvl w:val="0"/>
          <w:numId w:val="35"/>
        </w:numPr>
        <w:spacing w:after="200"/>
        <w:ind w:hanging="426" w:left="426"/>
        <w:jc w:val="both"/>
        <w:rPr>
          <w:u w:val="single"/>
        </w:rPr>
      </w:pPr>
      <w:r w:rsidRPr="00F2312B">
        <w:rPr>
          <w:u w:val="single"/>
        </w:rPr>
        <w:t>Mise en place d’une culture de respect et le renforcement de la reconnaissance sociale</w:t>
      </w:r>
    </w:p>
    <w:p w:rsidP="00F2312B" w:rsidR="00F2312B" w:rsidRDefault="00F2312B" w:rsidRPr="00F2312B">
      <w:pPr>
        <w:jc w:val="both"/>
      </w:pPr>
      <w:r w:rsidRPr="00F2312B">
        <w:t xml:space="preserve">Pour prendre en considération les reproches de non reconnaissance, la première action mise en place a été de former tous les managers N+1. </w:t>
      </w:r>
    </w:p>
    <w:p w:rsidP="00F2312B" w:rsidR="00F2312B" w:rsidRDefault="00F2312B" w:rsidRPr="00F2312B">
      <w:pPr>
        <w:jc w:val="both"/>
      </w:pPr>
    </w:p>
    <w:p w:rsidP="00F2312B" w:rsidR="00F2312B" w:rsidRDefault="00F2312B">
      <w:pPr>
        <w:jc w:val="both"/>
      </w:pPr>
      <w:r w:rsidRPr="00F2312B">
        <w:t>Une seconde action sera prochainement réalisée en février avec un e-learning sur le thème du « Harcèlement sexuel et les agissements sexistes » organisé par la Fédération des OPH.</w:t>
      </w:r>
    </w:p>
    <w:p w:rsidP="00F2312B" w:rsidR="00E8376D" w:rsidRDefault="00E8376D">
      <w:pPr>
        <w:jc w:val="both"/>
      </w:pPr>
    </w:p>
    <w:p w:rsidP="00F2312B" w:rsidR="00E8376D" w:rsidRDefault="00E8376D" w:rsidRPr="00F2312B">
      <w:pPr>
        <w:jc w:val="both"/>
      </w:pPr>
    </w:p>
    <w:p w:rsidP="00F2312B" w:rsidR="00F2312B" w:rsidRDefault="00F2312B" w:rsidRPr="00F2312B">
      <w:pPr>
        <w:numPr>
          <w:ilvl w:val="0"/>
          <w:numId w:val="35"/>
        </w:numPr>
        <w:spacing w:after="200"/>
        <w:ind w:hanging="426" w:left="426"/>
        <w:jc w:val="both"/>
        <w:rPr>
          <w:u w:val="single"/>
        </w:rPr>
      </w:pPr>
      <w:r w:rsidRPr="00F2312B">
        <w:rPr>
          <w:u w:val="single"/>
        </w:rPr>
        <w:t>Optimisation de l’utilisation de l’outil informatique Immoware</w:t>
      </w:r>
    </w:p>
    <w:p w:rsidP="00F2312B" w:rsidR="00F2312B" w:rsidRDefault="00F2312B" w:rsidRPr="00F2312B">
      <w:pPr>
        <w:jc w:val="both"/>
      </w:pPr>
      <w:r w:rsidRPr="00F2312B">
        <w:t>Un consultant spécialiste du logiciel Immoware intervient depuis quelques mois à raison de 2 jours par semaine pour faire un état de lieux de notre application métier et de son utilisation, mettre à jour les dernières versions et évaluer les besoins des utilisateurs par rapport à ce produit.</w:t>
      </w:r>
    </w:p>
    <w:p w:rsidP="00F2312B" w:rsidR="00F2312B" w:rsidRDefault="00F2312B" w:rsidRPr="00F2312B">
      <w:pPr>
        <w:jc w:val="both"/>
      </w:pPr>
    </w:p>
    <w:p w:rsidP="00F2312B" w:rsidR="00F2312B" w:rsidRDefault="00F2312B" w:rsidRPr="00F2312B">
      <w:pPr>
        <w:jc w:val="both"/>
      </w:pPr>
      <w:r w:rsidRPr="00F2312B">
        <w:t xml:space="preserve">Des sessions de formation seront prévues à l’issue de ce diagnostic pour rendre chaque utilisateur moins dépendant du service informatique.  </w:t>
      </w:r>
    </w:p>
    <w:p w:rsidP="00F2312B" w:rsidR="00F2312B" w:rsidRDefault="00F2312B" w:rsidRPr="00F2312B">
      <w:pPr>
        <w:jc w:val="both"/>
      </w:pPr>
    </w:p>
    <w:p w:rsidP="00F2312B" w:rsidR="00F2312B" w:rsidRDefault="00F2312B" w:rsidRPr="00F2312B">
      <w:pPr>
        <w:jc w:val="both"/>
      </w:pPr>
    </w:p>
    <w:p w:rsidP="00E8376D" w:rsidR="00F2312B" w:rsidRDefault="00F2312B" w:rsidRPr="00F2312B">
      <w:pPr>
        <w:numPr>
          <w:ilvl w:val="0"/>
          <w:numId w:val="35"/>
        </w:numPr>
        <w:spacing w:after="200"/>
        <w:ind w:hanging="426" w:left="426"/>
        <w:jc w:val="both"/>
        <w:rPr>
          <w:u w:val="single"/>
        </w:rPr>
      </w:pPr>
      <w:r w:rsidRPr="00F2312B">
        <w:rPr>
          <w:u w:val="single"/>
        </w:rPr>
        <w:t>Redynamisation de la politique ressources humaines</w:t>
      </w:r>
    </w:p>
    <w:p w:rsidP="00F2312B" w:rsidR="00F2312B" w:rsidRDefault="00F2312B" w:rsidRPr="00F2312B">
      <w:pPr>
        <w:jc w:val="both"/>
      </w:pPr>
      <w:r w:rsidRPr="00F2312B">
        <w:t>Cette redynamisation couvre 2 domaines :</w:t>
      </w:r>
    </w:p>
    <w:p w:rsidP="00F2312B" w:rsidR="00F2312B" w:rsidRDefault="00F2312B" w:rsidRPr="00F2312B">
      <w:pPr>
        <w:numPr>
          <w:ilvl w:val="0"/>
          <w:numId w:val="19"/>
        </w:numPr>
        <w:spacing w:after="200"/>
        <w:jc w:val="both"/>
      </w:pPr>
      <w:r w:rsidRPr="00F2312B">
        <w:t>mise à disposition des services des compétences attendues que ce soit par le recrutement ou la formation,</w:t>
      </w:r>
    </w:p>
    <w:p w:rsidP="00F2312B" w:rsidR="00F2312B" w:rsidRDefault="00F2312B" w:rsidRPr="00F2312B">
      <w:pPr>
        <w:numPr>
          <w:ilvl w:val="0"/>
          <w:numId w:val="19"/>
        </w:numPr>
        <w:spacing w:after="200"/>
        <w:jc w:val="both"/>
      </w:pPr>
      <w:r w:rsidRPr="00F2312B">
        <w:t>clarification ou mise en place de process internes au service RH pour une meilleure efficacité et externes à destination du personnel par l’explication ou la clarification de la politique salariale, des évolutions professionnelles…</w:t>
      </w:r>
    </w:p>
    <w:p w:rsidP="00F2312B" w:rsidR="00F2312B" w:rsidRDefault="00F2312B">
      <w:pPr>
        <w:jc w:val="both"/>
      </w:pPr>
    </w:p>
    <w:p w:rsidP="00F2312B" w:rsidR="00E8376D" w:rsidRDefault="00E8376D" w:rsidRPr="00F2312B">
      <w:pPr>
        <w:jc w:val="both"/>
      </w:pPr>
    </w:p>
    <w:p w:rsidP="00E8376D" w:rsidR="00F2312B" w:rsidRDefault="00F2312B" w:rsidRPr="00F2312B">
      <w:pPr>
        <w:numPr>
          <w:ilvl w:val="0"/>
          <w:numId w:val="35"/>
        </w:numPr>
        <w:spacing w:after="200"/>
        <w:ind w:hanging="426" w:left="426"/>
        <w:jc w:val="both"/>
        <w:rPr>
          <w:u w:val="single"/>
        </w:rPr>
      </w:pPr>
      <w:r w:rsidRPr="00F2312B">
        <w:rPr>
          <w:u w:val="single"/>
        </w:rPr>
        <w:t>Clarification des règles et l’homogénéisation des pratiques</w:t>
      </w:r>
    </w:p>
    <w:p w:rsidP="00E8376D" w:rsidR="00F2312B" w:rsidRDefault="00F2312B" w:rsidRPr="00F2312B">
      <w:pPr>
        <w:jc w:val="both"/>
      </w:pPr>
      <w:r w:rsidRPr="00F2312B">
        <w:t>Il s’agit pour chaque direction de réaliser un état des lieux des procédures existantes, d’écrire les procédures manquantes et d’en faire un bilan quelques mois plus tard.</w:t>
      </w:r>
    </w:p>
    <w:p w:rsidP="00F2312B" w:rsidR="00F2312B" w:rsidRDefault="00F2312B" w:rsidRPr="00F2312B">
      <w:pPr>
        <w:jc w:val="both"/>
      </w:pPr>
    </w:p>
    <w:p w:rsidP="00F2312B" w:rsidR="00F2312B" w:rsidRDefault="00F2312B" w:rsidRPr="00F2312B">
      <w:pPr>
        <w:jc w:val="both"/>
      </w:pPr>
    </w:p>
    <w:p w:rsidP="00E8376D" w:rsidR="00F2312B" w:rsidRDefault="00F2312B" w:rsidRPr="00F2312B">
      <w:pPr>
        <w:numPr>
          <w:ilvl w:val="0"/>
          <w:numId w:val="35"/>
        </w:numPr>
        <w:spacing w:after="200"/>
        <w:ind w:hanging="426" w:left="426"/>
        <w:jc w:val="both"/>
        <w:rPr>
          <w:u w:val="single"/>
        </w:rPr>
      </w:pPr>
      <w:r w:rsidRPr="00F2312B">
        <w:rPr>
          <w:u w:val="single"/>
        </w:rPr>
        <w:t>Amélioration de la procédure de gestion des réclamations</w:t>
      </w:r>
    </w:p>
    <w:p w:rsidP="00E8376D" w:rsidR="00F2312B" w:rsidRDefault="00F2312B" w:rsidRPr="00F2312B">
      <w:pPr>
        <w:jc w:val="both"/>
      </w:pPr>
      <w:r w:rsidRPr="00F2312B">
        <w:t>Les reproches formulés dans la gestion des réclamations concernent la longueur des délais de traitement et la qualité de certaines interventions.</w:t>
      </w:r>
    </w:p>
    <w:p w:rsidP="00E8376D" w:rsidR="00F2312B" w:rsidRDefault="00F2312B" w:rsidRPr="00F2312B">
      <w:pPr>
        <w:jc w:val="both"/>
      </w:pPr>
    </w:p>
    <w:p w:rsidP="00E8376D" w:rsidR="00F2312B" w:rsidRDefault="00F2312B" w:rsidRPr="00F2312B">
      <w:pPr>
        <w:jc w:val="both"/>
      </w:pPr>
      <w:r w:rsidRPr="00F2312B">
        <w:t>Ceci peut engendrer des sources d’énervement chez nos locataires qui se répercutent sur les collaborateurs concernés.</w:t>
      </w:r>
    </w:p>
    <w:p w:rsidP="00E8376D" w:rsidR="00F2312B" w:rsidRDefault="00F2312B" w:rsidRPr="00F2312B">
      <w:pPr>
        <w:jc w:val="both"/>
      </w:pPr>
    </w:p>
    <w:p w:rsidP="00E8376D" w:rsidR="00F2312B" w:rsidRDefault="00F2312B" w:rsidRPr="00F2312B">
      <w:pPr>
        <w:jc w:val="both"/>
      </w:pPr>
      <w:r w:rsidRPr="00F2312B">
        <w:t>Un audit de nos pratiques a été réalisé en 2021 par l’organisme Habitat Territoires Conseil.</w:t>
      </w:r>
    </w:p>
    <w:p w:rsidP="00E8376D" w:rsidR="00F2312B" w:rsidRDefault="00F2312B" w:rsidRPr="00F2312B">
      <w:pPr>
        <w:jc w:val="both"/>
      </w:pPr>
    </w:p>
    <w:p w:rsidP="00E8376D" w:rsidR="00F2312B" w:rsidRDefault="00F2312B" w:rsidRPr="00F2312B">
      <w:pPr>
        <w:jc w:val="both"/>
      </w:pPr>
      <w:r w:rsidRPr="00F2312B">
        <w:t>Un autre schéma d’organisation a été proposé fin 2021 au comité social et économique et mis en place au 1</w:t>
      </w:r>
      <w:r w:rsidRPr="00F2312B">
        <w:rPr>
          <w:vertAlign w:val="superscript"/>
        </w:rPr>
        <w:t>er</w:t>
      </w:r>
      <w:r w:rsidRPr="00F2312B">
        <w:t xml:space="preserve"> janvier 2022. Le technicien et son assistante sont désormais rattachés à la direction de la proximité et non plus à la direction technique sous la responsabilité du responsable d’agence. De ce fait, le circuit de signature est réduit, gagnant ainsi en réactivité pour lancer les interventions techniques.</w:t>
      </w:r>
    </w:p>
    <w:p w:rsidP="00E8376D" w:rsidR="00F2312B" w:rsidRDefault="00F2312B" w:rsidRPr="00F2312B">
      <w:pPr>
        <w:jc w:val="both"/>
      </w:pPr>
    </w:p>
    <w:p w:rsidP="00F2312B" w:rsidR="00F2312B" w:rsidRDefault="00F2312B" w:rsidRPr="00F2312B">
      <w:pPr>
        <w:jc w:val="both"/>
      </w:pPr>
    </w:p>
    <w:p w:rsidP="00E8376D" w:rsidR="00F2312B" w:rsidRDefault="00F2312B" w:rsidRPr="00F2312B">
      <w:pPr>
        <w:numPr>
          <w:ilvl w:val="0"/>
          <w:numId w:val="35"/>
        </w:numPr>
        <w:spacing w:after="200"/>
        <w:ind w:hanging="426" w:left="426"/>
        <w:jc w:val="both"/>
        <w:rPr>
          <w:rFonts w:eastAsia="MS Mincho"/>
          <w:u w:val="single"/>
          <w:lang w:eastAsia="fr-FR"/>
        </w:rPr>
      </w:pPr>
      <w:r w:rsidRPr="00F2312B">
        <w:rPr>
          <w:rFonts w:eastAsia="MS Mincho"/>
          <w:u w:val="single"/>
          <w:lang w:eastAsia="fr-FR"/>
        </w:rPr>
        <w:t>Mise en place des actions de prévention concernant la violence des usagers</w:t>
      </w:r>
    </w:p>
    <w:p w:rsidP="00E8376D" w:rsidR="00F2312B" w:rsidRDefault="00F2312B" w:rsidRPr="00F2312B">
      <w:pPr>
        <w:rPr>
          <w:rFonts w:eastAsia="MS Mincho"/>
          <w:lang w:eastAsia="fr-FR"/>
        </w:rPr>
      </w:pPr>
      <w:r w:rsidRPr="00F2312B">
        <w:rPr>
          <w:rFonts w:eastAsia="MS Mincho"/>
          <w:lang w:eastAsia="fr-FR"/>
        </w:rPr>
        <w:t>Tous les collaborateurs en contact avec le public ont participé à la formation « Gestion des conflits ».</w:t>
      </w:r>
    </w:p>
    <w:p w:rsidP="00F2312B" w:rsidR="00F2312B" w:rsidRDefault="00F2312B" w:rsidRPr="00F2312B">
      <w:pPr>
        <w:ind w:left="426"/>
        <w:rPr>
          <w:rFonts w:eastAsia="MS Mincho"/>
          <w:lang w:eastAsia="fr-FR"/>
        </w:rPr>
      </w:pPr>
    </w:p>
    <w:p w:rsidP="00E8376D" w:rsidR="00F2312B" w:rsidRDefault="00F2312B" w:rsidRPr="00F2312B">
      <w:pPr>
        <w:rPr>
          <w:rFonts w:eastAsia="MS Mincho"/>
          <w:lang w:eastAsia="fr-FR"/>
        </w:rPr>
      </w:pPr>
      <w:r w:rsidRPr="00F2312B">
        <w:rPr>
          <w:rFonts w:eastAsia="MS Mincho"/>
          <w:lang w:eastAsia="fr-FR"/>
        </w:rPr>
        <w:t>Début 2022, il est à disposition du personnel un service d’écoute et de soutien psychologique accessible 24 heures sur 24 et 7 jours sur 7.</w:t>
      </w:r>
    </w:p>
    <w:p w:rsidP="00F2312B" w:rsidR="00F2312B" w:rsidRDefault="00F2312B">
      <w:pPr>
        <w:rPr>
          <w:rFonts w:eastAsia="MS Mincho"/>
          <w:lang w:eastAsia="fr-FR"/>
        </w:rPr>
      </w:pPr>
    </w:p>
    <w:p w:rsidP="00F2312B" w:rsidR="00E8376D" w:rsidRDefault="00E8376D" w:rsidRPr="00F2312B">
      <w:pPr>
        <w:rPr>
          <w:rFonts w:eastAsia="MS Mincho"/>
          <w:lang w:eastAsia="fr-FR"/>
        </w:rPr>
      </w:pPr>
    </w:p>
    <w:p w:rsidP="00E8376D" w:rsidR="00F2312B" w:rsidRDefault="00F2312B" w:rsidRPr="00F2312B">
      <w:pPr>
        <w:numPr>
          <w:ilvl w:val="0"/>
          <w:numId w:val="35"/>
        </w:numPr>
        <w:spacing w:after="200"/>
        <w:ind w:hanging="426" w:left="426"/>
        <w:jc w:val="both"/>
        <w:rPr>
          <w:u w:val="single"/>
        </w:rPr>
      </w:pPr>
      <w:r w:rsidRPr="00F2312B">
        <w:rPr>
          <w:u w:val="single"/>
        </w:rPr>
        <w:t>Amélioration des conditions de travail</w:t>
      </w:r>
    </w:p>
    <w:p w:rsidP="00E8376D" w:rsidR="00F2312B" w:rsidRDefault="00F2312B" w:rsidRPr="00F2312B">
      <w:pPr>
        <w:jc w:val="both"/>
      </w:pPr>
      <w:r w:rsidRPr="00F2312B">
        <w:t>Une réflexion sur les besoins énoncés par les représentants du personnel sera menée courant 2022.</w:t>
      </w:r>
    </w:p>
    <w:p w:rsidP="00F2312B" w:rsidR="00F2312B" w:rsidRDefault="00F2312B" w:rsidRPr="00F2312B">
      <w:pPr>
        <w:jc w:val="both"/>
      </w:pPr>
    </w:p>
    <w:p w:rsidP="00F2312B" w:rsidR="00F2312B" w:rsidRDefault="00F2312B" w:rsidRPr="00F2312B">
      <w:pPr>
        <w:jc w:val="both"/>
      </w:pPr>
    </w:p>
    <w:p w:rsidP="00D3034B" w:rsidR="0040679D" w:rsidRDefault="0040679D" w:rsidRPr="00D3034B">
      <w:pPr>
        <w:pStyle w:val="Paragraphedeliste"/>
        <w:numPr>
          <w:ilvl w:val="0"/>
          <w:numId w:val="42"/>
        </w:numPr>
        <w:spacing w:after="200"/>
        <w:ind w:hanging="426" w:left="426"/>
        <w:jc w:val="both"/>
        <w:rPr>
          <w:b/>
          <w:u w:val="single"/>
        </w:rPr>
      </w:pPr>
      <w:r w:rsidRPr="00D3034B">
        <w:rPr>
          <w:b/>
          <w:u w:val="single"/>
        </w:rPr>
        <w:t>Articulation vie personnelle et professionnelle</w:t>
      </w:r>
    </w:p>
    <w:p w:rsidP="0040679D" w:rsidR="0040679D" w:rsidRDefault="0040679D" w:rsidRPr="0040679D">
      <w:pPr>
        <w:numPr>
          <w:ilvl w:val="0"/>
          <w:numId w:val="30"/>
        </w:numPr>
        <w:spacing w:after="200"/>
        <w:ind w:hanging="426" w:left="426"/>
        <w:jc w:val="both"/>
        <w:rPr>
          <w:u w:val="single"/>
        </w:rPr>
      </w:pPr>
      <w:r w:rsidRPr="0040679D">
        <w:rPr>
          <w:u w:val="single"/>
        </w:rPr>
        <w:t>Droit à la déconnexion</w:t>
      </w:r>
    </w:p>
    <w:p w:rsidP="0040679D" w:rsidR="0040679D" w:rsidRDefault="00E55A8B">
      <w:pPr>
        <w:jc w:val="both"/>
      </w:pPr>
      <w:r>
        <w:t>Pour rappel, u</w:t>
      </w:r>
      <w:r w:rsidR="0040679D" w:rsidRPr="0040679D">
        <w:t>n accord d’entreprise relatif au droit à la déconnexion a été signé le 14/11/2019. Cet accord stipule que le droit à la déconnexion doit être respecté par les encadrants et les salariés eux-mêmes et édicte les mesures à mettre en place dans cet objectif.</w:t>
      </w:r>
    </w:p>
    <w:p w:rsidP="0040679D" w:rsidR="00766A80" w:rsidRDefault="00766A80">
      <w:pPr>
        <w:jc w:val="both"/>
      </w:pPr>
    </w:p>
    <w:p w:rsidP="0040679D" w:rsidR="00766A80" w:rsidRDefault="00766A80" w:rsidRPr="0040679D">
      <w:pPr>
        <w:jc w:val="both"/>
      </w:pPr>
    </w:p>
    <w:p w:rsidP="0040679D" w:rsidR="0040679D" w:rsidRDefault="0040679D" w:rsidRPr="0040679D">
      <w:pPr>
        <w:numPr>
          <w:ilvl w:val="0"/>
          <w:numId w:val="30"/>
        </w:numPr>
        <w:spacing w:after="200"/>
        <w:ind w:hanging="426" w:left="426"/>
        <w:jc w:val="both"/>
        <w:rPr>
          <w:u w:val="single"/>
        </w:rPr>
      </w:pPr>
      <w:r w:rsidRPr="0040679D">
        <w:rPr>
          <w:u w:val="single"/>
        </w:rPr>
        <w:t xml:space="preserve">Mesures d’adaptation du temps de travail </w:t>
      </w:r>
    </w:p>
    <w:p w:rsidP="00D3034B" w:rsidR="0040679D" w:rsidRDefault="0040679D" w:rsidRPr="0040679D">
      <w:pPr>
        <w:numPr>
          <w:ilvl w:val="0"/>
          <w:numId w:val="19"/>
        </w:numPr>
        <w:spacing w:after="200"/>
        <w:ind w:hanging="284" w:left="284"/>
        <w:jc w:val="both"/>
      </w:pPr>
      <w:r w:rsidRPr="0040679D">
        <w:t>tolérance dans les horaires d’arrivée le matin et de départ le soir dans les services où cela est possible conformément à l’accord d’entreprise de 2006,</w:t>
      </w:r>
    </w:p>
    <w:p w:rsidP="00D3034B" w:rsidR="0040679D" w:rsidRDefault="0040679D" w:rsidRPr="0040679D">
      <w:pPr>
        <w:numPr>
          <w:ilvl w:val="0"/>
          <w:numId w:val="19"/>
        </w:numPr>
        <w:spacing w:after="200"/>
        <w:ind w:hanging="284" w:left="284"/>
        <w:jc w:val="both"/>
      </w:pPr>
      <w:r w:rsidRPr="0040679D">
        <w:t xml:space="preserve">aménagements d’horaires sur demandes motivées, </w:t>
      </w:r>
    </w:p>
    <w:p w:rsidP="00D3034B" w:rsidR="0040679D" w:rsidRDefault="0040679D" w:rsidRPr="0040679D">
      <w:pPr>
        <w:numPr>
          <w:ilvl w:val="0"/>
          <w:numId w:val="19"/>
        </w:numPr>
        <w:spacing w:after="200"/>
        <w:ind w:hanging="284" w:left="284"/>
        <w:jc w:val="both"/>
      </w:pPr>
      <w:r w:rsidRPr="0040679D">
        <w:t>autorisations d’absence sur le temps de travail pour des rendez-vous personnels</w:t>
      </w:r>
    </w:p>
    <w:p w:rsidP="00D3034B" w:rsidR="0040679D" w:rsidRDefault="0040679D" w:rsidRPr="0040679D">
      <w:pPr>
        <w:numPr>
          <w:ilvl w:val="0"/>
          <w:numId w:val="19"/>
        </w:numPr>
        <w:spacing w:after="200"/>
        <w:ind w:hanging="284" w:left="284"/>
        <w:jc w:val="both"/>
      </w:pPr>
      <w:r w:rsidRPr="0040679D">
        <w:t>congés supplémentaires à l’occasion des fêtes de fin d’année et plus exceptionnellement à l’occasion de ponts,</w:t>
      </w:r>
    </w:p>
    <w:p w:rsidP="00D3034B" w:rsidR="0040679D" w:rsidRDefault="0040679D" w:rsidRPr="0040679D">
      <w:pPr>
        <w:numPr>
          <w:ilvl w:val="0"/>
          <w:numId w:val="19"/>
        </w:numPr>
        <w:spacing w:after="200"/>
        <w:ind w:hanging="284" w:left="284"/>
        <w:jc w:val="both"/>
      </w:pPr>
      <w:r w:rsidRPr="0040679D">
        <w:t>autorisations d’absence permettant aux collaborateurs de rentrer chez eux plus tôt lors des intempéries neigeuses et en cas de grève des transports,</w:t>
      </w:r>
    </w:p>
    <w:p w:rsidP="00D3034B" w:rsidR="0040679D" w:rsidRDefault="0040679D" w:rsidRPr="0040679D">
      <w:pPr>
        <w:numPr>
          <w:ilvl w:val="0"/>
          <w:numId w:val="19"/>
        </w:numPr>
        <w:spacing w:after="200"/>
        <w:ind w:hanging="284" w:left="284"/>
        <w:jc w:val="both"/>
      </w:pPr>
      <w:r w:rsidRPr="0040679D">
        <w:t>recours au télétravail en accompagnement de situations particulières (maladie, grossesse…) ou pour permettre aux collaborateurs ne pouvant se déplacer suite aux grèves de transport de ne pas poser de congés.</w:t>
      </w:r>
    </w:p>
    <w:p w:rsidP="0040679D" w:rsidR="0040679D" w:rsidRDefault="0040679D">
      <w:pPr>
        <w:jc w:val="both"/>
      </w:pPr>
    </w:p>
    <w:p w:rsidP="0040679D" w:rsidR="00D3034B" w:rsidRDefault="00D3034B" w:rsidRPr="0040679D">
      <w:pPr>
        <w:jc w:val="both"/>
      </w:pPr>
    </w:p>
    <w:p w:rsidP="0040679D" w:rsidR="0040679D" w:rsidRDefault="0040679D" w:rsidRPr="0040679D">
      <w:pPr>
        <w:numPr>
          <w:ilvl w:val="0"/>
          <w:numId w:val="30"/>
        </w:numPr>
        <w:spacing w:after="200"/>
        <w:ind w:hanging="426" w:left="426"/>
        <w:jc w:val="both"/>
        <w:rPr>
          <w:u w:val="single"/>
        </w:rPr>
      </w:pPr>
      <w:r w:rsidRPr="0040679D">
        <w:rPr>
          <w:u w:val="single"/>
        </w:rPr>
        <w:t>Mesures visant à améliorer la mobilité des salariés entre leur lieu de résidence habituelle et leur lieu de travail</w:t>
      </w:r>
    </w:p>
    <w:p w:rsidP="0040679D" w:rsidR="0040679D" w:rsidRDefault="0040679D">
      <w:pPr>
        <w:jc w:val="both"/>
      </w:pPr>
      <w:r w:rsidRPr="0040679D">
        <w:t>Colombes Habitat Public n’est pas concerné par la nouvelle obligation introduite la loi d’orientation sur les mobilités de négocier sur les mesures visant à améliorer la mobilité des salariés entre leur lieu de résidence habituelle et leur lieu de travail. En effet, le seuil de 50 salariés sur un même site n’est atteint dans aucun de ses deux sièges.</w:t>
      </w:r>
    </w:p>
    <w:p w:rsidP="0040679D" w:rsidR="0078681E" w:rsidRDefault="0078681E">
      <w:pPr>
        <w:jc w:val="both"/>
      </w:pPr>
    </w:p>
    <w:p w:rsidP="0040679D" w:rsidR="0078681E" w:rsidRDefault="0078681E" w:rsidRPr="0040679D">
      <w:pPr>
        <w:jc w:val="both"/>
      </w:pPr>
      <w:r>
        <w:t xml:space="preserve">Cependant, il est envisagé en 2022, de réfléchir à la mise en place d’un plan de mobilité durable </w:t>
      </w:r>
      <w:r w:rsidR="003A4FD3">
        <w:t>compte tenu des enjeux économiques et environnementaux.</w:t>
      </w:r>
    </w:p>
    <w:p w:rsidP="0040679D" w:rsidR="0040679D" w:rsidRDefault="0040679D" w:rsidRPr="0040679D">
      <w:pPr>
        <w:jc w:val="both"/>
      </w:pPr>
    </w:p>
    <w:p w:rsidP="0040679D" w:rsidR="00C97DA0" w:rsidRDefault="00C97DA0">
      <w:pPr>
        <w:jc w:val="both"/>
      </w:pPr>
    </w:p>
    <w:p w:rsidP="00D3034B" w:rsidR="0040679D" w:rsidRDefault="0040679D" w:rsidRPr="00D3034B">
      <w:pPr>
        <w:pStyle w:val="Paragraphedeliste"/>
        <w:numPr>
          <w:ilvl w:val="0"/>
          <w:numId w:val="42"/>
        </w:numPr>
        <w:tabs>
          <w:tab w:pos="426" w:val="left"/>
        </w:tabs>
        <w:spacing w:after="200"/>
        <w:ind w:hanging="720"/>
        <w:jc w:val="both"/>
        <w:rPr>
          <w:b/>
        </w:rPr>
      </w:pPr>
      <w:r w:rsidRPr="00D3034B">
        <w:rPr>
          <w:b/>
          <w:u w:val="single"/>
        </w:rPr>
        <w:t xml:space="preserve">Conditions travail et d’emploi </w:t>
      </w:r>
    </w:p>
    <w:p w:rsidP="0040679D" w:rsidR="0040679D" w:rsidRDefault="0040679D" w:rsidRPr="0040679D">
      <w:pPr>
        <w:tabs>
          <w:tab w:pos="709" w:val="left"/>
        </w:tabs>
        <w:jc w:val="both"/>
      </w:pPr>
      <w:r w:rsidRPr="0040679D">
        <w:t>Seront abordés dans ce point :</w:t>
      </w:r>
    </w:p>
    <w:p w:rsidP="00D3034B" w:rsidR="0040679D" w:rsidRDefault="0040679D" w:rsidRPr="0040679D">
      <w:pPr>
        <w:numPr>
          <w:ilvl w:val="0"/>
          <w:numId w:val="19"/>
        </w:numPr>
        <w:tabs>
          <w:tab w:pos="709" w:val="left"/>
        </w:tabs>
        <w:spacing w:after="200"/>
        <w:ind w:hanging="284" w:left="284"/>
        <w:jc w:val="both"/>
      </w:pPr>
      <w:r w:rsidRPr="0040679D">
        <w:t>le temps partiel,</w:t>
      </w:r>
    </w:p>
    <w:p w:rsidP="00D3034B" w:rsidR="0040679D" w:rsidRDefault="0040679D" w:rsidRPr="0040679D">
      <w:pPr>
        <w:numPr>
          <w:ilvl w:val="0"/>
          <w:numId w:val="19"/>
        </w:numPr>
        <w:tabs>
          <w:tab w:pos="709" w:val="left"/>
        </w:tabs>
        <w:spacing w:after="200"/>
        <w:ind w:hanging="284" w:left="284"/>
        <w:jc w:val="both"/>
      </w:pPr>
      <w:r w:rsidRPr="0040679D">
        <w:t>l’insertion professionnelle et le maintien dans l’emploi des travailleurs handicapés,</w:t>
      </w:r>
    </w:p>
    <w:p w:rsidP="00D3034B" w:rsidR="0040679D" w:rsidRDefault="0040679D" w:rsidRPr="0040679D">
      <w:pPr>
        <w:numPr>
          <w:ilvl w:val="0"/>
          <w:numId w:val="19"/>
        </w:numPr>
        <w:tabs>
          <w:tab w:pos="709" w:val="left"/>
        </w:tabs>
        <w:spacing w:after="200"/>
        <w:ind w:hanging="284" w:left="284"/>
        <w:jc w:val="both"/>
      </w:pPr>
      <w:r w:rsidRPr="0040679D">
        <w:t>les conditions de travail et la prévention de la pénibilité,</w:t>
      </w:r>
    </w:p>
    <w:p w:rsidP="0040679D" w:rsidR="0040679D" w:rsidRDefault="0040679D" w:rsidRPr="0040679D">
      <w:pPr>
        <w:numPr>
          <w:ilvl w:val="0"/>
          <w:numId w:val="19"/>
        </w:numPr>
        <w:tabs>
          <w:tab w:pos="709" w:val="left"/>
        </w:tabs>
        <w:spacing w:after="200"/>
        <w:ind w:left="720"/>
        <w:jc w:val="both"/>
      </w:pPr>
      <w:r w:rsidRPr="0040679D">
        <w:t>le régime de prévoyance et de complémentaire santé,</w:t>
      </w:r>
    </w:p>
    <w:p w:rsidP="0040679D" w:rsidR="0040679D" w:rsidRDefault="0040679D" w:rsidRPr="0040679D">
      <w:pPr>
        <w:numPr>
          <w:ilvl w:val="0"/>
          <w:numId w:val="19"/>
        </w:numPr>
        <w:tabs>
          <w:tab w:pos="709" w:val="left"/>
        </w:tabs>
        <w:spacing w:after="200"/>
        <w:ind w:left="720"/>
        <w:jc w:val="both"/>
      </w:pPr>
      <w:r w:rsidRPr="0040679D">
        <w:t>l’exercice du droit d’expression directe et collective des salariés.</w:t>
      </w:r>
    </w:p>
    <w:p w:rsidP="0040679D" w:rsidR="003A4FD3" w:rsidRDefault="003A4FD3">
      <w:pPr>
        <w:tabs>
          <w:tab w:pos="709" w:val="left"/>
        </w:tabs>
        <w:jc w:val="both"/>
        <w:rPr>
          <w:u w:val="single"/>
        </w:rPr>
      </w:pPr>
    </w:p>
    <w:p w:rsidP="0040679D" w:rsidR="003A4FD3" w:rsidRDefault="003A4FD3" w:rsidRPr="0040679D">
      <w:pPr>
        <w:tabs>
          <w:tab w:pos="709" w:val="left"/>
        </w:tabs>
        <w:jc w:val="both"/>
        <w:rPr>
          <w:u w:val="single"/>
        </w:rPr>
      </w:pPr>
    </w:p>
    <w:p w:rsidP="0040679D" w:rsidR="0040679D" w:rsidRDefault="0040679D" w:rsidRPr="0040679D">
      <w:pPr>
        <w:numPr>
          <w:ilvl w:val="0"/>
          <w:numId w:val="28"/>
        </w:numPr>
        <w:tabs>
          <w:tab w:pos="426" w:val="left"/>
        </w:tabs>
        <w:spacing w:after="200"/>
        <w:ind w:hanging="426" w:left="426"/>
        <w:jc w:val="both"/>
        <w:rPr>
          <w:u w:val="single"/>
        </w:rPr>
      </w:pPr>
      <w:r w:rsidRPr="0040679D">
        <w:rPr>
          <w:u w:val="single"/>
        </w:rPr>
        <w:t xml:space="preserve">Temps partiel </w:t>
      </w:r>
    </w:p>
    <w:p w:rsidP="0040679D" w:rsidR="0040679D" w:rsidRDefault="0040679D" w:rsidRPr="0040679D">
      <w:pPr>
        <w:tabs>
          <w:tab w:pos="709" w:val="left"/>
        </w:tabs>
        <w:jc w:val="both"/>
      </w:pPr>
      <w:r w:rsidRPr="0040679D">
        <w:t>Le code du travail prévoit que les salariés à temps partiel peuvent, s'ils le souhaitent et sous réserve de l'accord de leur employeur, demander que leurs cotisations d'assurance vieillesse soient calculées sur la base d'un salaire fictif à temps plein. Cela leur permet ainsi de neutraliser les effets de l'exercice d'une activité à temps partiel sur le montant futur de leur retraite et de pouvoir se constituer des droits à retraite plus importants.</w:t>
      </w:r>
    </w:p>
    <w:p w:rsidP="0040679D" w:rsidR="0040679D" w:rsidRDefault="0040679D" w:rsidRPr="0040679D">
      <w:pPr>
        <w:tabs>
          <w:tab w:pos="709" w:val="left"/>
        </w:tabs>
        <w:jc w:val="both"/>
      </w:pPr>
    </w:p>
    <w:p w:rsidP="0040679D" w:rsidR="0040679D" w:rsidRDefault="0040679D" w:rsidRPr="0040679D">
      <w:pPr>
        <w:tabs>
          <w:tab w:pos="709" w:val="left"/>
        </w:tabs>
        <w:jc w:val="both"/>
      </w:pPr>
      <w:r w:rsidRPr="0040679D">
        <w:t xml:space="preserve">L'employeur peut prendre en charge </w:t>
      </w:r>
      <w:r w:rsidRPr="0040679D">
        <w:rPr>
          <w:rFonts w:eastAsia="Times New Roman"/>
          <w:color w:val="000000"/>
          <w:lang w:eastAsia="fr-FR"/>
        </w:rPr>
        <w:t>tout ou partie du surplus</w:t>
      </w:r>
      <w:r w:rsidRPr="0040679D">
        <w:t xml:space="preserve"> entre le montant de la cotisation salariale d'assurance vieillesse due sur un temps plein et la cotisation dont le salarié serait redevable sur son salaire à temps partiel.</w:t>
      </w:r>
    </w:p>
    <w:p w:rsidP="0040679D" w:rsidR="0040679D" w:rsidRDefault="0040679D" w:rsidRPr="0040679D">
      <w:pPr>
        <w:tabs>
          <w:tab w:pos="709" w:val="left"/>
        </w:tabs>
        <w:jc w:val="both"/>
      </w:pPr>
    </w:p>
    <w:p w:rsidP="0040679D" w:rsidR="0040679D" w:rsidRDefault="0040679D" w:rsidRPr="0040679D">
      <w:pPr>
        <w:tabs>
          <w:tab w:pos="709" w:val="left"/>
        </w:tabs>
        <w:jc w:val="both"/>
      </w:pPr>
      <w:r w:rsidRPr="0040679D">
        <w:t>Aucune demande dans ce sens n’a été formulée.</w:t>
      </w:r>
    </w:p>
    <w:p w:rsidP="0040679D" w:rsidR="0040679D" w:rsidRDefault="0040679D">
      <w:pPr>
        <w:tabs>
          <w:tab w:pos="709" w:val="left"/>
        </w:tabs>
        <w:jc w:val="both"/>
      </w:pPr>
    </w:p>
    <w:p w:rsidP="0040679D" w:rsidR="00D3034B" w:rsidRDefault="00D3034B">
      <w:pPr>
        <w:tabs>
          <w:tab w:pos="709" w:val="left"/>
        </w:tabs>
        <w:jc w:val="both"/>
      </w:pPr>
    </w:p>
    <w:p w:rsidP="0040679D" w:rsidR="00A95F53" w:rsidRDefault="00A95F53">
      <w:pPr>
        <w:tabs>
          <w:tab w:pos="709" w:val="left"/>
        </w:tabs>
        <w:jc w:val="both"/>
      </w:pPr>
    </w:p>
    <w:p w:rsidP="0040679D" w:rsidR="00A95F53" w:rsidRDefault="00A95F53">
      <w:pPr>
        <w:tabs>
          <w:tab w:pos="709" w:val="left"/>
        </w:tabs>
        <w:jc w:val="both"/>
      </w:pPr>
    </w:p>
    <w:p w:rsidP="0040679D" w:rsidR="00A95F53" w:rsidRDefault="00A95F53">
      <w:pPr>
        <w:tabs>
          <w:tab w:pos="709" w:val="left"/>
        </w:tabs>
        <w:jc w:val="both"/>
      </w:pPr>
    </w:p>
    <w:p w:rsidP="0040679D" w:rsidR="00A95F53" w:rsidRDefault="00A95F53" w:rsidRPr="0040679D">
      <w:pPr>
        <w:tabs>
          <w:tab w:pos="709" w:val="left"/>
        </w:tabs>
        <w:jc w:val="both"/>
      </w:pPr>
    </w:p>
    <w:p w:rsidP="0040679D" w:rsidR="0040679D" w:rsidRDefault="0040679D" w:rsidRPr="0040679D">
      <w:pPr>
        <w:tabs>
          <w:tab w:pos="426" w:val="left"/>
        </w:tabs>
        <w:jc w:val="both"/>
      </w:pPr>
      <w:r w:rsidRPr="0040679D">
        <w:t>b)</w:t>
      </w:r>
      <w:r w:rsidRPr="0040679D">
        <w:tab/>
      </w:r>
      <w:r w:rsidRPr="0040679D">
        <w:rPr>
          <w:u w:val="single"/>
        </w:rPr>
        <w:t>Insertion professionnelle et le maintien dans l’emploi des travailleurs handicapés</w:t>
      </w:r>
    </w:p>
    <w:p w:rsidP="0040679D" w:rsidR="0040679D" w:rsidRDefault="0040679D" w:rsidRPr="0040679D">
      <w:pPr>
        <w:jc w:val="both"/>
      </w:pPr>
    </w:p>
    <w:p w:rsidP="0040679D" w:rsidR="0040679D" w:rsidRDefault="0040679D" w:rsidRPr="0040679D">
      <w:pPr>
        <w:jc w:val="both"/>
      </w:pPr>
      <w:r w:rsidRPr="0040679D">
        <w:t>En 20</w:t>
      </w:r>
      <w:r w:rsidR="00E55A8B">
        <w:t>2</w:t>
      </w:r>
      <w:r w:rsidR="003A4FD3">
        <w:t>2</w:t>
      </w:r>
      <w:r w:rsidRPr="0040679D">
        <w:t>, Colombes Habitat Public remplit ses obligations d’emploi des travailleurs handicapés (6% de l’effectif total des collaborateurs privés et publics) au titre de l’année 20</w:t>
      </w:r>
      <w:r w:rsidR="00E55A8B">
        <w:t>2</w:t>
      </w:r>
      <w:r w:rsidR="003A4FD3">
        <w:t>1</w:t>
      </w:r>
      <w:r w:rsidRPr="0040679D">
        <w:t>.</w:t>
      </w:r>
    </w:p>
    <w:p w:rsidP="0040679D" w:rsidR="0040679D" w:rsidRDefault="0040679D" w:rsidRPr="0040679D">
      <w:pPr>
        <w:jc w:val="both"/>
      </w:pPr>
    </w:p>
    <w:p w:rsidP="0040679D" w:rsidR="0040679D" w:rsidRDefault="0040679D" w:rsidRPr="0040679D">
      <w:pPr>
        <w:jc w:val="both"/>
      </w:pPr>
      <w:r w:rsidRPr="0040679D">
        <w:t>En effet, 1</w:t>
      </w:r>
      <w:r w:rsidR="003A4FD3">
        <w:t>7</w:t>
      </w:r>
      <w:r w:rsidRPr="0040679D">
        <w:t xml:space="preserve"> collaborateurs (privés et publics) reconnus comme travailleurs handicapés ou titulaires d’une rente d’invalidité sont dans les effectifs de personnel.</w:t>
      </w:r>
    </w:p>
    <w:p w:rsidP="0040679D" w:rsidR="0040679D" w:rsidRDefault="0040679D" w:rsidRPr="0040679D">
      <w:pPr>
        <w:jc w:val="both"/>
      </w:pPr>
    </w:p>
    <w:p w:rsidP="0040679D" w:rsidR="00C26A1C" w:rsidRDefault="00C26A1C" w:rsidRPr="0040679D">
      <w:pPr>
        <w:jc w:val="both"/>
      </w:pPr>
    </w:p>
    <w:p w:rsidP="00C26A1C" w:rsidR="0040679D" w:rsidRDefault="0040679D" w:rsidRPr="00C26A1C">
      <w:pPr>
        <w:pStyle w:val="Paragraphedeliste"/>
        <w:numPr>
          <w:ilvl w:val="0"/>
          <w:numId w:val="32"/>
        </w:numPr>
        <w:tabs>
          <w:tab w:pos="426" w:val="left"/>
        </w:tabs>
        <w:spacing w:after="200"/>
        <w:ind w:hanging="720"/>
        <w:jc w:val="both"/>
        <w:rPr>
          <w:u w:val="single"/>
        </w:rPr>
      </w:pPr>
      <w:r w:rsidRPr="00C26A1C">
        <w:rPr>
          <w:u w:val="single"/>
        </w:rPr>
        <w:t>Condition de travail et Prévention de la pénibilité</w:t>
      </w:r>
    </w:p>
    <w:p w:rsidP="00E55A8B" w:rsidR="00E55A8B" w:rsidRDefault="00E55A8B">
      <w:pPr>
        <w:pStyle w:val="Sansinterligne"/>
        <w:tabs>
          <w:tab w:pos="709" w:val="left"/>
        </w:tabs>
      </w:pPr>
      <w:r>
        <w:t>La pandémie survenue au printemps 2020 a bouleversé les habitudes de travail : recours au télétravail dans l’urgence, mise en place de permanences, réduction des horaires des Gardiens…</w:t>
      </w:r>
    </w:p>
    <w:p w:rsidP="00E55A8B" w:rsidR="00E55A8B" w:rsidRDefault="00E55A8B">
      <w:pPr>
        <w:pStyle w:val="Sansinterligne"/>
        <w:tabs>
          <w:tab w:pos="709" w:val="left"/>
        </w:tabs>
      </w:pPr>
    </w:p>
    <w:p w:rsidP="00E55A8B" w:rsidR="00E55A8B" w:rsidRDefault="00E55A8B">
      <w:pPr>
        <w:pStyle w:val="Sansinterligne"/>
        <w:tabs>
          <w:tab w:pos="709" w:val="left"/>
        </w:tabs>
      </w:pPr>
      <w:r>
        <w:t>En concertation avec les Représentants du personnel, il a établi un plan de continuité d’activité et plusieurs plans de reprise d’activité.</w:t>
      </w:r>
    </w:p>
    <w:p w:rsidP="00E55A8B" w:rsidR="00E55A8B" w:rsidRDefault="00E55A8B">
      <w:pPr>
        <w:pStyle w:val="Sansinterligne"/>
        <w:tabs>
          <w:tab w:pos="709" w:val="left"/>
        </w:tabs>
      </w:pPr>
    </w:p>
    <w:p w:rsidP="00E55A8B" w:rsidR="00E55A8B" w:rsidRDefault="00E55A8B" w:rsidRPr="0057591E">
      <w:pPr>
        <w:pStyle w:val="Sansinterligne"/>
        <w:tabs>
          <w:tab w:pos="709" w:val="left"/>
        </w:tabs>
      </w:pPr>
      <w:r>
        <w:t>Conformément aux recommandations sanitaires, le personnel a été doté dès que cela a été possible de masques, gants, gels hydroalcooliques et de produits virucides.</w:t>
      </w:r>
    </w:p>
    <w:p w:rsidP="00E55A8B" w:rsidR="00E55A8B" w:rsidRDefault="00E55A8B">
      <w:pPr>
        <w:pStyle w:val="Sansinterligne"/>
        <w:rPr>
          <w:u w:val="single"/>
        </w:rPr>
      </w:pPr>
    </w:p>
    <w:p w:rsidP="00E55A8B" w:rsidR="00E55A8B" w:rsidRDefault="00E55A8B" w:rsidRPr="00897037">
      <w:pPr>
        <w:pStyle w:val="Sansinterligne"/>
      </w:pPr>
      <w:r w:rsidRPr="00897037">
        <w:t>Par ailleurs,</w:t>
      </w:r>
      <w:r>
        <w:t xml:space="preserve"> il a été installé dans les bureaux recevant du public, les bureaux partagés et les loges ont été dotés de plexiglass.</w:t>
      </w:r>
    </w:p>
    <w:p w:rsidP="00E55A8B" w:rsidR="00E55A8B" w:rsidRDefault="00E55A8B">
      <w:pPr>
        <w:pStyle w:val="Sansinterligne"/>
        <w:rPr>
          <w:u w:val="single"/>
        </w:rPr>
      </w:pPr>
    </w:p>
    <w:p w:rsidP="00E55A8B" w:rsidR="00E55A8B" w:rsidRDefault="003A4FD3">
      <w:pPr>
        <w:pStyle w:val="Sansinterligne"/>
      </w:pPr>
      <w:r>
        <w:t>L’organisation du travail a été revue à plusieurs reprises pour mettre en place les mesures gouvernementales notamment au regard du télétravail ou d’aménagement d’horaires pour le personnel de proximité.</w:t>
      </w:r>
    </w:p>
    <w:p w:rsidP="00E55A8B" w:rsidR="003A4FD3" w:rsidRDefault="003A4FD3">
      <w:pPr>
        <w:pStyle w:val="Sansinterligne"/>
      </w:pPr>
    </w:p>
    <w:p w:rsidP="00E55A8B" w:rsidR="003A4FD3" w:rsidRDefault="003A4FD3">
      <w:pPr>
        <w:pStyle w:val="Sansinterligne"/>
        <w:rPr>
          <w:u w:val="single"/>
        </w:rPr>
      </w:pPr>
    </w:p>
    <w:p w:rsidP="00C26A1C" w:rsidR="0040679D" w:rsidRDefault="0040679D" w:rsidRPr="0040679D">
      <w:pPr>
        <w:numPr>
          <w:ilvl w:val="0"/>
          <w:numId w:val="32"/>
        </w:numPr>
        <w:spacing w:after="200"/>
        <w:ind w:hanging="426" w:left="426"/>
        <w:jc w:val="both"/>
        <w:rPr>
          <w:u w:val="single"/>
        </w:rPr>
      </w:pPr>
      <w:r w:rsidRPr="0040679D">
        <w:rPr>
          <w:u w:val="single"/>
        </w:rPr>
        <w:t>Régime de prévoyance et frais de santé</w:t>
      </w:r>
    </w:p>
    <w:p w:rsidP="0040679D" w:rsidR="0040679D" w:rsidRDefault="0040679D" w:rsidRPr="0040679D">
      <w:pPr>
        <w:jc w:val="both"/>
      </w:pPr>
      <w:r w:rsidRPr="0040679D">
        <w:t xml:space="preserve">Un accord d’entreprise, avec effet au 01/04/2013, a été conclu avec les organisations syndicales pour couvrir les collaborateurs contre le risque incapacité de travail et frais de santé. </w:t>
      </w:r>
    </w:p>
    <w:p w:rsidP="0040679D" w:rsidR="0040679D" w:rsidRDefault="0040679D" w:rsidRPr="0040679D">
      <w:pPr>
        <w:jc w:val="both"/>
      </w:pPr>
      <w:r w:rsidRPr="0040679D">
        <w:t>Un avenant à l’accord d’entreprise relatif à la Protection sociale complémentaire a été signé le 04/12/2019 avec les Délégués syndicaux pour prendre en compte les modifications législatives et réglementaires intervenues depuis la signature de l’accord initial, et plus particulièrement pour la mise en place du « Reste à charge Zéro ».</w:t>
      </w:r>
    </w:p>
    <w:p w:rsidP="0040679D" w:rsidR="003A4FD3" w:rsidRDefault="003A4FD3">
      <w:pPr>
        <w:tabs>
          <w:tab w:pos="709" w:val="left"/>
        </w:tabs>
        <w:jc w:val="both"/>
      </w:pPr>
    </w:p>
    <w:p w:rsidP="003A4FD3" w:rsidR="003A4FD3" w:rsidRDefault="003A4FD3" w:rsidRPr="003A4FD3">
      <w:pPr>
        <w:spacing w:after="200"/>
        <w:jc w:val="both"/>
      </w:pPr>
      <w:r w:rsidRPr="003A4FD3">
        <w:t xml:space="preserve">Suite au renouvellement fin 2021 du contrat de protection sociale complémentaire « frais de santé », la direction a souhaité redéfinir les garanties applicables au sein de Colombes Habitat Public au sein d’un seul acte, dans un souci de lisibilité. </w:t>
      </w:r>
    </w:p>
    <w:p w:rsidP="003A4FD3" w:rsidR="003A4FD3" w:rsidRDefault="003A4FD3" w:rsidRPr="003A4FD3">
      <w:pPr>
        <w:spacing w:after="240"/>
        <w:jc w:val="both"/>
        <w:rPr>
          <w:rFonts w:eastAsia="Times New Roman"/>
          <w:lang w:eastAsia="fr-FR"/>
        </w:rPr>
      </w:pPr>
      <w:r w:rsidRPr="003A4FD3">
        <w:rPr>
          <w:rFonts w:eastAsia="Times New Roman"/>
          <w:lang w:eastAsia="fr-FR"/>
        </w:rPr>
        <w:t>L’avenant de révision n°2 se substitue donc à l’accord collectif du 19 décembre 2012 relatif à la protection sociale complémentaire et à l’avenant de révision n°1 du 4 décembre 2019.</w:t>
      </w:r>
    </w:p>
    <w:p w:rsidP="0040679D" w:rsidR="003A4FD3" w:rsidRDefault="003A4FD3">
      <w:pPr>
        <w:tabs>
          <w:tab w:pos="709" w:val="left"/>
        </w:tabs>
        <w:jc w:val="both"/>
      </w:pPr>
    </w:p>
    <w:p w:rsidP="0040679D" w:rsidR="00D3034B" w:rsidRDefault="00D3034B" w:rsidRPr="0040679D">
      <w:pPr>
        <w:tabs>
          <w:tab w:pos="709" w:val="left"/>
        </w:tabs>
        <w:jc w:val="both"/>
      </w:pPr>
    </w:p>
    <w:p w:rsidP="00C26A1C" w:rsidR="0040679D" w:rsidRDefault="0040679D" w:rsidRPr="0040679D">
      <w:pPr>
        <w:numPr>
          <w:ilvl w:val="0"/>
          <w:numId w:val="32"/>
        </w:numPr>
        <w:spacing w:after="200"/>
        <w:ind w:hanging="426" w:left="426"/>
        <w:jc w:val="both"/>
        <w:rPr>
          <w:u w:val="single"/>
        </w:rPr>
      </w:pPr>
      <w:r w:rsidRPr="0040679D">
        <w:rPr>
          <w:u w:val="single"/>
        </w:rPr>
        <w:t>L’exercice du droit d’expression directe et collective des salariés</w:t>
      </w:r>
    </w:p>
    <w:p w:rsidP="0040679D" w:rsidR="0040679D" w:rsidRDefault="0040679D" w:rsidRPr="0040679D">
      <w:pPr>
        <w:jc w:val="both"/>
      </w:pPr>
    </w:p>
    <w:p w:rsidP="0040679D" w:rsidR="0040679D" w:rsidRDefault="0040679D" w:rsidRPr="0040679D">
      <w:pPr>
        <w:jc w:val="both"/>
        <w:rPr>
          <w:i/>
        </w:rPr>
      </w:pPr>
      <w:r w:rsidRPr="0040679D">
        <w:t>La loi du 4 août 1982 modifié par la loi du 3 janvier 1986 aménage dans l’entreprise un droit d’expression des salariés concernant les conditions de travail. L’ordonnance n°2017-1386 du 22 septembre 2017 a apporté quelques précisions. C’est ainsi que l’article L.2281-2 du code du travail stipule « </w:t>
      </w:r>
      <w:r w:rsidRPr="0040679D">
        <w:rPr>
          <w:i/>
        </w:rPr>
        <w:t>l’expression directe et collective des salariés a pour objet de définir les actions à mettre en œuvre pour améliorer leurs conditions de travail, l’organisation de l’activité et la qualité de la production dans l’unité de travail à laquelle ils appartiennent et dans l’entreprise.»</w:t>
      </w:r>
    </w:p>
    <w:p w:rsidP="0040679D" w:rsidR="0040679D" w:rsidRDefault="0040679D" w:rsidRPr="0040679D">
      <w:pPr>
        <w:jc w:val="both"/>
      </w:pPr>
      <w:r w:rsidRPr="0040679D">
        <w:t>Selon les articles L.2281-1 à L.2281-4 du code du travail, le droit d’expression s’exerce de manière « directe et collective ».</w:t>
      </w:r>
    </w:p>
    <w:p w:rsidP="0040679D" w:rsidR="0040679D" w:rsidRDefault="0040679D" w:rsidRPr="0040679D">
      <w:pPr>
        <w:jc w:val="both"/>
      </w:pPr>
    </w:p>
    <w:p w:rsidP="0040679D" w:rsidR="0040679D" w:rsidRDefault="0040679D" w:rsidRPr="0040679D">
      <w:pPr>
        <w:jc w:val="both"/>
      </w:pPr>
      <w:r w:rsidRPr="0040679D">
        <w:t>Direct dans le sens où chaque salarié doit pouvoir user de son droit par une démarche personnelle.</w:t>
      </w:r>
    </w:p>
    <w:p w:rsidP="0040679D" w:rsidR="0040679D" w:rsidRDefault="0040679D" w:rsidRPr="0040679D">
      <w:pPr>
        <w:spacing w:after="200"/>
        <w:contextualSpacing/>
        <w:jc w:val="both"/>
      </w:pPr>
      <w:r w:rsidRPr="0040679D">
        <w:t>Collectif dans le sens où chacun doit pouvoir s’exprimer, non pas dans un rapport individuel salarié-hiérarchie, mais en tant que membre d’une unité de travail.</w:t>
      </w:r>
    </w:p>
    <w:p w:rsidP="0040679D" w:rsidR="0040679D" w:rsidRDefault="0040679D" w:rsidRPr="0040679D">
      <w:pPr>
        <w:spacing w:after="200"/>
        <w:contextualSpacing/>
        <w:jc w:val="both"/>
      </w:pPr>
    </w:p>
    <w:p w:rsidP="0040679D" w:rsidR="0040679D" w:rsidRDefault="0040679D" w:rsidRPr="0040679D">
      <w:pPr>
        <w:spacing w:after="200"/>
        <w:contextualSpacing/>
        <w:jc w:val="both"/>
      </w:pPr>
      <w:r w:rsidRPr="0040679D">
        <w:t>Les modalités d’exercice du droit d’expression sont définies dans le cadre de la négociation portant sur l’égalité professionnelle entre les femmes et les hommes et la qualité de vie au travail prévue à l’article L.2242-1.</w:t>
      </w:r>
    </w:p>
    <w:p w:rsidP="0040679D" w:rsidR="0040679D" w:rsidRDefault="0040679D" w:rsidRPr="0040679D">
      <w:pPr>
        <w:spacing w:after="200"/>
        <w:contextualSpacing/>
        <w:jc w:val="both"/>
      </w:pPr>
    </w:p>
    <w:p w:rsidP="00906EDA" w:rsidR="00653324" w:rsidRDefault="00653324">
      <w:pPr>
        <w:spacing w:before="60"/>
        <w:jc w:val="both"/>
        <w:rPr>
          <w:caps/>
        </w:rPr>
      </w:pPr>
    </w:p>
    <w:p w:rsidP="00906EDA" w:rsidR="00703E01" w:rsidRDefault="00FF787A" w:rsidRPr="00651DA9">
      <w:pPr>
        <w:spacing w:before="60"/>
        <w:jc w:val="both"/>
        <w:rPr>
          <w:b/>
          <w:caps/>
          <w:u w:val="single"/>
        </w:rPr>
      </w:pPr>
      <w:r w:rsidRPr="00651DA9">
        <w:rPr>
          <w:b/>
          <w:caps/>
          <w:u w:val="single"/>
        </w:rPr>
        <w:t>Article 3 :</w:t>
      </w:r>
      <w:r w:rsidR="00703E01" w:rsidRPr="00651DA9">
        <w:rPr>
          <w:b/>
          <w:caps/>
          <w:u w:val="single"/>
        </w:rPr>
        <w:t xml:space="preserve"> Dispositions finales</w:t>
      </w:r>
    </w:p>
    <w:p w:rsidP="00906EDA" w:rsidR="00703E01" w:rsidRDefault="00703E01">
      <w:pPr>
        <w:pStyle w:val="Textebrut"/>
        <w:spacing w:before="60"/>
        <w:jc w:val="both"/>
        <w:rPr>
          <w:rFonts w:ascii="Arial" w:cs="Arial" w:hAnsi="Arial"/>
          <w:sz w:val="22"/>
          <w:szCs w:val="22"/>
        </w:rPr>
      </w:pPr>
    </w:p>
    <w:p w:rsidP="00906EDA" w:rsidR="00703E01" w:rsidRDefault="007D359C" w:rsidRPr="00651DA9">
      <w:pPr>
        <w:spacing w:before="60"/>
        <w:jc w:val="both"/>
      </w:pPr>
      <w:r w:rsidRPr="007D359C">
        <w:t>L</w:t>
      </w:r>
      <w:r w:rsidR="00703E01" w:rsidRPr="007D359C">
        <w:t xml:space="preserve">e présent accord sera déposé </w:t>
      </w:r>
      <w:r w:rsidRPr="007D359C">
        <w:t>sur la plate-forme</w:t>
      </w:r>
      <w:r w:rsidR="00136B01" w:rsidRPr="007D359C">
        <w:t xml:space="preserve"> </w:t>
      </w:r>
      <w:r w:rsidRPr="007D359C">
        <w:t xml:space="preserve">de « téléprocédure » du ministère du travail (« Télé Accords ») par le représentant légal de Colombes Habitat Public </w:t>
      </w:r>
      <w:r w:rsidR="00703E01" w:rsidRPr="007D359C">
        <w:t xml:space="preserve">ainsi qu’au secrétariat </w:t>
      </w:r>
      <w:r w:rsidR="00F71147" w:rsidRPr="007D359C">
        <w:t xml:space="preserve">du </w:t>
      </w:r>
      <w:r>
        <w:t>greffe du C</w:t>
      </w:r>
      <w:r w:rsidR="00703E01" w:rsidRPr="007D359C">
        <w:t xml:space="preserve">onseil des prud’hommes </w:t>
      </w:r>
      <w:r>
        <w:t>de Nanterre.</w:t>
      </w:r>
    </w:p>
    <w:p w:rsidP="00906EDA" w:rsidR="00703E01" w:rsidRDefault="00703E01" w:rsidRPr="00651DA9">
      <w:pPr>
        <w:spacing w:before="60"/>
        <w:jc w:val="both"/>
      </w:pPr>
    </w:p>
    <w:p w:rsidP="00906EDA" w:rsidR="00703E01" w:rsidRDefault="00703E01" w:rsidRPr="00651DA9">
      <w:pPr>
        <w:spacing w:before="60"/>
        <w:jc w:val="both"/>
        <w:rPr>
          <w:color w:val="000000"/>
        </w:rPr>
      </w:pPr>
      <w:r w:rsidRPr="00651DA9">
        <w:rPr>
          <w:color w:val="000000"/>
        </w:rPr>
        <w:t xml:space="preserve">Un exemplaire sera remis aux membres des organisations syndicales </w:t>
      </w:r>
      <w:r w:rsidR="00136B01" w:rsidRPr="00651DA9">
        <w:rPr>
          <w:color w:val="000000"/>
        </w:rPr>
        <w:t xml:space="preserve">de Colombes Habitat Public </w:t>
      </w:r>
      <w:r w:rsidRPr="00651DA9">
        <w:rPr>
          <w:color w:val="000000"/>
        </w:rPr>
        <w:t>ayant participé à la négociation du présent accord.</w:t>
      </w:r>
    </w:p>
    <w:p w:rsidP="00906EDA" w:rsidR="00703E01" w:rsidRDefault="00703E01" w:rsidRPr="00651DA9">
      <w:pPr>
        <w:spacing w:before="60"/>
        <w:jc w:val="both"/>
        <w:rPr>
          <w:color w:val="000000"/>
        </w:rPr>
      </w:pPr>
    </w:p>
    <w:p w:rsidP="00906EDA" w:rsidR="00703E01" w:rsidRDefault="00703E01" w:rsidRPr="00651DA9">
      <w:pPr>
        <w:spacing w:before="60"/>
        <w:jc w:val="both"/>
      </w:pPr>
      <w:r w:rsidRPr="00651DA9">
        <w:t xml:space="preserve">En outre, une copie sera remise aux </w:t>
      </w:r>
      <w:r w:rsidR="00632AED">
        <w:t xml:space="preserve">élus de la délégation du personnel </w:t>
      </w:r>
      <w:r w:rsidRPr="00651DA9">
        <w:t xml:space="preserve">du comité </w:t>
      </w:r>
      <w:r w:rsidR="00632AED">
        <w:t>social économique</w:t>
      </w:r>
      <w:r w:rsidRPr="00651DA9">
        <w:t>.</w:t>
      </w:r>
    </w:p>
    <w:p w:rsidP="00906EDA" w:rsidR="00703E01" w:rsidRDefault="00703E01">
      <w:pPr>
        <w:spacing w:before="60"/>
        <w:jc w:val="both"/>
      </w:pPr>
    </w:p>
    <w:p w:rsidP="00906EDA" w:rsidR="00D751F9" w:rsidRDefault="00703E01" w:rsidRPr="00651DA9">
      <w:pPr>
        <w:spacing w:before="60"/>
        <w:jc w:val="both"/>
      </w:pPr>
      <w:r w:rsidRPr="00651DA9">
        <w:t>Mention de cet accord sera faite sur le panneau réservé à la direction pour sa communication avec le personnel, au siège, dans les agences et à la régie.</w:t>
      </w:r>
    </w:p>
    <w:p w:rsidP="00906EDA" w:rsidR="005574AA" w:rsidRDefault="005574AA">
      <w:pPr>
        <w:spacing w:before="60"/>
        <w:jc w:val="both"/>
      </w:pPr>
    </w:p>
    <w:p w:rsidP="00906EDA" w:rsidR="00632AED" w:rsidRDefault="00703E01">
      <w:pPr>
        <w:spacing w:before="60"/>
        <w:jc w:val="both"/>
      </w:pPr>
      <w:r w:rsidRPr="00651DA9">
        <w:t xml:space="preserve">Fait à Colombes, le </w:t>
      </w:r>
      <w:r w:rsidR="003A4FD3">
        <w:t>23 mars 2022</w:t>
      </w:r>
      <w:r w:rsidR="003D2CC5">
        <w:t>.</w:t>
      </w:r>
    </w:p>
    <w:p w:rsidP="00906EDA" w:rsidR="00703E01" w:rsidRDefault="00703E01">
      <w:pPr>
        <w:spacing w:before="60"/>
        <w:jc w:val="both"/>
      </w:pPr>
    </w:p>
    <w:p w:rsidP="00906EDA" w:rsidR="000C1209" w:rsidRDefault="000C1209">
      <w:pPr>
        <w:spacing w:before="60"/>
        <w:jc w:val="both"/>
      </w:pPr>
    </w:p>
    <w:p w:rsidP="00906EDA" w:rsidR="000C1209" w:rsidRDefault="000C1209" w:rsidRPr="00651DA9">
      <w:pPr>
        <w:spacing w:before="60"/>
        <w:jc w:val="both"/>
      </w:pPr>
    </w:p>
    <w:p w:rsidP="00906EDA" w:rsidR="00703E01" w:rsidRDefault="00014480">
      <w:pPr>
        <w:spacing w:before="60"/>
        <w:jc w:val="center"/>
        <w:rPr>
          <w:b/>
          <w:i/>
          <w:color w:val="000000"/>
        </w:rPr>
      </w:pPr>
      <w:bookmarkStart w:id="0" w:name="OLE_LINK1"/>
      <w:r w:rsidRPr="00651DA9">
        <w:rPr>
          <w:color w:val="000000"/>
        </w:rPr>
        <w:t>Directeur général</w:t>
      </w:r>
    </w:p>
    <w:p w:rsidP="00906EDA" w:rsidR="00497404" w:rsidRDefault="00497404" w:rsidRPr="00651DA9">
      <w:pPr>
        <w:spacing w:before="60"/>
        <w:jc w:val="center"/>
        <w:rPr>
          <w:b/>
          <w:i/>
          <w:color w:val="000000"/>
        </w:rPr>
      </w:pPr>
    </w:p>
    <w:bookmarkEnd w:id="0"/>
    <w:p w:rsidP="009003AE" w:rsidR="00090C2B" w:rsidRDefault="00090C2B">
      <w:pPr>
        <w:spacing w:before="60"/>
      </w:pPr>
    </w:p>
    <w:p w:rsidP="009003AE" w:rsidR="00090C2B" w:rsidRDefault="00090C2B">
      <w:pPr>
        <w:spacing w:before="60"/>
      </w:pPr>
    </w:p>
    <w:p w:rsidP="009003AE" w:rsidR="003D2CC5" w:rsidRDefault="003D2CC5">
      <w:pPr>
        <w:spacing w:before="60"/>
      </w:pPr>
    </w:p>
    <w:p w:rsidP="009003AE" w:rsidR="00014480" w:rsidRDefault="00014480">
      <w:pPr>
        <w:spacing w:before="60"/>
      </w:pPr>
    </w:p>
    <w:p w:rsidP="009003AE" w:rsidR="009003AE" w:rsidRDefault="00014480" w:rsidRPr="005E77B0">
      <w:pPr>
        <w:spacing w:before="60"/>
        <w:rPr>
          <w:color w:val="000000"/>
        </w:rPr>
      </w:pPr>
      <w:r w:rsidRPr="005E77B0">
        <w:t xml:space="preserve">      </w:t>
      </w:r>
      <w:r w:rsidR="00C828FC">
        <w:t xml:space="preserve">   </w:t>
      </w:r>
      <w:r w:rsidRPr="005E77B0">
        <w:t xml:space="preserve"> </w:t>
      </w:r>
    </w:p>
    <w:p w:rsidP="00C26A1C" w:rsidR="00703E01" w:rsidRDefault="009003AE" w:rsidRPr="00651DA9">
      <w:pPr>
        <w:spacing w:before="60"/>
      </w:pPr>
      <w:r w:rsidRPr="009003AE">
        <w:rPr>
          <w:color w:val="000000"/>
        </w:rPr>
        <w:t xml:space="preserve"> </w:t>
      </w:r>
      <w:r w:rsidR="00014480">
        <w:rPr>
          <w:color w:val="000000"/>
        </w:rPr>
        <w:t xml:space="preserve"> </w:t>
      </w:r>
      <w:r w:rsidR="007F508D">
        <w:rPr>
          <w:color w:val="000000"/>
        </w:rPr>
        <w:t>Délégué</w:t>
      </w:r>
      <w:r w:rsidR="00C828FC">
        <w:rPr>
          <w:color w:val="000000"/>
        </w:rPr>
        <w:t xml:space="preserve"> syndi</w:t>
      </w:r>
      <w:r w:rsidR="007F508D">
        <w:rPr>
          <w:color w:val="000000"/>
        </w:rPr>
        <w:t>cal</w:t>
      </w:r>
      <w:bookmarkStart w:id="1" w:name="_GoBack"/>
      <w:bookmarkEnd w:id="1"/>
      <w:r w:rsidR="00C828FC">
        <w:rPr>
          <w:color w:val="000000"/>
        </w:rPr>
        <w:t xml:space="preserve"> CGT</w:t>
      </w:r>
      <w:r w:rsidR="00C828FC">
        <w:rPr>
          <w:color w:val="000000"/>
        </w:rPr>
        <w:tab/>
      </w:r>
      <w:r w:rsidR="00014480">
        <w:rPr>
          <w:color w:val="000000"/>
        </w:rPr>
        <w:t xml:space="preserve"> </w:t>
      </w:r>
      <w:r w:rsidR="00C828FC">
        <w:rPr>
          <w:color w:val="000000"/>
        </w:rPr>
        <w:t xml:space="preserve">       </w:t>
      </w:r>
      <w:r w:rsidR="00014480">
        <w:t>Délégué syndical CFE-CGC</w:t>
      </w:r>
      <w:r w:rsidR="00014480">
        <w:tab/>
        <w:t xml:space="preserve">    </w:t>
      </w:r>
      <w:r w:rsidR="00014480" w:rsidRPr="00651DA9">
        <w:t>Délégué syndical CFDT</w:t>
      </w:r>
    </w:p>
    <w:sectPr w:rsidR="00703E01" w:rsidRPr="00651DA9" w:rsidSect="00136B01">
      <w:footerReference r:id="rId9" w:type="default"/>
      <w:pgSz w:h="16838" w:w="11906"/>
      <w:pgMar w:bottom="1191" w:footer="709" w:gutter="0" w:header="709" w:left="1418" w:right="1418" w:top="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6E6" w:rsidRDefault="00D026E6" w:rsidP="008027B2">
      <w:r>
        <w:separator/>
      </w:r>
    </w:p>
  </w:endnote>
  <w:endnote w:type="continuationSeparator" w:id="0">
    <w:p w:rsidR="00D026E6" w:rsidRDefault="00D026E6" w:rsidP="0080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98133713"/>
      <w:docPartObj>
        <w:docPartGallery w:val="Page Numbers (Bottom of Page)"/>
        <w:docPartUnique/>
      </w:docPartObj>
    </w:sdtPr>
    <w:sdtEndPr>
      <w:rPr>
        <w:sz w:val="20"/>
        <w:szCs w:val="20"/>
      </w:rPr>
    </w:sdtEndPr>
    <w:sdtContent>
      <w:p w:rsidR="00321C47" w:rsidRDefault="003D1D48" w:rsidRPr="00EB62A5">
        <w:pPr>
          <w:pStyle w:val="Pieddepage"/>
          <w:jc w:val="center"/>
          <w:rPr>
            <w:sz w:val="20"/>
            <w:szCs w:val="20"/>
          </w:rPr>
        </w:pPr>
        <w:r w:rsidRPr="00EB62A5">
          <w:rPr>
            <w:sz w:val="20"/>
            <w:szCs w:val="20"/>
          </w:rPr>
          <w:fldChar w:fldCharType="begin"/>
        </w:r>
        <w:r w:rsidR="00321C47" w:rsidRPr="00EB62A5">
          <w:rPr>
            <w:sz w:val="20"/>
            <w:szCs w:val="20"/>
          </w:rPr>
          <w:instrText xml:space="preserve"> PAGE   \* MERGEFORMAT </w:instrText>
        </w:r>
        <w:r w:rsidRPr="00EB62A5">
          <w:rPr>
            <w:sz w:val="20"/>
            <w:szCs w:val="20"/>
          </w:rPr>
          <w:fldChar w:fldCharType="separate"/>
        </w:r>
        <w:r w:rsidR="007F508D">
          <w:rPr>
            <w:noProof/>
            <w:sz w:val="20"/>
            <w:szCs w:val="20"/>
          </w:rPr>
          <w:t>1</w:t>
        </w:r>
        <w:r w:rsidRPr="00EB62A5">
          <w:rPr>
            <w:sz w:val="20"/>
            <w:szCs w:val="20"/>
          </w:rPr>
          <w:fldChar w:fldCharType="end"/>
        </w:r>
      </w:p>
    </w:sdtContent>
  </w:sdt>
  <w:p w:rsidP="00EB62A5" w:rsidR="00321C47" w:rsidRDefault="00321C47" w:rsidRPr="00EB62A5">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8027B2" w:rsidR="00D026E6" w:rsidRDefault="00D026E6">
      <w:r>
        <w:separator/>
      </w:r>
    </w:p>
  </w:footnote>
  <w:footnote w:id="0" w:type="continuationSeparator">
    <w:p w:rsidP="008027B2" w:rsidR="00D026E6" w:rsidRDefault="00D026E6">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0.35pt;height:10.35pt" type="#_x0000_t75">
        <v:imagedata o:title="mso5A69" r:id="rId1"/>
      </v:shape>
    </w:pict>
  </w:numPicBullet>
  <w:abstractNum w15:restartNumberingAfterBreak="0" w:abstractNumId="0">
    <w:nsid w:val="FFFFFFFE"/>
    <w:multiLevelType w:val="singleLevel"/>
    <w:tmpl w:val="FFFFFFFF"/>
    <w:lvl w:ilvl="0">
      <w:numFmt w:val="decimal"/>
      <w:lvlText w:val="*"/>
      <w:lvlJc w:val="left"/>
      <w:pPr>
        <w:ind w:firstLine="0" w:left="0"/>
      </w:pPr>
    </w:lvl>
  </w:abstractNum>
  <w:abstractNum w15:restartNumberingAfterBreak="0" w:abstractNumId="1">
    <w:nsid w:val="00F13970"/>
    <w:multiLevelType w:val="hybridMultilevel"/>
    <w:tmpl w:val="081C7530"/>
    <w:lvl w:ilvl="0" w:tplc="9920FCAC">
      <w:numFmt w:val="bullet"/>
      <w:lvlText w:val="-"/>
      <w:lvlJc w:val="left"/>
      <w:pPr>
        <w:ind w:hanging="360" w:left="36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42C3D30"/>
    <w:multiLevelType w:val="hybridMultilevel"/>
    <w:tmpl w:val="9F08794E"/>
    <w:lvl w:ilvl="0" w:tplc="3B74501C">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4E60C0E"/>
    <w:multiLevelType w:val="multilevel"/>
    <w:tmpl w:val="29F4C904"/>
    <w:lvl w:ilvl="0">
      <w:start w:val="2"/>
      <w:numFmt w:val="decimal"/>
      <w:lvlText w:val="%1"/>
      <w:lvlJc w:val="left"/>
      <w:pPr>
        <w:ind w:hanging="360" w:left="360"/>
      </w:pPr>
      <w:rPr>
        <w:rFonts w:hint="default"/>
      </w:rPr>
    </w:lvl>
    <w:lvl w:ilvl="1">
      <w:start w:val="1"/>
      <w:numFmt w:val="decimal"/>
      <w:lvlText w:val="%1.%2"/>
      <w:lvlJc w:val="left"/>
      <w:pPr>
        <w:ind w:hanging="360" w:left="108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720" w:left="288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080" w:left="468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440" w:left="6480"/>
      </w:pPr>
      <w:rPr>
        <w:rFonts w:hint="default"/>
      </w:rPr>
    </w:lvl>
    <w:lvl w:ilvl="8">
      <w:start w:val="1"/>
      <w:numFmt w:val="decimal"/>
      <w:lvlText w:val="%1.%2.%3.%4.%5.%6.%7.%8.%9"/>
      <w:lvlJc w:val="left"/>
      <w:pPr>
        <w:ind w:hanging="1800" w:left="7560"/>
      </w:pPr>
      <w:rPr>
        <w:rFonts w:hint="default"/>
      </w:rPr>
    </w:lvl>
  </w:abstractNum>
  <w:abstractNum w15:restartNumberingAfterBreak="0" w:abstractNumId="4">
    <w:nsid w:val="069A0266"/>
    <w:multiLevelType w:val="hybridMultilevel"/>
    <w:tmpl w:val="2AC8C5C4"/>
    <w:lvl w:ilvl="0" w:tplc="B1022DD8">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8E85663"/>
    <w:multiLevelType w:val="hybridMultilevel"/>
    <w:tmpl w:val="CB1C7538"/>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09635383"/>
    <w:multiLevelType w:val="hybridMultilevel"/>
    <w:tmpl w:val="3DD6A12E"/>
    <w:lvl w:ilvl="0" w:tplc="A3B4B0E8">
      <w:start w:val="1"/>
      <w:numFmt w:val="upperLetter"/>
      <w:lvlText w:val="%1-"/>
      <w:lvlJc w:val="left"/>
      <w:pPr>
        <w:ind w:hanging="360" w:left="502"/>
      </w:pPr>
      <w:rPr>
        <w:rFonts w:hint="default"/>
      </w:rPr>
    </w:lvl>
    <w:lvl w:ilvl="1" w:tentative="1" w:tplc="040C0019">
      <w:start w:val="1"/>
      <w:numFmt w:val="lowerLetter"/>
      <w:lvlText w:val="%2."/>
      <w:lvlJc w:val="left"/>
      <w:pPr>
        <w:ind w:hanging="360" w:left="1222"/>
      </w:pPr>
    </w:lvl>
    <w:lvl w:ilvl="2" w:tentative="1" w:tplc="040C001B">
      <w:start w:val="1"/>
      <w:numFmt w:val="lowerRoman"/>
      <w:lvlText w:val="%3."/>
      <w:lvlJc w:val="right"/>
      <w:pPr>
        <w:ind w:hanging="180" w:left="1942"/>
      </w:pPr>
    </w:lvl>
    <w:lvl w:ilvl="3" w:tentative="1" w:tplc="040C000F">
      <w:start w:val="1"/>
      <w:numFmt w:val="decimal"/>
      <w:lvlText w:val="%4."/>
      <w:lvlJc w:val="left"/>
      <w:pPr>
        <w:ind w:hanging="360" w:left="2662"/>
      </w:pPr>
    </w:lvl>
    <w:lvl w:ilvl="4" w:tentative="1" w:tplc="040C0019">
      <w:start w:val="1"/>
      <w:numFmt w:val="lowerLetter"/>
      <w:lvlText w:val="%5."/>
      <w:lvlJc w:val="left"/>
      <w:pPr>
        <w:ind w:hanging="360" w:left="3382"/>
      </w:pPr>
    </w:lvl>
    <w:lvl w:ilvl="5" w:tentative="1" w:tplc="040C001B">
      <w:start w:val="1"/>
      <w:numFmt w:val="lowerRoman"/>
      <w:lvlText w:val="%6."/>
      <w:lvlJc w:val="right"/>
      <w:pPr>
        <w:ind w:hanging="180" w:left="4102"/>
      </w:pPr>
    </w:lvl>
    <w:lvl w:ilvl="6" w:tentative="1" w:tplc="040C000F">
      <w:start w:val="1"/>
      <w:numFmt w:val="decimal"/>
      <w:lvlText w:val="%7."/>
      <w:lvlJc w:val="left"/>
      <w:pPr>
        <w:ind w:hanging="360" w:left="4822"/>
      </w:pPr>
    </w:lvl>
    <w:lvl w:ilvl="7" w:tentative="1" w:tplc="040C0019">
      <w:start w:val="1"/>
      <w:numFmt w:val="lowerLetter"/>
      <w:lvlText w:val="%8."/>
      <w:lvlJc w:val="left"/>
      <w:pPr>
        <w:ind w:hanging="360" w:left="5542"/>
      </w:pPr>
    </w:lvl>
    <w:lvl w:ilvl="8" w:tentative="1" w:tplc="040C001B">
      <w:start w:val="1"/>
      <w:numFmt w:val="lowerRoman"/>
      <w:lvlText w:val="%9."/>
      <w:lvlJc w:val="right"/>
      <w:pPr>
        <w:ind w:hanging="180" w:left="6262"/>
      </w:pPr>
    </w:lvl>
  </w:abstractNum>
  <w:abstractNum w15:restartNumberingAfterBreak="0" w:abstractNumId="7">
    <w:nsid w:val="0CAA0517"/>
    <w:multiLevelType w:val="hybridMultilevel"/>
    <w:tmpl w:val="9634B62E"/>
    <w:lvl w:ilvl="0" w:tplc="653C17A6">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0FF27BD4"/>
    <w:multiLevelType w:val="hybridMultilevel"/>
    <w:tmpl w:val="1A36D0C6"/>
    <w:lvl w:ilvl="0" w:tplc="DF32352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10C03E86"/>
    <w:multiLevelType w:val="hybridMultilevel"/>
    <w:tmpl w:val="3B4E9FE0"/>
    <w:lvl w:ilvl="0" w:tplc="313A053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C9F3DFD"/>
    <w:multiLevelType w:val="hybridMultilevel"/>
    <w:tmpl w:val="40E87D00"/>
    <w:lvl w:ilvl="0" w:tplc="F98E7112">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1E6668E7"/>
    <w:multiLevelType w:val="hybridMultilevel"/>
    <w:tmpl w:val="7930924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1752E03"/>
    <w:multiLevelType w:val="hybridMultilevel"/>
    <w:tmpl w:val="98F8F8CA"/>
    <w:lvl w:ilvl="0" w:tplc="C43CDB60">
      <w:start w:val="1"/>
      <w:numFmt w:val="decimal"/>
      <w:lvlText w:val="%1)"/>
      <w:lvlJc w:val="left"/>
      <w:pPr>
        <w:ind w:hanging="705" w:left="847"/>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5F8615F"/>
    <w:multiLevelType w:val="hybridMultilevel"/>
    <w:tmpl w:val="4396519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274A0CA9"/>
    <w:multiLevelType w:val="hybridMultilevel"/>
    <w:tmpl w:val="BDECBD1E"/>
    <w:lvl w:ilvl="0" w:tplc="2004B5A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279A0585"/>
    <w:multiLevelType w:val="hybridMultilevel"/>
    <w:tmpl w:val="595689DE"/>
    <w:lvl w:ilvl="0" w:tplc="FBE0882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29B70933"/>
    <w:multiLevelType w:val="hybridMultilevel"/>
    <w:tmpl w:val="F3BABDB6"/>
    <w:lvl w:ilvl="0" w:tplc="66460526">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2A5B1E86"/>
    <w:multiLevelType w:val="hybridMultilevel"/>
    <w:tmpl w:val="6108FB7E"/>
    <w:lvl w:ilvl="0" w:tplc="A6B0287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B372783"/>
    <w:multiLevelType w:val="multilevel"/>
    <w:tmpl w:val="05ECAAB0"/>
    <w:lvl w:ilvl="0">
      <w:start w:val="2"/>
      <w:numFmt w:val="decimal"/>
      <w:lvlText w:val="%1."/>
      <w:lvlJc w:val="left"/>
      <w:pPr>
        <w:ind w:hanging="375" w:left="375"/>
      </w:pPr>
      <w:rPr>
        <w:rFonts w:hint="default"/>
      </w:rPr>
    </w:lvl>
    <w:lvl w:ilvl="1">
      <w:start w:val="2"/>
      <w:numFmt w:val="decimal"/>
      <w:lvlText w:val="%1.%2)"/>
      <w:lvlJc w:val="left"/>
      <w:pPr>
        <w:ind w:hanging="720" w:left="108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1800" w:left="4680"/>
      </w:pPr>
      <w:rPr>
        <w:rFonts w:hint="default"/>
      </w:rPr>
    </w:lvl>
  </w:abstractNum>
  <w:abstractNum w15:restartNumberingAfterBreak="0" w:abstractNumId="19">
    <w:nsid w:val="339C2E89"/>
    <w:multiLevelType w:val="hybridMultilevel"/>
    <w:tmpl w:val="83F82A12"/>
    <w:lvl w:ilvl="0" w:tplc="E9DAE750">
      <w:start w:val="2"/>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5373EE5"/>
    <w:multiLevelType w:val="hybridMultilevel"/>
    <w:tmpl w:val="728E2AF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5C92739"/>
    <w:multiLevelType w:val="hybridMultilevel"/>
    <w:tmpl w:val="83549F24"/>
    <w:lvl w:ilvl="0" w:tplc="040C0017">
      <w:start w:val="1"/>
      <w:numFmt w:val="lowerLetter"/>
      <w:lvlText w:val="%1)"/>
      <w:lvlJc w:val="left"/>
      <w:pPr>
        <w:ind w:hanging="360" w:left="1068"/>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36813610"/>
    <w:multiLevelType w:val="hybridMultilevel"/>
    <w:tmpl w:val="F2EE5A72"/>
    <w:lvl w:ilvl="0" w:tplc="A2F03926">
      <w:start w:val="2"/>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7725319"/>
    <w:multiLevelType w:val="hybridMultilevel"/>
    <w:tmpl w:val="C4626E06"/>
    <w:lvl w:ilvl="0" w:tplc="410A7BC6">
      <w:start w:val="1"/>
      <w:numFmt w:val="bullet"/>
      <w:lvlText w:val="-"/>
      <w:lvlJc w:val="left"/>
      <w:pPr>
        <w:ind w:hanging="360" w:left="720"/>
      </w:pPr>
      <w:rPr>
        <w:rFonts w:ascii="Calibri" w:cs="Times New Roman"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9A8328B"/>
    <w:multiLevelType w:val="hybridMultilevel"/>
    <w:tmpl w:val="942A77EC"/>
    <w:lvl w:ilvl="0" w:tplc="040C0007">
      <w:start w:val="1"/>
      <w:numFmt w:val="bullet"/>
      <w:lvlText w:val=""/>
      <w:lvlPicBulletId w:val="0"/>
      <w:lvlJc w:val="left"/>
      <w:pPr>
        <w:ind w:hanging="360" w:left="1364"/>
      </w:pPr>
      <w:rPr>
        <w:rFonts w:ascii="Symbol" w:hAnsi="Symbol"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25">
    <w:nsid w:val="3B463402"/>
    <w:multiLevelType w:val="hybridMultilevel"/>
    <w:tmpl w:val="8E061C22"/>
    <w:lvl w:ilvl="0" w:tplc="863AD568">
      <w:start w:val="1"/>
      <w:numFmt w:val="lowerLetter"/>
      <w:lvlText w:val="%1)"/>
      <w:lvlJc w:val="left"/>
      <w:pPr>
        <w:ind w:hanging="360" w:left="360"/>
      </w:pPr>
      <w:rPr>
        <w:rFonts w:hint="default"/>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3C610A2E"/>
    <w:multiLevelType w:val="hybridMultilevel"/>
    <w:tmpl w:val="9A66D716"/>
    <w:lvl w:ilvl="0" w:tplc="4E04682A">
      <w:numFmt w:val="bullet"/>
      <w:lvlText w:val="-"/>
      <w:lvlJc w:val="left"/>
      <w:pPr>
        <w:ind w:hanging="360" w:left="1080"/>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7">
    <w:nsid w:val="412563B7"/>
    <w:multiLevelType w:val="hybridMultilevel"/>
    <w:tmpl w:val="C4663AAC"/>
    <w:lvl w:ilvl="0" w:tplc="25908182">
      <w:start w:val="1"/>
      <w:numFmt w:val="bullet"/>
      <w:lvlText w:val="-"/>
      <w:lvlJc w:val="left"/>
      <w:pPr>
        <w:ind w:hanging="360" w:left="644"/>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6764D43"/>
    <w:multiLevelType w:val="hybridMultilevel"/>
    <w:tmpl w:val="4A340628"/>
    <w:lvl w:ilvl="0" w:tplc="040C0017">
      <w:start w:val="3"/>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5160284F"/>
    <w:multiLevelType w:val="hybridMultilevel"/>
    <w:tmpl w:val="0B040EA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52AA1380"/>
    <w:multiLevelType w:val="hybridMultilevel"/>
    <w:tmpl w:val="33D24F1E"/>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5D1361A7"/>
    <w:multiLevelType w:val="hybridMultilevel"/>
    <w:tmpl w:val="DCCAE532"/>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5E9D0381"/>
    <w:multiLevelType w:val="hybridMultilevel"/>
    <w:tmpl w:val="78305F32"/>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EA70079"/>
    <w:multiLevelType w:val="hybridMultilevel"/>
    <w:tmpl w:val="7B1C8898"/>
    <w:lvl w:ilvl="0" w:tplc="040C0007">
      <w:start w:val="1"/>
      <w:numFmt w:val="bullet"/>
      <w:lvlText w:val=""/>
      <w:lvlPicBulletId w:val="0"/>
      <w:lvlJc w:val="left"/>
      <w:pPr>
        <w:ind w:hanging="360" w:left="1211"/>
      </w:pPr>
      <w:rPr>
        <w:rFonts w:ascii="Symbol" w:hAnsi="Symbol"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34">
    <w:nsid w:val="60352C6E"/>
    <w:multiLevelType w:val="hybridMultilevel"/>
    <w:tmpl w:val="EF6ED05C"/>
    <w:lvl w:ilvl="0" w:tplc="C2DAC79A">
      <w:start w:val="3"/>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3370EEA"/>
    <w:multiLevelType w:val="hybridMultilevel"/>
    <w:tmpl w:val="05C477BA"/>
    <w:lvl w:ilvl="0" w:tplc="9AFA0B9C">
      <w:start w:val="5"/>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6">
    <w:nsid w:val="67B67C69"/>
    <w:multiLevelType w:val="hybridMultilevel"/>
    <w:tmpl w:val="468E2AC6"/>
    <w:lvl w:ilvl="0" w:tplc="9A20439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7">
    <w:nsid w:val="6B3A52BC"/>
    <w:multiLevelType w:val="hybridMultilevel"/>
    <w:tmpl w:val="2CC4E38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6BEC0850"/>
    <w:multiLevelType w:val="hybridMultilevel"/>
    <w:tmpl w:val="D2A81144"/>
    <w:lvl w:ilvl="0" w:tplc="68D2A51C">
      <w:start w:val="1"/>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6F9F7D71"/>
    <w:multiLevelType w:val="hybridMultilevel"/>
    <w:tmpl w:val="DAE8A5C2"/>
    <w:lvl w:ilvl="0" w:tplc="3F18FAF2">
      <w:start w:val="1"/>
      <w:numFmt w:val="bullet"/>
      <w:lvlText w:val="-"/>
      <w:lvlJc w:val="left"/>
      <w:pPr>
        <w:ind w:hanging="360" w:left="1080"/>
      </w:pPr>
      <w:rPr>
        <w:rFonts w:ascii="Arial" w:cs="Arial" w:eastAsiaTheme="minorHAnsi"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0">
    <w:nsid w:val="76C94330"/>
    <w:multiLevelType w:val="hybridMultilevel"/>
    <w:tmpl w:val="A4E4667E"/>
    <w:lvl w:ilvl="0" w:tplc="50A094F2">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7B897F65"/>
    <w:multiLevelType w:val="hybridMultilevel"/>
    <w:tmpl w:val="1A268E2A"/>
    <w:lvl w:ilvl="0" w:tplc="040C000F">
      <w:start w:val="1"/>
      <w:numFmt w:val="decimal"/>
      <w:lvlText w:val="%1."/>
      <w:lvlJc w:val="left"/>
      <w:pPr>
        <w:ind w:hanging="360" w:left="720"/>
      </w:p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num w:numId="1">
    <w:abstractNumId w:val="4"/>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numFmt w:val="bullet"/>
        <w:lvlText w:val=""/>
        <w:legacy w:legacy="1" w:legacyIndent="283" w:legacySpace="0"/>
        <w:lvlJc w:val="left"/>
        <w:pPr>
          <w:ind w:hanging="283" w:left="283"/>
        </w:pPr>
        <w:rPr>
          <w:rFonts w:ascii="Symbol" w:hAnsi="Symbol" w:hint="default"/>
        </w:rPr>
      </w:lvl>
    </w:lvlOverride>
  </w:num>
  <w:num w:numId="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5"/>
  </w:num>
  <w:num w:numId="7">
    <w:abstractNumId w:val="31"/>
  </w:num>
  <w:num w:numId="8">
    <w:abstractNumId w:val="3"/>
  </w:num>
  <w:num w:numId="9">
    <w:abstractNumId w:val="18"/>
  </w:num>
  <w:num w:numId="10">
    <w:abstractNumId w:val="30"/>
  </w:num>
  <w:num w:numId="11">
    <w:abstractNumId w:val="34"/>
  </w:num>
  <w:num w:numId="12">
    <w:abstractNumId w:val="13"/>
  </w:num>
  <w:num w:numId="13">
    <w:abstractNumId w:val="22"/>
  </w:num>
  <w:num w:numId="14">
    <w:abstractNumId w:val="23"/>
  </w:num>
  <w:num w:numId="15">
    <w:abstractNumId w:val="9"/>
  </w:num>
  <w:num w:numId="16">
    <w:abstractNumId w:val="26"/>
  </w:num>
  <w:num w:numId="17">
    <w:abstractNumId w:val="1"/>
  </w:num>
  <w:num w:numId="18">
    <w:abstractNumId w:val="10"/>
  </w:num>
  <w:num w:numId="19">
    <w:abstractNumId w:val="27"/>
  </w:num>
  <w:num w:numId="20">
    <w:abstractNumId w:val="15"/>
  </w:num>
  <w:num w:numId="21">
    <w:abstractNumId w:val="8"/>
  </w:num>
  <w:num w:numId="22">
    <w:abstractNumId w:val="14"/>
  </w:num>
  <w:num w:numId="23">
    <w:abstractNumId w:val="36"/>
  </w:num>
  <w:num w:numId="24">
    <w:abstractNumId w:val="11"/>
  </w:num>
  <w:num w:numId="25">
    <w:abstractNumId w:val="24"/>
  </w:num>
  <w:num w:numId="26">
    <w:abstractNumId w:val="33"/>
  </w:num>
  <w:num w:numId="27">
    <w:abstractNumId w:val="12"/>
  </w:num>
  <w:num w:numId="28">
    <w:abstractNumId w:val="25"/>
  </w:num>
  <w:num w:numId="29">
    <w:abstractNumId w:val="32"/>
  </w:num>
  <w:num w:numId="30">
    <w:abstractNumId w:val="21"/>
  </w:num>
  <w:num w:numId="31">
    <w:abstractNumId w:val="17"/>
  </w:num>
  <w:num w:numId="32">
    <w:abstractNumId w:val="28"/>
  </w:num>
  <w:num w:numId="33">
    <w:abstractNumId w:val="39"/>
  </w:num>
  <w:num w:numId="34">
    <w:abstractNumId w:val="38"/>
  </w:num>
  <w:num w:numId="35">
    <w:abstractNumId w:val="37"/>
  </w:num>
  <w:num w:numId="36">
    <w:abstractNumId w:val="6"/>
  </w:num>
  <w:num w:numId="37">
    <w:abstractNumId w:val="40"/>
  </w:num>
  <w:num w:numId="38">
    <w:abstractNumId w:val="16"/>
  </w:num>
  <w:num w:numId="39">
    <w:abstractNumId w:val="2"/>
  </w:num>
  <w:num w:numId="40">
    <w:abstractNumId w:val="7"/>
  </w:num>
  <w:num w:numId="41">
    <w:abstractNumId w:val="29"/>
  </w:num>
  <w:num w:numId="42">
    <w:abstractNumId w:val="2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3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2"/>
  </w:compat>
  <w:rsids>
    <w:rsidRoot w:val="00985DA1"/>
    <w:rsid w:val="00014480"/>
    <w:rsid w:val="0002410C"/>
    <w:rsid w:val="0003136F"/>
    <w:rsid w:val="00041A02"/>
    <w:rsid w:val="00042D4A"/>
    <w:rsid w:val="0005271D"/>
    <w:rsid w:val="0005718F"/>
    <w:rsid w:val="0006696A"/>
    <w:rsid w:val="0007142B"/>
    <w:rsid w:val="00075253"/>
    <w:rsid w:val="000765E2"/>
    <w:rsid w:val="00090C2B"/>
    <w:rsid w:val="000A41A6"/>
    <w:rsid w:val="000C1209"/>
    <w:rsid w:val="000C2A19"/>
    <w:rsid w:val="000D07F1"/>
    <w:rsid w:val="000D6290"/>
    <w:rsid w:val="000E1642"/>
    <w:rsid w:val="000E62DE"/>
    <w:rsid w:val="000F5360"/>
    <w:rsid w:val="00103E2D"/>
    <w:rsid w:val="00105AF3"/>
    <w:rsid w:val="00107A07"/>
    <w:rsid w:val="001213A1"/>
    <w:rsid w:val="00130879"/>
    <w:rsid w:val="00132BC0"/>
    <w:rsid w:val="00136B01"/>
    <w:rsid w:val="00150F3B"/>
    <w:rsid w:val="001563D2"/>
    <w:rsid w:val="0015699B"/>
    <w:rsid w:val="00177396"/>
    <w:rsid w:val="00194615"/>
    <w:rsid w:val="001A26EB"/>
    <w:rsid w:val="001A7788"/>
    <w:rsid w:val="001C3618"/>
    <w:rsid w:val="001C533C"/>
    <w:rsid w:val="001E3A6C"/>
    <w:rsid w:val="001E6173"/>
    <w:rsid w:val="001F6AB4"/>
    <w:rsid w:val="00215FF2"/>
    <w:rsid w:val="00217198"/>
    <w:rsid w:val="00232289"/>
    <w:rsid w:val="002369B7"/>
    <w:rsid w:val="0024117A"/>
    <w:rsid w:val="00242F29"/>
    <w:rsid w:val="00246860"/>
    <w:rsid w:val="002505E7"/>
    <w:rsid w:val="002519C4"/>
    <w:rsid w:val="002545C2"/>
    <w:rsid w:val="00263AEC"/>
    <w:rsid w:val="002674CF"/>
    <w:rsid w:val="00283832"/>
    <w:rsid w:val="00286DAE"/>
    <w:rsid w:val="002A2976"/>
    <w:rsid w:val="002A734D"/>
    <w:rsid w:val="002B099A"/>
    <w:rsid w:val="002C5F05"/>
    <w:rsid w:val="002D04D4"/>
    <w:rsid w:val="002D1B33"/>
    <w:rsid w:val="002E0673"/>
    <w:rsid w:val="002E4A62"/>
    <w:rsid w:val="002F1024"/>
    <w:rsid w:val="002F14ED"/>
    <w:rsid w:val="00300757"/>
    <w:rsid w:val="0031025E"/>
    <w:rsid w:val="00312F4F"/>
    <w:rsid w:val="00321C47"/>
    <w:rsid w:val="003465EA"/>
    <w:rsid w:val="00346D08"/>
    <w:rsid w:val="003533E3"/>
    <w:rsid w:val="00365399"/>
    <w:rsid w:val="00375F54"/>
    <w:rsid w:val="0038019C"/>
    <w:rsid w:val="00391408"/>
    <w:rsid w:val="003A494D"/>
    <w:rsid w:val="003A4FD3"/>
    <w:rsid w:val="003B070B"/>
    <w:rsid w:val="003B77D5"/>
    <w:rsid w:val="003C0088"/>
    <w:rsid w:val="003D1D48"/>
    <w:rsid w:val="003D2CC5"/>
    <w:rsid w:val="003D6957"/>
    <w:rsid w:val="003D6D64"/>
    <w:rsid w:val="003E09D3"/>
    <w:rsid w:val="0040140D"/>
    <w:rsid w:val="0040679D"/>
    <w:rsid w:val="00407E37"/>
    <w:rsid w:val="00411D9C"/>
    <w:rsid w:val="00420D22"/>
    <w:rsid w:val="00423231"/>
    <w:rsid w:val="00432BF8"/>
    <w:rsid w:val="004332BD"/>
    <w:rsid w:val="004335E7"/>
    <w:rsid w:val="004420F5"/>
    <w:rsid w:val="00444F8A"/>
    <w:rsid w:val="00461AF2"/>
    <w:rsid w:val="00464FE4"/>
    <w:rsid w:val="004730C3"/>
    <w:rsid w:val="00485BFA"/>
    <w:rsid w:val="00497404"/>
    <w:rsid w:val="004D4ECE"/>
    <w:rsid w:val="0050197D"/>
    <w:rsid w:val="00505956"/>
    <w:rsid w:val="0052209D"/>
    <w:rsid w:val="005262D2"/>
    <w:rsid w:val="00527284"/>
    <w:rsid w:val="005365BE"/>
    <w:rsid w:val="0054063D"/>
    <w:rsid w:val="00543CEF"/>
    <w:rsid w:val="005574AA"/>
    <w:rsid w:val="00561B88"/>
    <w:rsid w:val="00564176"/>
    <w:rsid w:val="00570856"/>
    <w:rsid w:val="005708CE"/>
    <w:rsid w:val="005710BE"/>
    <w:rsid w:val="005727CD"/>
    <w:rsid w:val="00582135"/>
    <w:rsid w:val="00591768"/>
    <w:rsid w:val="00596C6B"/>
    <w:rsid w:val="005A163C"/>
    <w:rsid w:val="005B7350"/>
    <w:rsid w:val="005D0FCB"/>
    <w:rsid w:val="005D5389"/>
    <w:rsid w:val="005E196F"/>
    <w:rsid w:val="005E757A"/>
    <w:rsid w:val="005E77B0"/>
    <w:rsid w:val="00614A75"/>
    <w:rsid w:val="006301EB"/>
    <w:rsid w:val="0063284A"/>
    <w:rsid w:val="00632AED"/>
    <w:rsid w:val="00633470"/>
    <w:rsid w:val="00650ECA"/>
    <w:rsid w:val="00651DA9"/>
    <w:rsid w:val="00653324"/>
    <w:rsid w:val="006A6034"/>
    <w:rsid w:val="006C5CEC"/>
    <w:rsid w:val="006E218C"/>
    <w:rsid w:val="006E4C67"/>
    <w:rsid w:val="006E714A"/>
    <w:rsid w:val="00700132"/>
    <w:rsid w:val="0070207C"/>
    <w:rsid w:val="00703E01"/>
    <w:rsid w:val="007149D1"/>
    <w:rsid w:val="007365A4"/>
    <w:rsid w:val="007427A2"/>
    <w:rsid w:val="00751731"/>
    <w:rsid w:val="00766A80"/>
    <w:rsid w:val="007804A3"/>
    <w:rsid w:val="0078222F"/>
    <w:rsid w:val="007835E7"/>
    <w:rsid w:val="007863F0"/>
    <w:rsid w:val="0078681E"/>
    <w:rsid w:val="00787B37"/>
    <w:rsid w:val="00792D77"/>
    <w:rsid w:val="007C7726"/>
    <w:rsid w:val="007D359C"/>
    <w:rsid w:val="007F008D"/>
    <w:rsid w:val="007F508D"/>
    <w:rsid w:val="00802530"/>
    <w:rsid w:val="008027B2"/>
    <w:rsid w:val="00803248"/>
    <w:rsid w:val="00805A09"/>
    <w:rsid w:val="008067FF"/>
    <w:rsid w:val="00820ECA"/>
    <w:rsid w:val="00876A58"/>
    <w:rsid w:val="0088690D"/>
    <w:rsid w:val="00893C90"/>
    <w:rsid w:val="008A549A"/>
    <w:rsid w:val="008B145D"/>
    <w:rsid w:val="008B3ABC"/>
    <w:rsid w:val="008C2FFE"/>
    <w:rsid w:val="008E484B"/>
    <w:rsid w:val="009003AE"/>
    <w:rsid w:val="00906EDA"/>
    <w:rsid w:val="0091077D"/>
    <w:rsid w:val="00932B71"/>
    <w:rsid w:val="00933923"/>
    <w:rsid w:val="00941C9E"/>
    <w:rsid w:val="009566ED"/>
    <w:rsid w:val="00967E46"/>
    <w:rsid w:val="00967FD0"/>
    <w:rsid w:val="009731FF"/>
    <w:rsid w:val="0098321A"/>
    <w:rsid w:val="00985DA1"/>
    <w:rsid w:val="00990808"/>
    <w:rsid w:val="00992904"/>
    <w:rsid w:val="009B2B56"/>
    <w:rsid w:val="009B7084"/>
    <w:rsid w:val="009B7DF4"/>
    <w:rsid w:val="009C730E"/>
    <w:rsid w:val="009F58A0"/>
    <w:rsid w:val="009F6B0D"/>
    <w:rsid w:val="00A064E7"/>
    <w:rsid w:val="00A06DF9"/>
    <w:rsid w:val="00A253FC"/>
    <w:rsid w:val="00A31940"/>
    <w:rsid w:val="00A35B72"/>
    <w:rsid w:val="00A525A7"/>
    <w:rsid w:val="00A56E9C"/>
    <w:rsid w:val="00A612F6"/>
    <w:rsid w:val="00A64CA2"/>
    <w:rsid w:val="00A66663"/>
    <w:rsid w:val="00A95F53"/>
    <w:rsid w:val="00AC5E0F"/>
    <w:rsid w:val="00AD6496"/>
    <w:rsid w:val="00AE0640"/>
    <w:rsid w:val="00AF32FD"/>
    <w:rsid w:val="00AF74F3"/>
    <w:rsid w:val="00B0164A"/>
    <w:rsid w:val="00B03F99"/>
    <w:rsid w:val="00B0744B"/>
    <w:rsid w:val="00B2270E"/>
    <w:rsid w:val="00B32FC4"/>
    <w:rsid w:val="00B33158"/>
    <w:rsid w:val="00B9693F"/>
    <w:rsid w:val="00BA2097"/>
    <w:rsid w:val="00BA3164"/>
    <w:rsid w:val="00BC2090"/>
    <w:rsid w:val="00BD72D5"/>
    <w:rsid w:val="00BF2F2E"/>
    <w:rsid w:val="00BF7321"/>
    <w:rsid w:val="00C02A07"/>
    <w:rsid w:val="00C03F8B"/>
    <w:rsid w:val="00C0645A"/>
    <w:rsid w:val="00C13F8C"/>
    <w:rsid w:val="00C2095F"/>
    <w:rsid w:val="00C219DF"/>
    <w:rsid w:val="00C26A1C"/>
    <w:rsid w:val="00C41957"/>
    <w:rsid w:val="00C51221"/>
    <w:rsid w:val="00C564A0"/>
    <w:rsid w:val="00C65189"/>
    <w:rsid w:val="00C828FC"/>
    <w:rsid w:val="00C97DA0"/>
    <w:rsid w:val="00CA3BD1"/>
    <w:rsid w:val="00CA6497"/>
    <w:rsid w:val="00CB4506"/>
    <w:rsid w:val="00CB46BE"/>
    <w:rsid w:val="00CC1D91"/>
    <w:rsid w:val="00CC1DF8"/>
    <w:rsid w:val="00CC620E"/>
    <w:rsid w:val="00D026E6"/>
    <w:rsid w:val="00D25326"/>
    <w:rsid w:val="00D3034B"/>
    <w:rsid w:val="00D341DD"/>
    <w:rsid w:val="00D45F64"/>
    <w:rsid w:val="00D50ED4"/>
    <w:rsid w:val="00D53809"/>
    <w:rsid w:val="00D571DB"/>
    <w:rsid w:val="00D62500"/>
    <w:rsid w:val="00D636F4"/>
    <w:rsid w:val="00D678B9"/>
    <w:rsid w:val="00D751F9"/>
    <w:rsid w:val="00D94C91"/>
    <w:rsid w:val="00DA554B"/>
    <w:rsid w:val="00DA75D7"/>
    <w:rsid w:val="00DB530D"/>
    <w:rsid w:val="00DB54D9"/>
    <w:rsid w:val="00DB6DCC"/>
    <w:rsid w:val="00DD7584"/>
    <w:rsid w:val="00DE1ABE"/>
    <w:rsid w:val="00DF0D13"/>
    <w:rsid w:val="00DF2A63"/>
    <w:rsid w:val="00DF34FA"/>
    <w:rsid w:val="00DF72C4"/>
    <w:rsid w:val="00DF7770"/>
    <w:rsid w:val="00E2200A"/>
    <w:rsid w:val="00E24196"/>
    <w:rsid w:val="00E24486"/>
    <w:rsid w:val="00E42EA5"/>
    <w:rsid w:val="00E55A8B"/>
    <w:rsid w:val="00E639BE"/>
    <w:rsid w:val="00E8376D"/>
    <w:rsid w:val="00E97841"/>
    <w:rsid w:val="00EA25A3"/>
    <w:rsid w:val="00EA34B7"/>
    <w:rsid w:val="00EA512C"/>
    <w:rsid w:val="00EB62A5"/>
    <w:rsid w:val="00EC7A74"/>
    <w:rsid w:val="00EE5347"/>
    <w:rsid w:val="00EE64D8"/>
    <w:rsid w:val="00EF63C2"/>
    <w:rsid w:val="00F10146"/>
    <w:rsid w:val="00F12DEE"/>
    <w:rsid w:val="00F13C99"/>
    <w:rsid w:val="00F14E78"/>
    <w:rsid w:val="00F1591F"/>
    <w:rsid w:val="00F2312B"/>
    <w:rsid w:val="00F40A5D"/>
    <w:rsid w:val="00F41E66"/>
    <w:rsid w:val="00F520BB"/>
    <w:rsid w:val="00F70C75"/>
    <w:rsid w:val="00F71147"/>
    <w:rsid w:val="00F77A24"/>
    <w:rsid w:val="00FA7DB9"/>
    <w:rsid w:val="00FD2DBF"/>
    <w:rsid w:val="00FD3848"/>
    <w:rsid w:val="00FF3202"/>
    <w:rsid w:val="00FF787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docId w15:val="{71D77702-393C-4509-9949-719D9BC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Theme="minorHAnsi" w:hAnsi="Arial"/>
        <w:sz w:val="22"/>
        <w:szCs w:val="22"/>
        <w:lang w:bidi="ar-SA" w:eastAsia="en-US" w:val="fr-FR"/>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564A0"/>
  </w:style>
  <w:style w:styleId="Titre1" w:type="paragraph">
    <w:name w:val="heading 1"/>
    <w:basedOn w:val="Normal"/>
    <w:next w:val="Normal"/>
    <w:link w:val="Titre1Car"/>
    <w:qFormat/>
    <w:rsid w:val="00703E01"/>
    <w:pPr>
      <w:keepNext/>
      <w:widowControl w:val="0"/>
      <w:outlineLvl w:val="0"/>
    </w:pPr>
    <w:rPr>
      <w:rFonts w:ascii="Times" w:cs="Times" w:eastAsia="Times New Roman" w:hAnsi="Times"/>
      <w:b/>
      <w:bCs/>
      <w:noProof/>
      <w:color w:val="000000"/>
      <w:spacing w:val="40"/>
      <w:kern w:val="28"/>
      <w:sz w:val="40"/>
      <w:szCs w:val="40"/>
      <w:lang w:eastAsia="fr-FR"/>
    </w:rPr>
  </w:style>
  <w:style w:styleId="Titre3" w:type="paragraph">
    <w:name w:val="heading 3"/>
    <w:basedOn w:val="Normal"/>
    <w:next w:val="Normal"/>
    <w:link w:val="Titre3Car"/>
    <w:semiHidden/>
    <w:unhideWhenUsed/>
    <w:qFormat/>
    <w:rsid w:val="00703E01"/>
    <w:pPr>
      <w:keepNext/>
      <w:outlineLvl w:val="2"/>
    </w:pPr>
    <w:rPr>
      <w:rFonts w:eastAsia="Times New Roman"/>
      <w:b/>
      <w:bCs/>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rsid w:val="00F77A24"/>
    <w:rPr>
      <w:rFonts w:eastAsia="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F77A24"/>
    <w:pPr>
      <w:ind w:left="720"/>
      <w:contextualSpacing/>
    </w:pPr>
  </w:style>
  <w:style w:styleId="Textedebulles" w:type="paragraph">
    <w:name w:val="Balloon Text"/>
    <w:basedOn w:val="Normal"/>
    <w:link w:val="TextedebullesCar"/>
    <w:uiPriority w:val="99"/>
    <w:semiHidden/>
    <w:unhideWhenUsed/>
    <w:rsid w:val="00423231"/>
    <w:rPr>
      <w:rFonts w:ascii="Tahoma" w:cs="Tahoma" w:hAnsi="Tahoma"/>
      <w:sz w:val="16"/>
      <w:szCs w:val="16"/>
    </w:rPr>
  </w:style>
  <w:style w:customStyle="1" w:styleId="TextedebullesCar" w:type="character">
    <w:name w:val="Texte de bulles Car"/>
    <w:basedOn w:val="Policepardfaut"/>
    <w:link w:val="Textedebulles"/>
    <w:uiPriority w:val="99"/>
    <w:semiHidden/>
    <w:rsid w:val="00423231"/>
    <w:rPr>
      <w:rFonts w:ascii="Tahoma" w:cs="Tahoma" w:hAnsi="Tahoma"/>
      <w:sz w:val="16"/>
      <w:szCs w:val="16"/>
    </w:rPr>
  </w:style>
  <w:style w:styleId="En-tte" w:type="paragraph">
    <w:name w:val="header"/>
    <w:basedOn w:val="Normal"/>
    <w:link w:val="En-tteCar"/>
    <w:uiPriority w:val="99"/>
    <w:semiHidden/>
    <w:unhideWhenUsed/>
    <w:rsid w:val="008027B2"/>
    <w:pPr>
      <w:tabs>
        <w:tab w:pos="4536" w:val="center"/>
        <w:tab w:pos="9072" w:val="right"/>
      </w:tabs>
    </w:pPr>
  </w:style>
  <w:style w:customStyle="1" w:styleId="En-tteCar" w:type="character">
    <w:name w:val="En-tête Car"/>
    <w:basedOn w:val="Policepardfaut"/>
    <w:link w:val="En-tte"/>
    <w:uiPriority w:val="99"/>
    <w:semiHidden/>
    <w:rsid w:val="008027B2"/>
  </w:style>
  <w:style w:styleId="Pieddepage" w:type="paragraph">
    <w:name w:val="footer"/>
    <w:basedOn w:val="Normal"/>
    <w:link w:val="PieddepageCar"/>
    <w:uiPriority w:val="99"/>
    <w:unhideWhenUsed/>
    <w:rsid w:val="008027B2"/>
    <w:pPr>
      <w:tabs>
        <w:tab w:pos="4536" w:val="center"/>
        <w:tab w:pos="9072" w:val="right"/>
      </w:tabs>
    </w:pPr>
  </w:style>
  <w:style w:customStyle="1" w:styleId="PieddepageCar" w:type="character">
    <w:name w:val="Pied de page Car"/>
    <w:basedOn w:val="Policepardfaut"/>
    <w:link w:val="Pieddepage"/>
    <w:uiPriority w:val="99"/>
    <w:rsid w:val="008027B2"/>
  </w:style>
  <w:style w:customStyle="1" w:styleId="Titre1Car" w:type="character">
    <w:name w:val="Titre 1 Car"/>
    <w:basedOn w:val="Policepardfaut"/>
    <w:link w:val="Titre1"/>
    <w:rsid w:val="00703E01"/>
    <w:rPr>
      <w:rFonts w:ascii="Times" w:cs="Times" w:eastAsia="Times New Roman" w:hAnsi="Times"/>
      <w:b/>
      <w:bCs/>
      <w:noProof/>
      <w:color w:val="000000"/>
      <w:spacing w:val="40"/>
      <w:kern w:val="28"/>
      <w:sz w:val="40"/>
      <w:szCs w:val="40"/>
      <w:lang w:eastAsia="fr-FR"/>
    </w:rPr>
  </w:style>
  <w:style w:customStyle="1" w:styleId="Titre3Car" w:type="character">
    <w:name w:val="Titre 3 Car"/>
    <w:basedOn w:val="Policepardfaut"/>
    <w:link w:val="Titre3"/>
    <w:semiHidden/>
    <w:rsid w:val="00703E01"/>
    <w:rPr>
      <w:rFonts w:eastAsia="Times New Roman"/>
      <w:b/>
      <w:bCs/>
      <w:u w:val="single"/>
      <w:lang w:eastAsia="fr-FR"/>
    </w:rPr>
  </w:style>
  <w:style w:styleId="Corpsdetexte" w:type="paragraph">
    <w:name w:val="Body Text"/>
    <w:basedOn w:val="Normal"/>
    <w:link w:val="CorpsdetexteCar"/>
    <w:semiHidden/>
    <w:unhideWhenUsed/>
    <w:rsid w:val="00703E01"/>
    <w:rPr>
      <w:rFonts w:eastAsia="Times New Roman"/>
      <w:lang w:eastAsia="fr-FR"/>
    </w:rPr>
  </w:style>
  <w:style w:customStyle="1" w:styleId="CorpsdetexteCar" w:type="character">
    <w:name w:val="Corps de texte Car"/>
    <w:basedOn w:val="Policepardfaut"/>
    <w:link w:val="Corpsdetexte"/>
    <w:semiHidden/>
    <w:rsid w:val="00703E01"/>
    <w:rPr>
      <w:rFonts w:eastAsia="Times New Roman"/>
      <w:sz w:val="22"/>
      <w:szCs w:val="22"/>
      <w:lang w:eastAsia="fr-FR"/>
    </w:rPr>
  </w:style>
  <w:style w:styleId="Corpsdetexte2" w:type="paragraph">
    <w:name w:val="Body Text 2"/>
    <w:basedOn w:val="Normal"/>
    <w:link w:val="Corpsdetexte2Car"/>
    <w:semiHidden/>
    <w:unhideWhenUsed/>
    <w:rsid w:val="00703E01"/>
    <w:pPr>
      <w:jc w:val="both"/>
    </w:pPr>
    <w:rPr>
      <w:rFonts w:eastAsia="Times New Roman"/>
      <w:lang w:eastAsia="fr-FR"/>
    </w:rPr>
  </w:style>
  <w:style w:customStyle="1" w:styleId="Corpsdetexte2Car" w:type="character">
    <w:name w:val="Corps de texte 2 Car"/>
    <w:basedOn w:val="Policepardfaut"/>
    <w:link w:val="Corpsdetexte2"/>
    <w:semiHidden/>
    <w:rsid w:val="00703E01"/>
    <w:rPr>
      <w:rFonts w:eastAsia="Times New Roman"/>
      <w:sz w:val="22"/>
      <w:szCs w:val="22"/>
      <w:lang w:eastAsia="fr-FR"/>
    </w:rPr>
  </w:style>
  <w:style w:styleId="Textebrut" w:type="paragraph">
    <w:name w:val="Plain Text"/>
    <w:basedOn w:val="Normal"/>
    <w:link w:val="TextebrutCar"/>
    <w:semiHidden/>
    <w:unhideWhenUsed/>
    <w:rsid w:val="00703E01"/>
    <w:rPr>
      <w:rFonts w:ascii="Courier New" w:cs="Courier New" w:eastAsia="Times New Roman" w:hAnsi="Courier New"/>
      <w:sz w:val="20"/>
      <w:szCs w:val="20"/>
      <w:lang w:eastAsia="fr-FR"/>
    </w:rPr>
  </w:style>
  <w:style w:customStyle="1" w:styleId="TextebrutCar" w:type="character">
    <w:name w:val="Texte brut Car"/>
    <w:basedOn w:val="Policepardfaut"/>
    <w:link w:val="Textebrut"/>
    <w:semiHidden/>
    <w:rsid w:val="00703E01"/>
    <w:rPr>
      <w:rFonts w:ascii="Courier New" w:cs="Courier New" w:eastAsia="Times New Roman" w:hAnsi="Courier New"/>
      <w:sz w:val="20"/>
      <w:szCs w:val="20"/>
      <w:lang w:eastAsia="fr-FR"/>
    </w:rPr>
  </w:style>
  <w:style w:customStyle="1" w:styleId="Texte" w:type="paragraph">
    <w:name w:val="Texte"/>
    <w:rsid w:val="00703E01"/>
    <w:pPr>
      <w:ind w:left="567"/>
      <w:jc w:val="both"/>
    </w:pPr>
    <w:rPr>
      <w:rFonts w:ascii="Helvetica" w:cs="Helvetica" w:eastAsia="Times New Roman" w:hAnsi="Helvetica"/>
      <w:color w:val="000000"/>
      <w:lang w:eastAsia="fr-FR"/>
    </w:rPr>
  </w:style>
  <w:style w:styleId="Accentuation" w:type="character">
    <w:name w:val="Emphasis"/>
    <w:basedOn w:val="Policepardfaut"/>
    <w:uiPriority w:val="20"/>
    <w:qFormat/>
    <w:rsid w:val="00136B01"/>
    <w:rPr>
      <w:b/>
      <w:bCs/>
      <w:i w:val="0"/>
      <w:iCs w:val="0"/>
    </w:rPr>
  </w:style>
  <w:style w:styleId="Marquedecommentaire" w:type="character">
    <w:name w:val="annotation reference"/>
    <w:basedOn w:val="Policepardfaut"/>
    <w:uiPriority w:val="99"/>
    <w:semiHidden/>
    <w:unhideWhenUsed/>
    <w:rsid w:val="005710BE"/>
    <w:rPr>
      <w:sz w:val="16"/>
      <w:szCs w:val="16"/>
    </w:rPr>
  </w:style>
  <w:style w:styleId="Commentaire" w:type="paragraph">
    <w:name w:val="annotation text"/>
    <w:basedOn w:val="Normal"/>
    <w:link w:val="CommentaireCar"/>
    <w:uiPriority w:val="99"/>
    <w:semiHidden/>
    <w:unhideWhenUsed/>
    <w:rsid w:val="005710BE"/>
    <w:rPr>
      <w:sz w:val="20"/>
      <w:szCs w:val="20"/>
    </w:rPr>
  </w:style>
  <w:style w:customStyle="1" w:styleId="CommentaireCar" w:type="character">
    <w:name w:val="Commentaire Car"/>
    <w:basedOn w:val="Policepardfaut"/>
    <w:link w:val="Commentaire"/>
    <w:uiPriority w:val="99"/>
    <w:semiHidden/>
    <w:rsid w:val="005710BE"/>
    <w:rPr>
      <w:sz w:val="20"/>
      <w:szCs w:val="20"/>
    </w:rPr>
  </w:style>
  <w:style w:styleId="Objetducommentaire" w:type="paragraph">
    <w:name w:val="annotation subject"/>
    <w:basedOn w:val="Commentaire"/>
    <w:next w:val="Commentaire"/>
    <w:link w:val="ObjetducommentaireCar"/>
    <w:uiPriority w:val="99"/>
    <w:semiHidden/>
    <w:unhideWhenUsed/>
    <w:rsid w:val="005710BE"/>
    <w:rPr>
      <w:b/>
      <w:bCs/>
    </w:rPr>
  </w:style>
  <w:style w:customStyle="1" w:styleId="ObjetducommentaireCar" w:type="character">
    <w:name w:val="Objet du commentaire Car"/>
    <w:basedOn w:val="CommentaireCar"/>
    <w:link w:val="Objetducommentaire"/>
    <w:uiPriority w:val="99"/>
    <w:semiHidden/>
    <w:rsid w:val="005710BE"/>
    <w:rPr>
      <w:b/>
      <w:bCs/>
      <w:sz w:val="20"/>
      <w:szCs w:val="20"/>
    </w:rPr>
  </w:style>
  <w:style w:styleId="Rvision" w:type="paragraph">
    <w:name w:val="Revision"/>
    <w:hidden/>
    <w:uiPriority w:val="99"/>
    <w:semiHidden/>
    <w:rsid w:val="00614A75"/>
  </w:style>
  <w:style w:styleId="Sansinterligne" w:type="paragraph">
    <w:name w:val="No Spacing"/>
    <w:uiPriority w:val="1"/>
    <w:qFormat/>
    <w:rsid w:val="00A66663"/>
    <w:pPr>
      <w:jc w:val="both"/>
    </w:pPr>
  </w:style>
  <w:style w:customStyle="1" w:styleId="Grilledutableau1" w:type="table">
    <w:name w:val="Grille du tableau1"/>
    <w:basedOn w:val="TableauNormal"/>
    <w:next w:val="Grilledutableau"/>
    <w:uiPriority w:val="59"/>
    <w:rsid w:val="004420F5"/>
    <w:pPr>
      <w:ind w:left="425"/>
      <w:jc w:val="both"/>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Grilledutableau2" w:type="table">
    <w:name w:val="Grille du tableau2"/>
    <w:basedOn w:val="TableauNormal"/>
    <w:next w:val="Grilledutableau"/>
    <w:uiPriority w:val="59"/>
    <w:rsid w:val="00391408"/>
    <w:pPr>
      <w:ind w:left="425"/>
      <w:jc w:val="both"/>
    </w:pPr>
    <w:rPr>
      <w:rFonts w:ascii="Times New Roman" w:cs="Times New Roman" w:hAnsi="Times New Roman"/>
      <w:sz w:val="24"/>
      <w:szCs w:val="24"/>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Grilledutableau3" w:type="table">
    <w:name w:val="Grille du tableau3"/>
    <w:basedOn w:val="TableauNormal"/>
    <w:next w:val="Grilledutableau"/>
    <w:uiPriority w:val="59"/>
    <w:rsid w:val="00A64CA2"/>
    <w:pPr>
      <w:ind w:left="425"/>
      <w:jc w:val="both"/>
    </w:pPr>
    <w:rPr>
      <w:rFonts w:ascii="Times New Roman" w:cs="Times New Roman" w:hAnsi="Times New Roman"/>
      <w:sz w:val="24"/>
      <w:szCs w:val="24"/>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Grilledutableau4" w:type="table">
    <w:name w:val="Grille du tableau4"/>
    <w:basedOn w:val="TableauNormal"/>
    <w:next w:val="Grilledutableau"/>
    <w:uiPriority w:val="59"/>
    <w:rsid w:val="00E639BE"/>
    <w:pPr>
      <w:ind w:left="425"/>
      <w:jc w:val="both"/>
    </w:pPr>
    <w:rPr>
      <w:rFonts w:ascii="Times New Roman" w:cs="Times New Roman" w:hAnsi="Times New Roman"/>
      <w:sz w:val="24"/>
      <w:szCs w:val="24"/>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11219">
      <w:bodyDiv w:val="1"/>
      <w:marLeft w:val="0"/>
      <w:marRight w:val="0"/>
      <w:marTop w:val="0"/>
      <w:marBottom w:val="0"/>
      <w:divBdr>
        <w:top w:val="none" w:sz="0" w:space="0" w:color="auto"/>
        <w:left w:val="none" w:sz="0" w:space="0" w:color="auto"/>
        <w:bottom w:val="none" w:sz="0" w:space="0" w:color="auto"/>
        <w:right w:val="none" w:sz="0" w:space="0" w:color="auto"/>
      </w:divBdr>
    </w:div>
    <w:div w:id="212788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png" Type="http://schemas.openxmlformats.org/officeDocument/2006/relationships/image"/><Relationship Id="rId9" Target="footer1.xml" Type="http://schemas.openxmlformats.org/officeDocument/2006/relationships/footer"/></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E16A7-428F-49FA-BEC2-F355737B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11</Pages>
  <Words>3733</Words>
  <Characters>20537</Characters>
  <Application>Microsoft Office Word</Application>
  <DocSecurity>0</DocSecurity>
  <Lines>171</Lines>
  <Paragraphs>48</Paragraphs>
  <ScaleCrop>false</ScaleCrop>
  <HeadingPairs>
    <vt:vector baseType="variant" size="2">
      <vt:variant>
        <vt:lpstr>Titre</vt:lpstr>
      </vt:variant>
      <vt:variant>
        <vt:i4>1</vt:i4>
      </vt:variant>
    </vt:vector>
  </HeadingPairs>
  <TitlesOfParts>
    <vt:vector baseType="lpstr" size="1">
      <vt:lpstr/>
    </vt:vector>
  </TitlesOfParts>
  <Company>OPAC</Company>
  <LinksUpToDate>false</LinksUpToDate>
  <CharactersWithSpaces>24222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2013-11-25T14:09:00Z</dcterms:created>
  <cp:lastPrinted>2020-03-02T09:45:00Z</cp:lastPrinted>
  <dcterms:modified xsi:type="dcterms:W3CDTF">2022-03-26T16:18:00Z</dcterms:modified>
  <cp:revision>102</cp:revision>
</cp:coreProperties>
</file>