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70234CEB" w14:textId="56D95704" w:rsidP="00C12BF9" w:rsidR="00C12BF9" w:rsidRDefault="00C12BF9" w:rsidRPr="000C11E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Accord salarial</w:t>
      </w:r>
      <w:r w:rsidR="009A22A1">
        <w:rPr>
          <w:b/>
          <w:sz w:val="36"/>
          <w:szCs w:val="36"/>
        </w:rPr>
        <w:t xml:space="preserve"> </w:t>
      </w:r>
      <w:r w:rsidR="00554896">
        <w:rPr>
          <w:b/>
          <w:sz w:val="36"/>
          <w:szCs w:val="36"/>
        </w:rPr>
        <w:t xml:space="preserve">- </w:t>
      </w:r>
      <w:r w:rsidR="009A22A1">
        <w:rPr>
          <w:b/>
          <w:sz w:val="36"/>
          <w:szCs w:val="36"/>
        </w:rPr>
        <w:t xml:space="preserve">juin </w:t>
      </w:r>
      <w:r w:rsidR="00294714">
        <w:rPr>
          <w:b/>
          <w:sz w:val="36"/>
          <w:szCs w:val="36"/>
        </w:rPr>
        <w:t>202</w:t>
      </w:r>
      <w:r w:rsidR="00E915A6">
        <w:rPr>
          <w:b/>
          <w:sz w:val="36"/>
          <w:szCs w:val="36"/>
        </w:rPr>
        <w:t>2</w:t>
      </w:r>
    </w:p>
    <w:p w14:paraId="154AC364" w14:textId="77777777" w:rsidP="00C12BF9" w:rsidR="00C12BF9" w:rsidRDefault="00C12BF9" w:rsidRPr="000C11E4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b/>
          <w:sz w:val="36"/>
          <w:szCs w:val="36"/>
        </w:rPr>
      </w:pPr>
      <w:r w:rsidRPr="000C11E4">
        <w:rPr>
          <w:b/>
          <w:sz w:val="36"/>
          <w:szCs w:val="36"/>
        </w:rPr>
        <w:t>Etablissement Magasins</w:t>
      </w:r>
    </w:p>
    <w:p w14:paraId="70369C15" w14:textId="77777777" w:rsidP="00C12BF9" w:rsidR="00C12BF9" w:rsidRDefault="00C12BF9">
      <w:pPr>
        <w:ind w:firstLine="708" w:left="708"/>
        <w:jc w:val="both"/>
        <w:rPr>
          <w:i/>
        </w:rPr>
      </w:pPr>
    </w:p>
    <w:p w14:paraId="3F091CA8" w14:textId="7105B0F8" w:rsidP="00C12BF9" w:rsidR="00AD5CF3" w:rsidRDefault="00AD5CF3">
      <w:pPr>
        <w:ind w:firstLine="708" w:left="708"/>
        <w:jc w:val="both"/>
        <w:rPr>
          <w:i/>
        </w:rPr>
      </w:pPr>
    </w:p>
    <w:p w14:paraId="026314FB" w14:textId="77777777" w:rsidP="00C12BF9" w:rsidR="00425038" w:rsidRDefault="00425038">
      <w:pPr>
        <w:ind w:firstLine="708" w:left="708"/>
        <w:jc w:val="both"/>
        <w:rPr>
          <w:i/>
        </w:rPr>
      </w:pPr>
    </w:p>
    <w:p w14:paraId="7A0EB9C7" w14:textId="5CBC4DFF" w:rsidP="00C12BF9" w:rsidR="00C12BF9" w:rsidRDefault="00C12BF9">
      <w:pPr>
        <w:ind w:firstLine="708" w:left="708"/>
        <w:jc w:val="both"/>
        <w:rPr>
          <w:i/>
        </w:rPr>
      </w:pPr>
      <w:r w:rsidRPr="000107C8">
        <w:rPr>
          <w:i/>
        </w:rPr>
        <w:t>Entre d’une part,</w:t>
      </w:r>
    </w:p>
    <w:p w14:paraId="21F9F3B7" w14:textId="77777777" w:rsidP="00C12BF9" w:rsidR="00C12BF9" w:rsidRDefault="00C12BF9" w:rsidRPr="008A7709">
      <w:pPr>
        <w:ind w:firstLine="708" w:left="708"/>
        <w:jc w:val="both"/>
        <w:rPr>
          <w:i/>
        </w:rPr>
      </w:pPr>
    </w:p>
    <w:p w14:paraId="0D078707" w14:textId="204377B1" w:rsidP="00C12BF9" w:rsidR="00C12BF9" w:rsidRDefault="00C12BF9">
      <w:pPr>
        <w:jc w:val="both"/>
      </w:pPr>
      <w:r>
        <w:t xml:space="preserve">L’UES ETAM - Etablissement magasins (comprenant les sociétés </w:t>
      </w:r>
      <w:r w:rsidR="00294714">
        <w:t>Maison 123</w:t>
      </w:r>
      <w:r>
        <w:t xml:space="preserve"> SAS ; Etam Lingerie SA ; Undiz SAS) dont le siège social est situé 57-59 rue Henri Barbusse – 92614 CLICHY Cedex, représentée par </w:t>
      </w:r>
      <w:proofErr w:type="gramStart"/>
      <w:r w:rsidR="00FE35CC">
        <w:t>XXX,XXX</w:t>
      </w:r>
      <w:proofErr w:type="gramEnd"/>
      <w:r>
        <w:t>, dûment mandaté à cet effet,</w:t>
      </w:r>
    </w:p>
    <w:p w14:paraId="74D3DF52" w14:textId="5B9D3DE2" w:rsidP="00C12BF9" w:rsidR="00C12BF9" w:rsidRDefault="00C12BF9">
      <w:pPr>
        <w:jc w:val="both"/>
      </w:pPr>
    </w:p>
    <w:p w14:paraId="3A5BF3AC" w14:textId="77777777" w:rsidP="00C12BF9" w:rsidR="00AD5CF3" w:rsidRDefault="00AD5CF3">
      <w:pPr>
        <w:jc w:val="both"/>
      </w:pPr>
    </w:p>
    <w:p w14:paraId="7F2B4D70" w14:textId="77777777" w:rsidP="00C12BF9" w:rsidR="00C12BF9" w:rsidRDefault="00C12BF9">
      <w:pPr>
        <w:ind w:firstLine="708" w:left="708"/>
        <w:jc w:val="both"/>
        <w:rPr>
          <w:i/>
        </w:rPr>
      </w:pPr>
      <w:r w:rsidRPr="000107C8">
        <w:rPr>
          <w:i/>
        </w:rPr>
        <w:t>Et d’autre part,</w:t>
      </w:r>
      <w:r>
        <w:rPr>
          <w:i/>
        </w:rPr>
        <w:t xml:space="preserve"> </w:t>
      </w:r>
    </w:p>
    <w:p w14:paraId="3B46BD3F" w14:textId="3F3C5D63" w:rsidP="00C12BF9" w:rsidR="00C12BF9" w:rsidRDefault="00C12BF9">
      <w:pPr>
        <w:pStyle w:val="Standard"/>
        <w:jc w:val="both"/>
      </w:pPr>
    </w:p>
    <w:p w14:paraId="09D77AAE" w14:textId="77777777" w:rsidP="00C12BF9" w:rsidR="00826F5A" w:rsidRDefault="00826F5A">
      <w:pPr>
        <w:pStyle w:val="Standard"/>
        <w:jc w:val="both"/>
      </w:pPr>
    </w:p>
    <w:p w14:paraId="23D6E198" w14:textId="621F0CE4" w:rsidP="00C12BF9" w:rsidR="00C12BF9" w:rsidRDefault="00C12BF9">
      <w:pPr>
        <w:pStyle w:val="Paragraphedeliste"/>
        <w:numPr>
          <w:ilvl w:val="0"/>
          <w:numId w:val="1"/>
        </w:numPr>
        <w:jc w:val="both"/>
      </w:pPr>
      <w:proofErr w:type="gramStart"/>
      <w:r w:rsidRPr="00591568">
        <w:t>l’UNSA</w:t>
      </w:r>
      <w:proofErr w:type="gramEnd"/>
      <w:r w:rsidRPr="00591568">
        <w:t>, Fédération des commerces et des services, 21, rue Jules Ferry 93177 Bagnolet Cedex, représentée</w:t>
      </w:r>
      <w:r>
        <w:t xml:space="preserve"> par </w:t>
      </w:r>
      <w:r w:rsidR="00FE35CC">
        <w:t>XXX</w:t>
      </w:r>
      <w:r>
        <w:t xml:space="preserve">, </w:t>
      </w:r>
    </w:p>
    <w:p w14:paraId="0599578B" w14:textId="342E5047" w:rsidP="00C12BF9" w:rsidR="00C12BF9" w:rsidRDefault="00C12BF9" w:rsidRPr="00591568">
      <w:pPr>
        <w:pStyle w:val="Paragraphedeliste"/>
        <w:numPr>
          <w:ilvl w:val="0"/>
          <w:numId w:val="1"/>
        </w:numPr>
        <w:jc w:val="both"/>
      </w:pPr>
      <w:proofErr w:type="gramStart"/>
      <w:r>
        <w:t>la</w:t>
      </w:r>
      <w:proofErr w:type="gramEnd"/>
      <w:r>
        <w:t xml:space="preserve"> CFTC Commerce, Services et Force de Vente, 34 Quai de la Loire 75019 PARIS</w:t>
      </w:r>
      <w:r w:rsidRPr="00591568">
        <w:t xml:space="preserve">, représentée par </w:t>
      </w:r>
      <w:r w:rsidR="00FE35CC">
        <w:t>XXX</w:t>
      </w:r>
      <w:r>
        <w:t>,</w:t>
      </w:r>
      <w:r w:rsidR="00294714" w:rsidRPr="00294714">
        <w:t xml:space="preserve"> </w:t>
      </w:r>
    </w:p>
    <w:p w14:paraId="66C0225F" w14:textId="4C0E7BFB" w:rsidP="00C12BF9" w:rsidR="00C12BF9" w:rsidRDefault="00C12BF9">
      <w:pPr>
        <w:pStyle w:val="Paragraphedeliste"/>
        <w:numPr>
          <w:ilvl w:val="0"/>
          <w:numId w:val="1"/>
        </w:numPr>
        <w:jc w:val="both"/>
      </w:pPr>
      <w:proofErr w:type="gramStart"/>
      <w:r w:rsidRPr="00591568">
        <w:t>la</w:t>
      </w:r>
      <w:proofErr w:type="gramEnd"/>
      <w:r w:rsidRPr="00591568">
        <w:t xml:space="preserve"> CFE-CGC, Commerce et Services, 9 rue de </w:t>
      </w:r>
      <w:proofErr w:type="spellStart"/>
      <w:r w:rsidRPr="00591568">
        <w:t>Rocroy</w:t>
      </w:r>
      <w:proofErr w:type="spellEnd"/>
      <w:r w:rsidRPr="00591568">
        <w:t xml:space="preserve"> 75010 Paris, représentée par </w:t>
      </w:r>
      <w:r w:rsidR="00FE35CC">
        <w:t>XXX</w:t>
      </w:r>
      <w:r w:rsidRPr="00591568">
        <w:t>, pour le collège Agents de maîtrise / Cadres</w:t>
      </w:r>
      <w:r w:rsidR="00FE35CC">
        <w:t>.</w:t>
      </w:r>
    </w:p>
    <w:p w14:paraId="7AB4D4AA" w14:textId="6B34307B" w:rsidP="00C12BF9" w:rsidR="00B70812" w:rsidRDefault="00B70812">
      <w:pPr>
        <w:jc w:val="both"/>
        <w:rPr>
          <w:u w:val="single"/>
        </w:rPr>
      </w:pPr>
    </w:p>
    <w:p w14:paraId="4C34CEDA" w14:textId="20F057E4" w:rsidP="00C12BF9" w:rsidR="00425038" w:rsidRDefault="00425038">
      <w:pPr>
        <w:jc w:val="both"/>
        <w:rPr>
          <w:u w:val="single"/>
        </w:rPr>
      </w:pPr>
    </w:p>
    <w:p w14:paraId="3F687F60" w14:textId="77777777" w:rsidP="00C12BF9" w:rsidR="00425038" w:rsidRDefault="00425038">
      <w:pPr>
        <w:jc w:val="both"/>
        <w:rPr>
          <w:u w:val="single"/>
        </w:rPr>
      </w:pPr>
    </w:p>
    <w:p w14:paraId="5F721059" w14:textId="77777777" w:rsidP="00C12BF9" w:rsidR="00425038" w:rsidRDefault="00425038">
      <w:pPr>
        <w:jc w:val="both"/>
        <w:rPr>
          <w:u w:val="single"/>
        </w:rPr>
      </w:pPr>
    </w:p>
    <w:p w14:paraId="5818F0EA" w14:textId="77777777" w:rsidP="00C12BF9" w:rsidR="00C12BF9" w:rsidRDefault="00C12BF9">
      <w:pPr>
        <w:jc w:val="both"/>
        <w:rPr>
          <w:u w:val="single"/>
        </w:rPr>
      </w:pPr>
      <w:r w:rsidRPr="000107C8">
        <w:rPr>
          <w:u w:val="single"/>
        </w:rPr>
        <w:t>Préambule</w:t>
      </w:r>
    </w:p>
    <w:p w14:paraId="4FDF2FE7" w14:textId="3CEF5ED3" w:rsidP="00C12BF9" w:rsidR="00C12BF9" w:rsidRDefault="00C12BF9">
      <w:pPr>
        <w:jc w:val="both"/>
        <w:rPr>
          <w:u w:val="single"/>
        </w:rPr>
      </w:pPr>
    </w:p>
    <w:p w14:paraId="1973F994" w14:textId="0CAA5912" w:rsidP="00002E54" w:rsidR="00002E54" w:rsidRDefault="00002E54">
      <w:pPr>
        <w:jc w:val="both"/>
      </w:pPr>
      <w:bookmarkStart w:id="0" w:name="_Hlk104900478"/>
      <w:r w:rsidRPr="00103028">
        <w:t xml:space="preserve">Un accord </w:t>
      </w:r>
      <w:r w:rsidR="00AA0964" w:rsidRPr="00103028">
        <w:t>a été signé le 31 janvier 2022</w:t>
      </w:r>
      <w:r w:rsidR="00AA0964">
        <w:t xml:space="preserve"> </w:t>
      </w:r>
      <w:r>
        <w:t xml:space="preserve">dans le cadre de la </w:t>
      </w:r>
      <w:r w:rsidRPr="00103028">
        <w:t xml:space="preserve">NAO </w:t>
      </w:r>
      <w:r>
        <w:t>2022</w:t>
      </w:r>
      <w:r w:rsidRPr="00103028">
        <w:t xml:space="preserve">. </w:t>
      </w:r>
      <w:r w:rsidR="00AA0964">
        <w:t xml:space="preserve">Par ailleurs, </w:t>
      </w:r>
      <w:r>
        <w:t>compte tenu de l’inflation intervenue depuis ces derniers mois</w:t>
      </w:r>
      <w:r w:rsidRPr="00103028">
        <w:t>, le SMIC a légalement augmenté le 1</w:t>
      </w:r>
      <w:r w:rsidRPr="00103028">
        <w:rPr>
          <w:vertAlign w:val="superscript"/>
        </w:rPr>
        <w:t>er</w:t>
      </w:r>
      <w:r w:rsidRPr="00103028">
        <w:t xml:space="preserve"> mai 2022. </w:t>
      </w:r>
    </w:p>
    <w:p w14:paraId="113A5B1D" w14:textId="77777777" w:rsidP="00002E54" w:rsidR="00002E54" w:rsidRDefault="00002E54">
      <w:pPr>
        <w:jc w:val="both"/>
      </w:pPr>
    </w:p>
    <w:p w14:paraId="06C631CB" w14:textId="26717D59" w:rsidP="00002E54" w:rsidR="00002E54" w:rsidRDefault="00002E54" w:rsidRPr="00103028">
      <w:pPr>
        <w:jc w:val="both"/>
      </w:pPr>
      <w:r w:rsidRPr="00103028">
        <w:t xml:space="preserve">Les parties ont </w:t>
      </w:r>
      <w:r>
        <w:t xml:space="preserve">donc </w:t>
      </w:r>
      <w:r w:rsidRPr="00103028">
        <w:t xml:space="preserve">décidé de se réunir </w:t>
      </w:r>
      <w:r>
        <w:t xml:space="preserve">afin d’étudier une révision des salaires, </w:t>
      </w:r>
      <w:r w:rsidR="00AA0964">
        <w:t>spécifiquement</w:t>
      </w:r>
      <w:r>
        <w:t xml:space="preserve"> pour les plus bas salaires impactés par l’augmentation du SMIC</w:t>
      </w:r>
      <w:r w:rsidRPr="00103028">
        <w:t>.</w:t>
      </w:r>
    </w:p>
    <w:p w14:paraId="7C70EC71" w14:textId="77777777" w:rsidP="00002E54" w:rsidR="00002E54" w:rsidRDefault="00002E54" w:rsidRPr="00103028">
      <w:pPr>
        <w:jc w:val="both"/>
      </w:pPr>
    </w:p>
    <w:p w14:paraId="639D9AB2" w14:textId="77777777" w:rsidP="00002E54" w:rsidR="00002E54" w:rsidRDefault="00002E54" w:rsidRPr="00425038">
      <w:pPr>
        <w:jc w:val="both"/>
      </w:pPr>
      <w:r w:rsidRPr="00103028">
        <w:t>A la suite de la réunion du 1</w:t>
      </w:r>
      <w:r w:rsidRPr="00103028">
        <w:rPr>
          <w:vertAlign w:val="superscript"/>
        </w:rPr>
        <w:t>er</w:t>
      </w:r>
      <w:r w:rsidRPr="00103028">
        <w:t xml:space="preserve"> juin </w:t>
      </w:r>
      <w:r w:rsidRPr="00425038">
        <w:t>2022, il a été convenu ce qui suit :</w:t>
      </w:r>
    </w:p>
    <w:bookmarkEnd w:id="0"/>
    <w:p w14:paraId="4F2E6EC2" w14:textId="77777777" w:rsidP="00002E54" w:rsidR="00002E54" w:rsidRDefault="00002E54" w:rsidRPr="00425038">
      <w:pPr>
        <w:jc w:val="both"/>
      </w:pPr>
    </w:p>
    <w:p w14:paraId="13041188" w14:textId="2E289077" w:rsidP="00C12BF9" w:rsidR="00163909" w:rsidRDefault="00163909">
      <w:pPr>
        <w:jc w:val="both"/>
      </w:pPr>
    </w:p>
    <w:p w14:paraId="7EEDE81D" w14:textId="26EB4C89" w:rsidP="00C12BF9" w:rsidR="00425038" w:rsidRDefault="00425038">
      <w:pPr>
        <w:jc w:val="both"/>
      </w:pPr>
    </w:p>
    <w:p w14:paraId="2BE3E243" w14:textId="606BEA8C" w:rsidP="00C12BF9" w:rsidR="00425038" w:rsidRDefault="00425038">
      <w:pPr>
        <w:jc w:val="both"/>
      </w:pPr>
    </w:p>
    <w:p w14:paraId="2711DE45" w14:textId="7388B5A2" w:rsidP="00C12BF9" w:rsidR="00425038" w:rsidRDefault="00425038">
      <w:pPr>
        <w:jc w:val="both"/>
      </w:pPr>
    </w:p>
    <w:p w14:paraId="5EAD0D5F" w14:textId="2FE6E9BA" w:rsidP="00C12BF9" w:rsidR="00425038" w:rsidRDefault="00425038">
      <w:pPr>
        <w:jc w:val="both"/>
      </w:pPr>
    </w:p>
    <w:p w14:paraId="48A153D8" w14:textId="701A660C" w:rsidP="00C12BF9" w:rsidR="00425038" w:rsidRDefault="00425038">
      <w:pPr>
        <w:jc w:val="both"/>
      </w:pPr>
    </w:p>
    <w:p w14:paraId="3FC9DFBB" w14:textId="3E98EF10" w:rsidP="00C12BF9" w:rsidR="00425038" w:rsidRDefault="00425038">
      <w:pPr>
        <w:jc w:val="both"/>
      </w:pPr>
    </w:p>
    <w:p w14:paraId="0C180265" w14:textId="62B72054" w:rsidP="00C12BF9" w:rsidR="00425038" w:rsidRDefault="00425038">
      <w:pPr>
        <w:jc w:val="both"/>
      </w:pPr>
    </w:p>
    <w:p w14:paraId="26600FAF" w14:textId="4E4665E5" w:rsidP="00C12BF9" w:rsidR="00FE35CC" w:rsidRDefault="00FE35CC">
      <w:pPr>
        <w:jc w:val="both"/>
      </w:pPr>
    </w:p>
    <w:p w14:paraId="7DBFDA4E" w14:textId="77777777" w:rsidP="00C12BF9" w:rsidR="00FE35CC" w:rsidRDefault="00FE35CC">
      <w:pPr>
        <w:jc w:val="both"/>
      </w:pPr>
    </w:p>
    <w:p w14:paraId="65438AE4" w14:textId="77777777" w:rsidP="00C12BF9" w:rsidR="00425038" w:rsidRDefault="00425038" w:rsidRPr="00425038">
      <w:pPr>
        <w:jc w:val="both"/>
      </w:pPr>
    </w:p>
    <w:p w14:paraId="7E6BCDDC" w14:textId="77777777" w:rsidP="00C12BF9" w:rsidR="00A63675" w:rsidRDefault="00A63675" w:rsidRPr="00425038">
      <w:pPr>
        <w:jc w:val="both"/>
      </w:pPr>
    </w:p>
    <w:p w14:paraId="1E2152D1" w14:textId="7E6EFEAB" w:rsidP="00C12BF9" w:rsidR="00C12BF9" w:rsidRDefault="00C12BF9" w:rsidRPr="00425038">
      <w:pPr>
        <w:jc w:val="both"/>
        <w:rPr>
          <w:b/>
          <w:u w:val="single"/>
        </w:rPr>
      </w:pPr>
      <w:r w:rsidRPr="00425038">
        <w:rPr>
          <w:b/>
          <w:u w:val="single"/>
        </w:rPr>
        <w:lastRenderedPageBreak/>
        <w:t>Article 1 – Hôtesses de vente</w:t>
      </w:r>
      <w:r w:rsidR="00FA0397" w:rsidRPr="00425038">
        <w:rPr>
          <w:b/>
          <w:u w:val="single"/>
        </w:rPr>
        <w:t xml:space="preserve">, Adjointes I, Adjointes II </w:t>
      </w:r>
      <w:r w:rsidRPr="00425038">
        <w:rPr>
          <w:b/>
          <w:u w:val="single"/>
        </w:rPr>
        <w:t xml:space="preserve">et autres </w:t>
      </w:r>
      <w:r w:rsidR="00CA233B" w:rsidRPr="00425038">
        <w:rPr>
          <w:b/>
          <w:u w:val="single"/>
        </w:rPr>
        <w:t>salariés assimilés à ce système de rémunération</w:t>
      </w:r>
    </w:p>
    <w:p w14:paraId="39C7903C" w14:textId="77777777" w:rsidP="00C12BF9" w:rsidR="00B70812" w:rsidRDefault="00B70812" w:rsidRPr="00425038">
      <w:pPr>
        <w:jc w:val="both"/>
      </w:pPr>
    </w:p>
    <w:p w14:paraId="775C9C9B" w14:textId="77777777" w:rsidP="00C12BF9" w:rsidR="00C12BF9" w:rsidRDefault="00C12BF9" w:rsidRPr="00425038">
      <w:pPr>
        <w:jc w:val="both"/>
      </w:pPr>
      <w:r w:rsidRPr="00425038">
        <w:t>1.1</w:t>
      </w:r>
      <w:r w:rsidRPr="00425038">
        <w:rPr>
          <w:u w:val="single"/>
        </w:rPr>
        <w:t xml:space="preserve"> Salaire de base des Hôtesses de vente (Système de rémunération 2017)</w:t>
      </w:r>
    </w:p>
    <w:p w14:paraId="113761F4" w14:textId="77777777" w:rsidP="00C12BF9" w:rsidR="00A63675" w:rsidRDefault="00A63675" w:rsidRPr="00425038">
      <w:pPr>
        <w:jc w:val="both"/>
      </w:pPr>
    </w:p>
    <w:p w14:paraId="1558623A" w14:textId="5DA6C60E" w:rsidP="00A63675" w:rsidR="00A63675" w:rsidRDefault="00A63675" w:rsidRPr="00425038">
      <w:pPr>
        <w:jc w:val="both"/>
      </w:pPr>
      <w:r w:rsidRPr="00425038">
        <w:t xml:space="preserve">Au </w:t>
      </w:r>
      <w:r w:rsidR="007C2297" w:rsidRPr="00425038">
        <w:t>1</w:t>
      </w:r>
      <w:r w:rsidR="007C2297" w:rsidRPr="00425038">
        <w:rPr>
          <w:vertAlign w:val="superscript"/>
        </w:rPr>
        <w:t>er</w:t>
      </w:r>
      <w:r w:rsidR="007C2297" w:rsidRPr="00425038">
        <w:t xml:space="preserve"> </w:t>
      </w:r>
      <w:r w:rsidR="00903566" w:rsidRPr="00425038">
        <w:t>juin</w:t>
      </w:r>
      <w:r w:rsidRPr="00425038">
        <w:t xml:space="preserve"> 202</w:t>
      </w:r>
      <w:r w:rsidR="00E915A6" w:rsidRPr="00425038">
        <w:t>2</w:t>
      </w:r>
      <w:r w:rsidRPr="00425038">
        <w:t>, la nouvelle grille de rémunération (salaires de base mensuels bruts) des Hôtesses de vente s’établit comme suit :</w:t>
      </w:r>
    </w:p>
    <w:p w14:paraId="7ABCFCE5" w14:textId="77777777" w:rsidP="00A63675" w:rsidR="00A63675" w:rsidRDefault="00A63675" w:rsidRPr="00425038">
      <w:pPr>
        <w:jc w:val="both"/>
      </w:pPr>
    </w:p>
    <w:tbl>
      <w:tblPr>
        <w:tblW w:type="dxa" w:w="6738"/>
        <w:tblInd w:type="dxa" w:w="56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1620"/>
        <w:gridCol w:w="5118"/>
      </w:tblGrid>
      <w:tr w14:paraId="7790AFDF" w14:textId="77777777" w:rsidR="00425038" w:rsidRPr="00425038" w:rsidTr="007C2297">
        <w:trPr>
          <w:trHeight w:val="330"/>
        </w:trPr>
        <w:tc>
          <w:tcPr>
            <w:tcW w:type="dxa" w:w="1620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val="nil"/>
            </w:tcBorders>
            <w:shd w:color="auto" w:fill="auto" w:val="clear"/>
            <w:hideMark/>
          </w:tcPr>
          <w:p w14:paraId="3F3ED560" w14:textId="77777777" w:rsidP="003C2A31" w:rsidR="00A63675" w:rsidRDefault="00A63675" w:rsidRPr="00425038">
            <w:pPr>
              <w:jc w:val="center"/>
              <w:rPr>
                <w:b/>
                <w:bCs/>
              </w:rPr>
            </w:pPr>
            <w:r w:rsidRPr="00425038">
              <w:rPr>
                <w:b/>
                <w:bCs/>
              </w:rPr>
              <w:t>Niveau</w:t>
            </w:r>
          </w:p>
        </w:tc>
        <w:tc>
          <w:tcPr>
            <w:tcW w:type="dxa" w:w="5118"/>
            <w:tcBorders>
              <w:top w:color="auto" w:space="0" w:sz="8" w:val="single"/>
              <w:left w:color="auto" w:space="0" w:sz="8" w:val="single"/>
              <w:bottom w:color="auto" w:space="0" w:sz="8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688CAB33" w14:textId="6B149B66" w:rsidP="003C2A31" w:rsidR="00A63675" w:rsidRDefault="00A63675" w:rsidRPr="00425038">
            <w:pPr>
              <w:jc w:val="center"/>
              <w:rPr>
                <w:b/>
                <w:bCs/>
              </w:rPr>
            </w:pPr>
            <w:r w:rsidRPr="00425038">
              <w:rPr>
                <w:b/>
                <w:bCs/>
              </w:rPr>
              <w:t>Salaire de base temps plein au</w:t>
            </w:r>
            <w:r w:rsidR="007C2297" w:rsidRPr="00425038">
              <w:rPr>
                <w:b/>
                <w:bCs/>
              </w:rPr>
              <w:t xml:space="preserve"> 1</w:t>
            </w:r>
            <w:r w:rsidR="007C2297" w:rsidRPr="00425038">
              <w:rPr>
                <w:b/>
                <w:bCs/>
                <w:vertAlign w:val="superscript"/>
              </w:rPr>
              <w:t>er</w:t>
            </w:r>
            <w:r w:rsidR="007C2297" w:rsidRPr="00425038">
              <w:rPr>
                <w:b/>
                <w:bCs/>
              </w:rPr>
              <w:t xml:space="preserve"> </w:t>
            </w:r>
            <w:r w:rsidR="00D92B1B" w:rsidRPr="00425038">
              <w:rPr>
                <w:b/>
                <w:bCs/>
              </w:rPr>
              <w:t>juin</w:t>
            </w:r>
            <w:r w:rsidR="007C2297" w:rsidRPr="00425038">
              <w:rPr>
                <w:b/>
                <w:bCs/>
              </w:rPr>
              <w:t xml:space="preserve"> </w:t>
            </w:r>
            <w:r w:rsidRPr="00425038">
              <w:rPr>
                <w:b/>
                <w:bCs/>
              </w:rPr>
              <w:t>202</w:t>
            </w:r>
            <w:r w:rsidR="00E915A6" w:rsidRPr="00425038">
              <w:rPr>
                <w:b/>
                <w:bCs/>
              </w:rPr>
              <w:t>2</w:t>
            </w:r>
          </w:p>
        </w:tc>
      </w:tr>
      <w:tr w14:paraId="72100063" w14:textId="77777777" w:rsidR="00425038" w:rsidRPr="00425038" w:rsidTr="007C2297">
        <w:trPr>
          <w:trHeight w:val="315"/>
        </w:trPr>
        <w:tc>
          <w:tcPr>
            <w:tcW w:type="dxa" w:w="1620"/>
            <w:tcBorders>
              <w:top w:val="nil"/>
              <w:left w:color="auto" w:space="0" w:sz="8" w:val="single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04B7F0E1" w14:textId="77777777" w:rsidP="003C2A31" w:rsidR="00A63675" w:rsidRDefault="00A63675" w:rsidRPr="00425038">
            <w:pPr>
              <w:jc w:val="center"/>
              <w:rPr>
                <w:b/>
                <w:bCs/>
              </w:rPr>
            </w:pPr>
            <w:r w:rsidRPr="00425038">
              <w:rPr>
                <w:b/>
                <w:bCs/>
              </w:rPr>
              <w:t>I</w:t>
            </w:r>
          </w:p>
        </w:tc>
        <w:tc>
          <w:tcPr>
            <w:tcW w:type="dxa" w:w="5118"/>
            <w:tcBorders>
              <w:top w:val="nil"/>
              <w:left w:color="auto" w:space="0" w:sz="8" w:val="single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1FA0ACC0" w14:textId="5817F0C8" w:rsidP="003C2A31" w:rsidR="00A63675" w:rsidRDefault="007C2297" w:rsidRPr="00425038">
            <w:pPr>
              <w:jc w:val="center"/>
            </w:pPr>
            <w:r w:rsidRPr="00425038">
              <w:t>1</w:t>
            </w:r>
            <w:r w:rsidR="00903566" w:rsidRPr="00425038">
              <w:t> 645,60</w:t>
            </w:r>
            <w:r w:rsidR="00DE2ADC" w:rsidRPr="00425038">
              <w:t xml:space="preserve"> </w:t>
            </w:r>
            <w:r w:rsidR="00903566" w:rsidRPr="00425038">
              <w:t>€</w:t>
            </w:r>
            <w:r w:rsidR="00A63675" w:rsidRPr="00425038">
              <w:t xml:space="preserve"> </w:t>
            </w:r>
          </w:p>
        </w:tc>
      </w:tr>
      <w:tr w14:paraId="4A4DE3E4" w14:textId="77777777" w:rsidR="00425038" w:rsidRPr="00425038" w:rsidTr="007C2297">
        <w:trPr>
          <w:trHeight w:val="315"/>
        </w:trPr>
        <w:tc>
          <w:tcPr>
            <w:tcW w:type="dxa" w:w="1620"/>
            <w:tcBorders>
              <w:top w:val="nil"/>
              <w:left w:color="auto" w:space="0" w:sz="8" w:val="single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6AEBD078" w14:textId="77777777" w:rsidP="003C2A31" w:rsidR="00A63675" w:rsidRDefault="00A63675" w:rsidRPr="00425038">
            <w:pPr>
              <w:jc w:val="center"/>
              <w:rPr>
                <w:b/>
                <w:bCs/>
              </w:rPr>
            </w:pPr>
            <w:r w:rsidRPr="00425038">
              <w:rPr>
                <w:b/>
                <w:bCs/>
              </w:rPr>
              <w:t>II</w:t>
            </w:r>
          </w:p>
        </w:tc>
        <w:tc>
          <w:tcPr>
            <w:tcW w:type="dxa" w:w="5118"/>
            <w:tcBorders>
              <w:top w:val="nil"/>
              <w:left w:color="auto" w:space="0" w:sz="8" w:val="single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73A98B32" w14:textId="032D64BA" w:rsidP="003C2A31" w:rsidR="00A63675" w:rsidRDefault="007C2297" w:rsidRPr="00425038">
            <w:pPr>
              <w:jc w:val="center"/>
            </w:pPr>
            <w:r w:rsidRPr="00425038">
              <w:t>1</w:t>
            </w:r>
            <w:r w:rsidR="00903566" w:rsidRPr="00425038">
              <w:t> 650,74</w:t>
            </w:r>
            <w:r w:rsidR="00E915A6" w:rsidRPr="00425038">
              <w:t xml:space="preserve"> </w:t>
            </w:r>
            <w:r w:rsidR="00A63675" w:rsidRPr="00425038">
              <w:t>€</w:t>
            </w:r>
          </w:p>
        </w:tc>
      </w:tr>
      <w:tr w14:paraId="010A8364" w14:textId="77777777" w:rsidR="00425038" w:rsidRPr="00425038" w:rsidTr="007C2297">
        <w:trPr>
          <w:trHeight w:val="315"/>
        </w:trPr>
        <w:tc>
          <w:tcPr>
            <w:tcW w:type="dxa" w:w="1620"/>
            <w:tcBorders>
              <w:top w:val="nil"/>
              <w:left w:color="auto" w:space="0" w:sz="8" w:val="single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292C7CDE" w14:textId="77777777" w:rsidP="003C2A31" w:rsidR="00A63675" w:rsidRDefault="00A63675" w:rsidRPr="00425038">
            <w:pPr>
              <w:jc w:val="center"/>
              <w:rPr>
                <w:b/>
                <w:bCs/>
              </w:rPr>
            </w:pPr>
            <w:r w:rsidRPr="00425038">
              <w:rPr>
                <w:b/>
                <w:bCs/>
              </w:rPr>
              <w:t>III</w:t>
            </w:r>
          </w:p>
        </w:tc>
        <w:tc>
          <w:tcPr>
            <w:tcW w:type="dxa" w:w="5118"/>
            <w:tcBorders>
              <w:top w:val="nil"/>
              <w:left w:color="auto" w:space="0" w:sz="8" w:val="single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2ABF1EBA" w14:textId="64CFB92D" w:rsidP="003C2A31" w:rsidR="00A63675" w:rsidRDefault="00D9182C" w:rsidRPr="00425038">
            <w:pPr>
              <w:jc w:val="center"/>
            </w:pPr>
            <w:r w:rsidRPr="00425038">
              <w:t>1 6</w:t>
            </w:r>
            <w:r w:rsidR="00903566" w:rsidRPr="00425038">
              <w:t>55</w:t>
            </w:r>
            <w:r w:rsidRPr="00425038">
              <w:t>,</w:t>
            </w:r>
            <w:r w:rsidR="00903566" w:rsidRPr="00425038">
              <w:t>87</w:t>
            </w:r>
            <w:r w:rsidR="00E915A6" w:rsidRPr="00425038">
              <w:t xml:space="preserve"> </w:t>
            </w:r>
            <w:r w:rsidR="00A63675" w:rsidRPr="00425038">
              <w:t>€</w:t>
            </w:r>
          </w:p>
        </w:tc>
      </w:tr>
      <w:tr w14:paraId="25FA4052" w14:textId="77777777" w:rsidR="00425038" w:rsidRPr="00425038" w:rsidTr="007C2297">
        <w:trPr>
          <w:trHeight w:val="310"/>
        </w:trPr>
        <w:tc>
          <w:tcPr>
            <w:tcW w:type="dxa" w:w="1620"/>
            <w:tcBorders>
              <w:top w:val="nil"/>
              <w:left w:color="auto" w:space="0" w:sz="8" w:val="single"/>
              <w:bottom w:color="auto" w:space="0" w:sz="4" w:val="single"/>
              <w:right w:val="nil"/>
            </w:tcBorders>
            <w:shd w:color="auto" w:fill="auto" w:val="clear"/>
            <w:hideMark/>
          </w:tcPr>
          <w:p w14:paraId="0B5F4130" w14:textId="77777777" w:rsidP="003C2A31" w:rsidR="00A63675" w:rsidRDefault="00A63675" w:rsidRPr="00425038">
            <w:pPr>
              <w:jc w:val="center"/>
              <w:rPr>
                <w:b/>
                <w:bCs/>
              </w:rPr>
            </w:pPr>
            <w:r w:rsidRPr="00425038">
              <w:rPr>
                <w:b/>
                <w:bCs/>
              </w:rPr>
              <w:t>IV</w:t>
            </w:r>
          </w:p>
        </w:tc>
        <w:tc>
          <w:tcPr>
            <w:tcW w:type="dxa" w:w="5118"/>
            <w:tcBorders>
              <w:top w:val="nil"/>
              <w:left w:color="auto" w:space="0" w:sz="8" w:val="single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60548835" w14:textId="402FD353" w:rsidP="003C2A31" w:rsidR="00A63675" w:rsidRDefault="00D9182C" w:rsidRPr="00425038">
            <w:pPr>
              <w:jc w:val="center"/>
            </w:pPr>
            <w:r w:rsidRPr="00425038">
              <w:t>1 6</w:t>
            </w:r>
            <w:r w:rsidR="00903566" w:rsidRPr="00425038">
              <w:t>61</w:t>
            </w:r>
            <w:r w:rsidRPr="00425038">
              <w:t>,</w:t>
            </w:r>
            <w:r w:rsidR="00903566" w:rsidRPr="00425038">
              <w:t>00</w:t>
            </w:r>
            <w:r w:rsidRPr="00425038">
              <w:t xml:space="preserve"> </w:t>
            </w:r>
            <w:r w:rsidR="00A63675" w:rsidRPr="00425038">
              <w:t>€</w:t>
            </w:r>
          </w:p>
        </w:tc>
      </w:tr>
      <w:tr w14:paraId="17BD11EA" w14:textId="77777777" w:rsidR="00A63675" w:rsidRPr="00425038" w:rsidTr="007C2297">
        <w:trPr>
          <w:trHeight w:val="330"/>
        </w:trPr>
        <w:tc>
          <w:tcPr>
            <w:tcW w:type="dxa" w:w="1620"/>
            <w:tcBorders>
              <w:top w:val="nil"/>
              <w:left w:color="auto" w:space="0" w:sz="8" w:val="single"/>
              <w:bottom w:color="auto" w:space="0" w:sz="8" w:val="single"/>
              <w:right w:val="nil"/>
            </w:tcBorders>
            <w:shd w:color="auto" w:fill="auto" w:val="clear"/>
            <w:hideMark/>
          </w:tcPr>
          <w:p w14:paraId="0C824A88" w14:textId="77777777" w:rsidP="003C2A31" w:rsidR="00A63675" w:rsidRDefault="00A63675" w:rsidRPr="00425038">
            <w:pPr>
              <w:jc w:val="center"/>
              <w:rPr>
                <w:b/>
                <w:bCs/>
              </w:rPr>
            </w:pPr>
            <w:r w:rsidRPr="00425038">
              <w:rPr>
                <w:b/>
                <w:bCs/>
              </w:rPr>
              <w:t>V</w:t>
            </w:r>
          </w:p>
        </w:tc>
        <w:tc>
          <w:tcPr>
            <w:tcW w:type="dxa" w:w="5118"/>
            <w:tcBorders>
              <w:top w:val="nil"/>
              <w:left w:color="auto" w:space="0" w:sz="8" w:val="single"/>
              <w:bottom w:color="auto" w:space="0" w:sz="8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7D71F47B" w14:textId="25DBC940" w:rsidP="003C2A31" w:rsidR="00A63675" w:rsidRDefault="00D9182C" w:rsidRPr="00425038">
            <w:pPr>
              <w:jc w:val="center"/>
            </w:pPr>
            <w:r w:rsidRPr="00425038">
              <w:t>1 </w:t>
            </w:r>
            <w:r w:rsidR="00D92B1B" w:rsidRPr="00425038">
              <w:t>666</w:t>
            </w:r>
            <w:r w:rsidRPr="00425038">
              <w:t>,1</w:t>
            </w:r>
            <w:r w:rsidR="00D92B1B" w:rsidRPr="00425038">
              <w:t>3</w:t>
            </w:r>
            <w:r w:rsidR="00E915A6" w:rsidRPr="00425038">
              <w:t xml:space="preserve"> </w:t>
            </w:r>
            <w:r w:rsidR="00A63675" w:rsidRPr="00425038">
              <w:t>€</w:t>
            </w:r>
          </w:p>
        </w:tc>
      </w:tr>
    </w:tbl>
    <w:p w14:paraId="0AA24DFC" w14:textId="77777777" w:rsidP="00C12BF9" w:rsidR="00A63675" w:rsidRDefault="00A63675" w:rsidRPr="00425038">
      <w:pPr>
        <w:jc w:val="both"/>
      </w:pPr>
    </w:p>
    <w:p w14:paraId="4BC3E3E1" w14:textId="004B89E4" w:rsidP="00C12BF9" w:rsidR="00C12BF9" w:rsidRDefault="00C12BF9" w:rsidRPr="00425038">
      <w:pPr>
        <w:jc w:val="both"/>
      </w:pPr>
      <w:r w:rsidRPr="00425038">
        <w:t xml:space="preserve">Cette grille applicable à compter du </w:t>
      </w:r>
      <w:r w:rsidR="00D9182C" w:rsidRPr="00425038">
        <w:t>1</w:t>
      </w:r>
      <w:r w:rsidR="00D9182C" w:rsidRPr="00425038">
        <w:rPr>
          <w:vertAlign w:val="superscript"/>
        </w:rPr>
        <w:t>er</w:t>
      </w:r>
      <w:r w:rsidR="00D9182C" w:rsidRPr="00425038">
        <w:t xml:space="preserve"> </w:t>
      </w:r>
      <w:r w:rsidR="00D92B1B" w:rsidRPr="00425038">
        <w:t>juin</w:t>
      </w:r>
      <w:r w:rsidR="00E915A6" w:rsidRPr="00425038">
        <w:t xml:space="preserve"> 2022 </w:t>
      </w:r>
      <w:r w:rsidRPr="00425038">
        <w:t>ne concerne toutefois pas les salariés dont la rémunération est déterminée par la loi selon un pourcentage fixe du SMIC (apprentis, contrats de professionnalisation…</w:t>
      </w:r>
      <w:bookmarkStart w:id="1" w:name="_MON_1387001961"/>
      <w:bookmarkStart w:id="2" w:name="_MON_1386137541"/>
      <w:bookmarkStart w:id="3" w:name="_MON_1387634636"/>
      <w:bookmarkStart w:id="4" w:name="_MON_1387701418"/>
      <w:bookmarkEnd w:id="1"/>
      <w:bookmarkEnd w:id="2"/>
      <w:bookmarkEnd w:id="3"/>
      <w:bookmarkEnd w:id="4"/>
      <w:r w:rsidRPr="00425038">
        <w:t>).</w:t>
      </w:r>
    </w:p>
    <w:p w14:paraId="5E5C5766" w14:textId="157D4188" w:rsidP="00C12BF9" w:rsidR="00C12BF9" w:rsidRDefault="00C12BF9" w:rsidRPr="00425038">
      <w:pPr>
        <w:jc w:val="both"/>
      </w:pPr>
      <w:r w:rsidRPr="00425038">
        <w:t>Les Hôtesses de vente qui, au</w:t>
      </w:r>
      <w:r w:rsidR="00D9182C" w:rsidRPr="00425038">
        <w:t xml:space="preserve"> 31 </w:t>
      </w:r>
      <w:bookmarkStart w:id="5" w:name="_Hlk30150607"/>
      <w:r w:rsidR="00D92B1B" w:rsidRPr="00425038">
        <w:t>mai</w:t>
      </w:r>
      <w:r w:rsidR="00E915A6" w:rsidRPr="00425038">
        <w:t xml:space="preserve"> 2022</w:t>
      </w:r>
      <w:bookmarkEnd w:id="5"/>
      <w:r w:rsidRPr="00425038">
        <w:t xml:space="preserve">, avaient un salaire de base supérieur aux minimas de la grille du </w:t>
      </w:r>
      <w:r w:rsidR="00294714" w:rsidRPr="00425038">
        <w:t>1</w:t>
      </w:r>
      <w:r w:rsidR="00294714" w:rsidRPr="00425038">
        <w:rPr>
          <w:vertAlign w:val="superscript"/>
        </w:rPr>
        <w:t>er</w:t>
      </w:r>
      <w:r w:rsidR="00294714" w:rsidRPr="00425038">
        <w:t xml:space="preserve"> </w:t>
      </w:r>
      <w:r w:rsidR="00D92B1B" w:rsidRPr="00425038">
        <w:t>février</w:t>
      </w:r>
      <w:r w:rsidR="00294714" w:rsidRPr="00425038">
        <w:t xml:space="preserve"> 20</w:t>
      </w:r>
      <w:r w:rsidR="00F51837" w:rsidRPr="00425038">
        <w:t>2</w:t>
      </w:r>
      <w:r w:rsidR="00D92B1B" w:rsidRPr="00425038">
        <w:t>2</w:t>
      </w:r>
      <w:r w:rsidRPr="00425038">
        <w:t xml:space="preserve"> conserveront cette même différence en valeur.</w:t>
      </w:r>
    </w:p>
    <w:p w14:paraId="1FA6827F" w14:textId="51E90A38" w:rsidP="00C12BF9" w:rsidR="006861F5" w:rsidRDefault="006861F5" w:rsidRPr="00425038">
      <w:pPr>
        <w:jc w:val="both"/>
      </w:pPr>
    </w:p>
    <w:p w14:paraId="4EF1D5F2" w14:textId="363E842D" w:rsidP="00D132B4" w:rsidR="00D132B4" w:rsidRDefault="00D132B4" w:rsidRPr="00425038">
      <w:pPr>
        <w:jc w:val="both"/>
      </w:pPr>
      <w:r w:rsidRPr="00425038">
        <w:t xml:space="preserve">1.2 </w:t>
      </w:r>
      <w:r w:rsidRPr="00425038">
        <w:rPr>
          <w:u w:val="single"/>
        </w:rPr>
        <w:t xml:space="preserve">Salaire de base des Adjointes I (Système de rémunération </w:t>
      </w:r>
      <w:r w:rsidR="00D65E43" w:rsidRPr="00425038">
        <w:rPr>
          <w:u w:val="single"/>
        </w:rPr>
        <w:t>de l’accord du 25/07/2019</w:t>
      </w:r>
      <w:r w:rsidRPr="00425038">
        <w:rPr>
          <w:u w:val="single"/>
        </w:rPr>
        <w:t>)</w:t>
      </w:r>
    </w:p>
    <w:p w14:paraId="2EA972D7" w14:textId="77777777" w:rsidP="00D132B4" w:rsidR="00D132B4" w:rsidRDefault="00D132B4" w:rsidRPr="00425038">
      <w:pPr>
        <w:jc w:val="both"/>
      </w:pPr>
    </w:p>
    <w:p w14:paraId="35A77859" w14:textId="6A5DBB72" w:rsidP="00D132B4" w:rsidR="00D132B4" w:rsidRDefault="00D132B4" w:rsidRPr="00425038">
      <w:pPr>
        <w:jc w:val="both"/>
      </w:pPr>
      <w:r w:rsidRPr="00425038">
        <w:t xml:space="preserve">A compter du </w:t>
      </w:r>
      <w:r w:rsidR="00C3207B" w:rsidRPr="00425038">
        <w:t>1</w:t>
      </w:r>
      <w:r w:rsidR="00C3207B" w:rsidRPr="00425038">
        <w:rPr>
          <w:vertAlign w:val="superscript"/>
        </w:rPr>
        <w:t>er</w:t>
      </w:r>
      <w:r w:rsidR="00C3207B" w:rsidRPr="00425038">
        <w:t xml:space="preserve"> </w:t>
      </w:r>
      <w:r w:rsidR="00D92B1B" w:rsidRPr="00425038">
        <w:t xml:space="preserve">juin </w:t>
      </w:r>
      <w:r w:rsidR="00C3207B" w:rsidRPr="00425038">
        <w:t>2022</w:t>
      </w:r>
      <w:r w:rsidRPr="00425038">
        <w:t>, le salaire de base minimum mensuel</w:t>
      </w:r>
      <w:r w:rsidR="001C6481" w:rsidRPr="00425038">
        <w:t xml:space="preserve"> brut</w:t>
      </w:r>
      <w:r w:rsidRPr="00425038">
        <w:t xml:space="preserve"> pour un temps plein régi par </w:t>
      </w:r>
      <w:r w:rsidR="00D65E43" w:rsidRPr="00425038">
        <w:t>l’accord du 25/07/2019</w:t>
      </w:r>
      <w:r w:rsidRPr="00425038">
        <w:t xml:space="preserve"> est porté à</w:t>
      </w:r>
      <w:r w:rsidR="00C3207B" w:rsidRPr="00425038">
        <w:t xml:space="preserve"> </w:t>
      </w:r>
      <w:r w:rsidR="006A47B4" w:rsidRPr="00425038">
        <w:t>1</w:t>
      </w:r>
      <w:r w:rsidR="00D92B1B" w:rsidRPr="00425038">
        <w:t> 704,50</w:t>
      </w:r>
      <w:r w:rsidR="006A47B4" w:rsidRPr="00425038">
        <w:t xml:space="preserve"> </w:t>
      </w:r>
      <w:r w:rsidRPr="00425038">
        <w:t xml:space="preserve">euros. </w:t>
      </w:r>
    </w:p>
    <w:p w14:paraId="4CDFB305" w14:textId="77777777" w:rsidP="00D132B4" w:rsidR="001C6481" w:rsidRDefault="001C6481" w:rsidRPr="00425038">
      <w:pPr>
        <w:jc w:val="both"/>
      </w:pPr>
    </w:p>
    <w:p w14:paraId="74C0CACA" w14:textId="7D9951D4" w:rsidP="00D132B4" w:rsidR="00D132B4" w:rsidRDefault="00D132B4" w:rsidRPr="00425038">
      <w:pPr>
        <w:jc w:val="both"/>
      </w:pPr>
      <w:r w:rsidRPr="00425038">
        <w:t xml:space="preserve">Les Adjointes qui, au </w:t>
      </w:r>
      <w:r w:rsidR="00C3207B" w:rsidRPr="00425038">
        <w:t xml:space="preserve">31 </w:t>
      </w:r>
      <w:r w:rsidR="00D92B1B" w:rsidRPr="00425038">
        <w:t>mai</w:t>
      </w:r>
      <w:r w:rsidR="00C3207B" w:rsidRPr="00425038">
        <w:t xml:space="preserve"> 2022,</w:t>
      </w:r>
      <w:r w:rsidRPr="00425038">
        <w:t xml:space="preserve"> avaient un salaire de base supérieur au minima du </w:t>
      </w:r>
      <w:r w:rsidR="00250814" w:rsidRPr="00425038">
        <w:t>1</w:t>
      </w:r>
      <w:r w:rsidR="00250814" w:rsidRPr="00425038">
        <w:rPr>
          <w:vertAlign w:val="superscript"/>
        </w:rPr>
        <w:t>er</w:t>
      </w:r>
      <w:r w:rsidR="00250814" w:rsidRPr="00425038">
        <w:t xml:space="preserve"> </w:t>
      </w:r>
      <w:r w:rsidR="00D92B1B" w:rsidRPr="00425038">
        <w:t>février</w:t>
      </w:r>
      <w:r w:rsidR="00250814" w:rsidRPr="00425038">
        <w:t xml:space="preserve"> </w:t>
      </w:r>
      <w:r w:rsidR="00E662A4" w:rsidRPr="00425038">
        <w:t>20</w:t>
      </w:r>
      <w:r w:rsidR="00F51837" w:rsidRPr="00425038">
        <w:t>2</w:t>
      </w:r>
      <w:r w:rsidR="00D92B1B" w:rsidRPr="00425038">
        <w:t>2</w:t>
      </w:r>
      <w:r w:rsidR="00E662A4" w:rsidRPr="00425038">
        <w:t xml:space="preserve"> </w:t>
      </w:r>
      <w:r w:rsidRPr="00425038">
        <w:t>conserveront cette même différence en valeur.</w:t>
      </w:r>
    </w:p>
    <w:p w14:paraId="7ECD808A" w14:textId="77777777" w:rsidP="00D132B4" w:rsidR="00B70812" w:rsidRDefault="00B70812" w:rsidRPr="00425038">
      <w:pPr>
        <w:jc w:val="both"/>
      </w:pPr>
    </w:p>
    <w:p w14:paraId="1D6EADAC" w14:textId="5EF25165" w:rsidP="00D132B4" w:rsidR="00D132B4" w:rsidRDefault="00D132B4" w:rsidRPr="00425038">
      <w:pPr>
        <w:jc w:val="both"/>
        <w:rPr>
          <w:u w:val="single"/>
        </w:rPr>
      </w:pPr>
      <w:r w:rsidRPr="00425038">
        <w:t xml:space="preserve">1.3 </w:t>
      </w:r>
      <w:r w:rsidRPr="00425038">
        <w:rPr>
          <w:u w:val="single"/>
        </w:rPr>
        <w:t>Salaire de base des Adjointes II (Système de rémunération 2017)</w:t>
      </w:r>
    </w:p>
    <w:p w14:paraId="3A095B6D" w14:textId="77777777" w:rsidP="00D132B4" w:rsidR="00D132B4" w:rsidRDefault="00D132B4" w:rsidRPr="00425038">
      <w:pPr>
        <w:jc w:val="both"/>
        <w:rPr>
          <w:b/>
          <w:u w:val="single"/>
        </w:rPr>
      </w:pPr>
    </w:p>
    <w:p w14:paraId="14054A6E" w14:textId="23AB59B1" w:rsidP="00D132B4" w:rsidR="00D132B4" w:rsidRDefault="00D132B4" w:rsidRPr="00425038">
      <w:pPr>
        <w:jc w:val="both"/>
      </w:pPr>
      <w:r w:rsidRPr="00425038">
        <w:t xml:space="preserve">A compter du </w:t>
      </w:r>
      <w:r w:rsidR="00C3207B" w:rsidRPr="00425038">
        <w:t>1</w:t>
      </w:r>
      <w:r w:rsidR="00C3207B" w:rsidRPr="00425038">
        <w:rPr>
          <w:vertAlign w:val="superscript"/>
        </w:rPr>
        <w:t>er</w:t>
      </w:r>
      <w:r w:rsidR="00C3207B" w:rsidRPr="00425038">
        <w:t xml:space="preserve"> </w:t>
      </w:r>
      <w:r w:rsidR="00D92B1B" w:rsidRPr="00425038">
        <w:t xml:space="preserve">juin </w:t>
      </w:r>
      <w:r w:rsidR="00C3207B" w:rsidRPr="00425038">
        <w:t>2022</w:t>
      </w:r>
      <w:r w:rsidRPr="00425038">
        <w:t>, le salaire de base minimum mensuel</w:t>
      </w:r>
      <w:r w:rsidR="001C6481" w:rsidRPr="00425038">
        <w:t xml:space="preserve"> brut</w:t>
      </w:r>
      <w:r w:rsidRPr="00425038">
        <w:t xml:space="preserve"> pour un temps plein régi par le système de rémunération de 2017 est porté à</w:t>
      </w:r>
      <w:r w:rsidR="00C3207B" w:rsidRPr="00425038">
        <w:t xml:space="preserve"> </w:t>
      </w:r>
      <w:r w:rsidR="006A47B4" w:rsidRPr="00425038">
        <w:t>1</w:t>
      </w:r>
      <w:r w:rsidR="00D92B1B" w:rsidRPr="00425038">
        <w:t> 753,23</w:t>
      </w:r>
      <w:r w:rsidR="006A47B4" w:rsidRPr="00425038">
        <w:t xml:space="preserve"> </w:t>
      </w:r>
      <w:r w:rsidRPr="00425038">
        <w:t xml:space="preserve">euros. </w:t>
      </w:r>
    </w:p>
    <w:p w14:paraId="2A050BAB" w14:textId="77777777" w:rsidP="00D132B4" w:rsidR="00D132B4" w:rsidRDefault="00D132B4" w:rsidRPr="00425038">
      <w:pPr>
        <w:jc w:val="both"/>
      </w:pPr>
    </w:p>
    <w:p w14:paraId="15BF0A12" w14:textId="0450E9C9" w:rsidP="00D132B4" w:rsidR="00D132B4" w:rsidRDefault="00D132B4" w:rsidRPr="00425038">
      <w:pPr>
        <w:jc w:val="both"/>
      </w:pPr>
      <w:r w:rsidRPr="00425038">
        <w:t xml:space="preserve">Les Adjointes qui, au </w:t>
      </w:r>
      <w:r w:rsidR="00C3207B" w:rsidRPr="00425038">
        <w:t xml:space="preserve">31 </w:t>
      </w:r>
      <w:r w:rsidR="00D92B1B" w:rsidRPr="00425038">
        <w:t xml:space="preserve">mai </w:t>
      </w:r>
      <w:r w:rsidR="00C3207B" w:rsidRPr="00425038">
        <w:t>2022</w:t>
      </w:r>
      <w:r w:rsidRPr="00425038">
        <w:t xml:space="preserve">, avaient un salaire de base supérieur </w:t>
      </w:r>
      <w:r w:rsidR="00C3207B" w:rsidRPr="00425038">
        <w:t>au minima du 1</w:t>
      </w:r>
      <w:r w:rsidR="00C3207B" w:rsidRPr="00425038">
        <w:rPr>
          <w:vertAlign w:val="superscript"/>
        </w:rPr>
        <w:t>er</w:t>
      </w:r>
      <w:r w:rsidR="00C3207B" w:rsidRPr="00425038">
        <w:t xml:space="preserve"> </w:t>
      </w:r>
      <w:r w:rsidR="00D92B1B" w:rsidRPr="00425038">
        <w:t xml:space="preserve">février </w:t>
      </w:r>
      <w:r w:rsidR="00C3207B" w:rsidRPr="00425038">
        <w:t>202</w:t>
      </w:r>
      <w:r w:rsidR="00D92B1B" w:rsidRPr="00425038">
        <w:t xml:space="preserve">2 </w:t>
      </w:r>
      <w:r w:rsidRPr="00425038">
        <w:t>conserveront cette même différence en valeur.</w:t>
      </w:r>
    </w:p>
    <w:p w14:paraId="2E86CAE1" w14:textId="0A4ACC42" w:rsidP="00B70812" w:rsidR="005A5FB9" w:rsidRDefault="005A5FB9">
      <w:pPr>
        <w:jc w:val="both"/>
      </w:pPr>
    </w:p>
    <w:p w14:paraId="2CAEFFB8" w14:textId="77777777" w:rsidP="00102E41" w:rsidR="00102E41" w:rsidRDefault="00102E41" w:rsidRPr="001C143F">
      <w:pPr>
        <w:jc w:val="both"/>
        <w:rPr>
          <w:b/>
          <w:u w:val="single"/>
        </w:rPr>
      </w:pPr>
      <w:r w:rsidRPr="001C143F">
        <w:rPr>
          <w:b/>
          <w:u w:val="single"/>
        </w:rPr>
        <w:t xml:space="preserve">Article </w:t>
      </w:r>
      <w:r>
        <w:rPr>
          <w:b/>
          <w:u w:val="single"/>
        </w:rPr>
        <w:t>2</w:t>
      </w:r>
      <w:r w:rsidRPr="001C143F">
        <w:rPr>
          <w:b/>
          <w:u w:val="single"/>
        </w:rPr>
        <w:t xml:space="preserve"> – </w:t>
      </w:r>
      <w:r>
        <w:rPr>
          <w:b/>
          <w:u w:val="single"/>
        </w:rPr>
        <w:t>Changement de niveau des Hôtesses de vente</w:t>
      </w:r>
    </w:p>
    <w:p w14:paraId="50950797" w14:textId="77777777" w:rsidP="00102E41" w:rsidR="00102E41" w:rsidRDefault="00102E41" w:rsidRPr="00F63134">
      <w:pPr>
        <w:jc w:val="both"/>
      </w:pPr>
    </w:p>
    <w:p w14:paraId="404E6416" w14:textId="1C0F703F" w:rsidP="00102E41" w:rsidR="00102E41" w:rsidRDefault="00102E41">
      <w:pPr>
        <w:jc w:val="both"/>
      </w:pPr>
      <w:r w:rsidRPr="00F63134">
        <w:t xml:space="preserve">Il est convenu que </w:t>
      </w:r>
      <w:r>
        <w:t>30</w:t>
      </w:r>
      <w:r w:rsidRPr="00F63134">
        <w:t xml:space="preserve"> Hôtesses de vente parmi les niveaux </w:t>
      </w:r>
      <w:r>
        <w:t>II</w:t>
      </w:r>
      <w:r w:rsidRPr="00F63134">
        <w:t xml:space="preserve"> à </w:t>
      </w:r>
      <w:r>
        <w:t>IV</w:t>
      </w:r>
      <w:r w:rsidRPr="00F63134">
        <w:t xml:space="preserve">, en CDI actif au 31 </w:t>
      </w:r>
      <w:r>
        <w:t>mai</w:t>
      </w:r>
      <w:r w:rsidRPr="00F63134">
        <w:t xml:space="preserve"> 202</w:t>
      </w:r>
      <w:r>
        <w:t>2</w:t>
      </w:r>
      <w:r w:rsidRPr="00F63134">
        <w:t xml:space="preserve">, </w:t>
      </w:r>
      <w:bookmarkStart w:id="6" w:name="_Hlk104998569"/>
      <w:r w:rsidRPr="00F63134">
        <w:t>répartis proportionnellement par enseigne</w:t>
      </w:r>
      <w:bookmarkEnd w:id="6"/>
      <w:r w:rsidRPr="00F63134">
        <w:t>, changeront de niveau à effet au 1</w:t>
      </w:r>
      <w:r w:rsidRPr="00F63134">
        <w:rPr>
          <w:vertAlign w:val="superscript"/>
        </w:rPr>
        <w:t>er</w:t>
      </w:r>
      <w:r w:rsidRPr="00F63134">
        <w:t xml:space="preserve"> </w:t>
      </w:r>
      <w:r>
        <w:t>juin</w:t>
      </w:r>
      <w:r w:rsidRPr="00F63134">
        <w:t xml:space="preserve"> 2022. </w:t>
      </w:r>
      <w:r>
        <w:t xml:space="preserve">Les hôtesses de vente ayant déjà bénéficié d’un changement de niveau en 2022 ne </w:t>
      </w:r>
      <w:r w:rsidR="000E4A4E">
        <w:t>sont</w:t>
      </w:r>
      <w:r>
        <w:t xml:space="preserve"> pas concernées. Par ailleurs, une attention particulière sera portée sur les hôtesses de vente ayant le plus d’ancienneté dans leur niveau. </w:t>
      </w:r>
    </w:p>
    <w:p w14:paraId="2A342FAA" w14:textId="77777777" w:rsidP="00102E41" w:rsidR="00102E41" w:rsidRDefault="00102E41" w:rsidRPr="00F63134">
      <w:pPr>
        <w:jc w:val="both"/>
      </w:pPr>
    </w:p>
    <w:p w14:paraId="1A626C20" w14:textId="19AFE5F3" w:rsidP="00102E41" w:rsidR="00102E41" w:rsidRDefault="00102E41" w:rsidRPr="00F63134">
      <w:pPr>
        <w:jc w:val="both"/>
      </w:pPr>
      <w:r w:rsidRPr="00F63134">
        <w:t xml:space="preserve">Ces changements pourront se faire entre les niveaux </w:t>
      </w:r>
      <w:r>
        <w:t>II</w:t>
      </w:r>
      <w:r w:rsidRPr="00F63134">
        <w:t xml:space="preserve"> et </w:t>
      </w:r>
      <w:r>
        <w:t>III</w:t>
      </w:r>
      <w:r w:rsidRPr="00F63134">
        <w:t xml:space="preserve">, les niveaux </w:t>
      </w:r>
      <w:r>
        <w:t>II</w:t>
      </w:r>
      <w:r w:rsidRPr="00F63134">
        <w:t xml:space="preserve"> et </w:t>
      </w:r>
      <w:r>
        <w:t>IV</w:t>
      </w:r>
      <w:r w:rsidRPr="00F63134">
        <w:t xml:space="preserve">, les niveaux </w:t>
      </w:r>
      <w:r>
        <w:t>II</w:t>
      </w:r>
      <w:r w:rsidRPr="00F63134">
        <w:t xml:space="preserve"> et </w:t>
      </w:r>
      <w:r>
        <w:t>V</w:t>
      </w:r>
      <w:r w:rsidRPr="00F63134">
        <w:t xml:space="preserve">, les niveaux </w:t>
      </w:r>
      <w:r>
        <w:t>III</w:t>
      </w:r>
      <w:r w:rsidRPr="00F63134">
        <w:t xml:space="preserve"> et </w:t>
      </w:r>
      <w:r>
        <w:t>IV</w:t>
      </w:r>
      <w:r w:rsidRPr="00F63134">
        <w:t xml:space="preserve">, les niveaux </w:t>
      </w:r>
      <w:r>
        <w:t xml:space="preserve">III </w:t>
      </w:r>
      <w:r w:rsidRPr="00F63134">
        <w:t xml:space="preserve">et </w:t>
      </w:r>
      <w:r>
        <w:t>IV</w:t>
      </w:r>
      <w:r w:rsidRPr="00F63134">
        <w:t xml:space="preserve"> et les niveaux </w:t>
      </w:r>
      <w:r>
        <w:t>IV</w:t>
      </w:r>
      <w:r w:rsidRPr="00F63134">
        <w:t xml:space="preserve"> et </w:t>
      </w:r>
      <w:r w:rsidR="002B7581">
        <w:t>V</w:t>
      </w:r>
      <w:r w:rsidRPr="00F63134">
        <w:t>.</w:t>
      </w:r>
    </w:p>
    <w:p w14:paraId="4CDAB81A" w14:textId="77777777" w:rsidP="00102E41" w:rsidR="00102E41" w:rsidRDefault="00102E41" w:rsidRPr="00F63134">
      <w:pPr>
        <w:jc w:val="both"/>
      </w:pPr>
    </w:p>
    <w:p w14:paraId="7DD5AB49" w14:textId="77777777" w:rsidP="00102E41" w:rsidR="00102E41" w:rsidRDefault="00102E41" w:rsidRPr="00F63134">
      <w:pPr>
        <w:jc w:val="both"/>
      </w:pPr>
      <w:r w:rsidRPr="00F63134">
        <w:lastRenderedPageBreak/>
        <w:t xml:space="preserve">Ces changements seront validés par les Directeurs Régionaux, sur proposition des Responsables Animatrices. </w:t>
      </w:r>
    </w:p>
    <w:p w14:paraId="214317B6" w14:textId="77777777" w:rsidP="00B70812" w:rsidR="005A5FB9" w:rsidRDefault="005A5FB9" w:rsidRPr="00425038">
      <w:pPr>
        <w:jc w:val="both"/>
      </w:pPr>
    </w:p>
    <w:p w14:paraId="13F5C477" w14:textId="2A19012A" w:rsidP="00C12BF9" w:rsidR="00C12BF9" w:rsidRDefault="00C12BF9" w:rsidRPr="00425038">
      <w:pPr>
        <w:jc w:val="both"/>
        <w:rPr>
          <w:b/>
          <w:u w:val="single"/>
        </w:rPr>
      </w:pPr>
      <w:r w:rsidRPr="00425038">
        <w:rPr>
          <w:b/>
          <w:u w:val="single"/>
        </w:rPr>
        <w:t xml:space="preserve">Article </w:t>
      </w:r>
      <w:r w:rsidR="002B7581">
        <w:rPr>
          <w:b/>
          <w:u w:val="single"/>
        </w:rPr>
        <w:t>3</w:t>
      </w:r>
      <w:r w:rsidRPr="00425038">
        <w:rPr>
          <w:b/>
          <w:u w:val="single"/>
        </w:rPr>
        <w:t xml:space="preserve"> – Responsables animatrices (</w:t>
      </w:r>
      <w:r w:rsidR="009D7F82" w:rsidRPr="00425038">
        <w:rPr>
          <w:b/>
          <w:u w:val="single"/>
        </w:rPr>
        <w:t>agents de maîtrise</w:t>
      </w:r>
      <w:r w:rsidRPr="00425038">
        <w:rPr>
          <w:b/>
          <w:u w:val="single"/>
        </w:rPr>
        <w:t>)</w:t>
      </w:r>
    </w:p>
    <w:p w14:paraId="1D86405B" w14:textId="2A3FA686" w:rsidP="00C12BF9" w:rsidR="00AD5CF3" w:rsidRDefault="00AD5CF3" w:rsidRPr="00425038">
      <w:pPr>
        <w:jc w:val="both"/>
      </w:pPr>
    </w:p>
    <w:p w14:paraId="58C96A07" w14:textId="1C7DCDF6" w:rsidP="00C12BF9" w:rsidR="00C12BF9" w:rsidRDefault="00C12BF9" w:rsidRPr="00425038">
      <w:pPr>
        <w:jc w:val="both"/>
      </w:pPr>
      <w:r w:rsidRPr="00425038">
        <w:rPr>
          <w:u w:val="single"/>
        </w:rPr>
        <w:t>Système de rémunération 1994 et Système de rémunération 2017</w:t>
      </w:r>
    </w:p>
    <w:p w14:paraId="41F56396" w14:textId="77777777" w:rsidP="008601A4" w:rsidR="00C12BF9" w:rsidRDefault="00C12BF9" w:rsidRPr="00425038">
      <w:pPr>
        <w:jc w:val="both"/>
      </w:pPr>
    </w:p>
    <w:p w14:paraId="18AC6B4A" w14:textId="72D4A1EC" w:rsidP="00EF6788" w:rsidR="00DB3B38" w:rsidRDefault="00891585" w:rsidRPr="00425038">
      <w:pPr>
        <w:jc w:val="both"/>
      </w:pPr>
      <w:r w:rsidRPr="00425038">
        <w:t xml:space="preserve">Les salaires de base mensuels </w:t>
      </w:r>
      <w:r w:rsidR="00E77851" w:rsidRPr="00425038">
        <w:t xml:space="preserve">bruts </w:t>
      </w:r>
      <w:r w:rsidRPr="00425038">
        <w:t>des Responsables animatrices sont revalorisés</w:t>
      </w:r>
      <w:r w:rsidR="007543E3" w:rsidRPr="00425038">
        <w:t xml:space="preserve"> à compter du 1</w:t>
      </w:r>
      <w:r w:rsidR="007543E3" w:rsidRPr="00425038">
        <w:rPr>
          <w:vertAlign w:val="superscript"/>
        </w:rPr>
        <w:t>er</w:t>
      </w:r>
      <w:r w:rsidR="007543E3" w:rsidRPr="00425038">
        <w:t xml:space="preserve"> juin 2022</w:t>
      </w:r>
      <w:r w:rsidRPr="00425038">
        <w:t xml:space="preserve"> de</w:t>
      </w:r>
      <w:r w:rsidR="007543E3" w:rsidRPr="00425038">
        <w:t> :</w:t>
      </w:r>
    </w:p>
    <w:p w14:paraId="6254C4C2" w14:textId="77777777" w:rsidP="00EF6788" w:rsidR="002808E4" w:rsidRDefault="002808E4" w:rsidRPr="00425038">
      <w:pPr>
        <w:jc w:val="both"/>
      </w:pPr>
    </w:p>
    <w:p w14:paraId="378D9AD7" w14:textId="03E10C93" w:rsidP="00D41233" w:rsidR="00982ED0" w:rsidRDefault="007543E3" w:rsidRPr="00425038">
      <w:pPr>
        <w:pStyle w:val="Paragraphedeliste"/>
        <w:numPr>
          <w:ilvl w:val="0"/>
          <w:numId w:val="1"/>
        </w:numPr>
        <w:jc w:val="both"/>
      </w:pPr>
      <w:r w:rsidRPr="00425038">
        <w:t>2% pour les salariés ayant au 31 mai 2022 un salaire mensuel de base compris entre       1 748,80 € bruts et 1 85</w:t>
      </w:r>
      <w:r w:rsidR="006D36B4">
        <w:t>9</w:t>
      </w:r>
      <w:r w:rsidRPr="00425038">
        <w:t xml:space="preserve"> € bruts,</w:t>
      </w:r>
    </w:p>
    <w:p w14:paraId="0BF8D536" w14:textId="148B8717" w:rsidP="007543E3" w:rsidR="007543E3" w:rsidRDefault="007543E3">
      <w:pPr>
        <w:pStyle w:val="Paragraphedeliste"/>
        <w:numPr>
          <w:ilvl w:val="0"/>
          <w:numId w:val="1"/>
        </w:numPr>
        <w:jc w:val="both"/>
      </w:pPr>
      <w:r w:rsidRPr="00425038">
        <w:t>1% pour les salariés ayant au 31 mai 2022 un salaire mensuel de base compris entre       1</w:t>
      </w:r>
      <w:r w:rsidR="006D36B4">
        <w:t> </w:t>
      </w:r>
      <w:r w:rsidRPr="00425038">
        <w:t>859</w:t>
      </w:r>
      <w:r w:rsidR="006D36B4">
        <w:t>,01</w:t>
      </w:r>
      <w:r w:rsidRPr="00425038">
        <w:t xml:space="preserve"> € bruts et 2 224 € bruts.</w:t>
      </w:r>
    </w:p>
    <w:p w14:paraId="525F3DA7" w14:textId="2ACD2070" w:rsidP="002B7581" w:rsidR="002B7581" w:rsidRDefault="002B7581">
      <w:pPr>
        <w:pStyle w:val="Paragraphedeliste"/>
        <w:jc w:val="both"/>
      </w:pPr>
    </w:p>
    <w:p w14:paraId="2A9CDB6E" w14:textId="77777777" w:rsidP="002B7581" w:rsidR="002B7581" w:rsidRDefault="002B7581" w:rsidRPr="00F63134">
      <w:pPr>
        <w:jc w:val="both"/>
        <w:rPr>
          <w:b/>
          <w:u w:val="single"/>
        </w:rPr>
      </w:pPr>
      <w:r w:rsidRPr="00425038">
        <w:rPr>
          <w:b/>
          <w:u w:val="single"/>
        </w:rPr>
        <w:t xml:space="preserve">Article </w:t>
      </w:r>
      <w:r>
        <w:rPr>
          <w:b/>
          <w:u w:val="single"/>
        </w:rPr>
        <w:t>4</w:t>
      </w:r>
      <w:r w:rsidRPr="00425038">
        <w:rPr>
          <w:b/>
          <w:u w:val="single"/>
        </w:rPr>
        <w:t xml:space="preserve"> – Responsables animatrices </w:t>
      </w:r>
      <w:r w:rsidRPr="00F63134">
        <w:rPr>
          <w:b/>
          <w:u w:val="single"/>
        </w:rPr>
        <w:t>(tous statuts confondus : agents de maîtrise et cadres)</w:t>
      </w:r>
    </w:p>
    <w:p w14:paraId="73EA5088" w14:textId="531555B7" w:rsidP="002B7581" w:rsidR="002B7581" w:rsidRDefault="002B7581">
      <w:pPr>
        <w:jc w:val="both"/>
      </w:pPr>
    </w:p>
    <w:p w14:paraId="1B98A48B" w14:textId="0676C1A9" w:rsidP="002B7581" w:rsidR="002B7581" w:rsidRDefault="002B7581">
      <w:pPr>
        <w:jc w:val="both"/>
      </w:pPr>
      <w:r>
        <w:t>Une enveloppe de 0,5% de</w:t>
      </w:r>
      <w:r w:rsidR="00F91DF6">
        <w:t xml:space="preserve"> la somme de</w:t>
      </w:r>
      <w:r>
        <w:t>s salaires de base des responsables animatrices</w:t>
      </w:r>
      <w:r w:rsidR="00B02148">
        <w:t>,</w:t>
      </w:r>
      <w:r>
        <w:t xml:space="preserve"> </w:t>
      </w:r>
      <w:r w:rsidR="00B02148" w:rsidRPr="00F63134">
        <w:t>réparti</w:t>
      </w:r>
      <w:r w:rsidR="00B02148">
        <w:t>e</w:t>
      </w:r>
      <w:r w:rsidR="00B02148" w:rsidRPr="00F63134">
        <w:t xml:space="preserve"> proportionnellement</w:t>
      </w:r>
      <w:r w:rsidR="00B02148">
        <w:t xml:space="preserve"> par enseigne,</w:t>
      </w:r>
      <w:r w:rsidR="00B02148" w:rsidRPr="00F63134">
        <w:t xml:space="preserve"> </w:t>
      </w:r>
      <w:r>
        <w:t>est accordée pour réaliser, au choix des Directions commerciales des enseignes, des augmentations individuelles. Ces augmentations prennent effet au 1</w:t>
      </w:r>
      <w:r w:rsidRPr="00B02148">
        <w:rPr>
          <w:vertAlign w:val="superscript"/>
        </w:rPr>
        <w:t>er</w:t>
      </w:r>
      <w:r w:rsidR="00B02148">
        <w:t xml:space="preserve"> </w:t>
      </w:r>
      <w:r>
        <w:t>juin 2022.</w:t>
      </w:r>
    </w:p>
    <w:p w14:paraId="0F31BC2F" w14:textId="77777777" w:rsidP="002B7581" w:rsidR="00B02148" w:rsidRDefault="00B02148" w:rsidRPr="00425038">
      <w:pPr>
        <w:jc w:val="both"/>
      </w:pPr>
    </w:p>
    <w:p w14:paraId="2FBB3A28" w14:textId="6E6DC589" w:rsidP="00C12BF9" w:rsidR="00C12BF9" w:rsidRDefault="00C12BF9" w:rsidRPr="00425038">
      <w:pPr>
        <w:rPr>
          <w:b/>
          <w:u w:val="single"/>
        </w:rPr>
      </w:pPr>
      <w:r w:rsidRPr="00425038">
        <w:rPr>
          <w:b/>
          <w:u w:val="single"/>
        </w:rPr>
        <w:t xml:space="preserve">Article </w:t>
      </w:r>
      <w:r w:rsidR="002B7581">
        <w:rPr>
          <w:b/>
          <w:u w:val="single"/>
        </w:rPr>
        <w:t>5</w:t>
      </w:r>
      <w:r w:rsidR="000C1899" w:rsidRPr="00425038">
        <w:rPr>
          <w:b/>
          <w:u w:val="single"/>
        </w:rPr>
        <w:t xml:space="preserve"> </w:t>
      </w:r>
      <w:r w:rsidRPr="00425038">
        <w:rPr>
          <w:b/>
          <w:u w:val="single"/>
        </w:rPr>
        <w:t>– Publicité</w:t>
      </w:r>
    </w:p>
    <w:p w14:paraId="3CB2DB16" w14:textId="77777777" w:rsidP="00C12BF9" w:rsidR="00C12BF9" w:rsidRDefault="00C12BF9" w:rsidRPr="00425038">
      <w:pPr>
        <w:rPr>
          <w:b/>
          <w:u w:val="single"/>
        </w:rPr>
      </w:pPr>
    </w:p>
    <w:p w14:paraId="348BAA91" w14:textId="77777777" w:rsidP="00C12BF9" w:rsidR="00C12BF9" w:rsidRDefault="00C12BF9" w:rsidRPr="00425038">
      <w:r w:rsidRPr="00425038">
        <w:t>Le présent accord est adressé à l’Inspection du Travail du siège et au greffe du Conseil des Prud’hommes de Nanterre.</w:t>
      </w:r>
    </w:p>
    <w:p w14:paraId="6D1B52C4" w14:textId="77777777" w:rsidP="00C12BF9" w:rsidR="00C12BF9" w:rsidRDefault="00C12BF9" w:rsidRPr="00425038">
      <w:pPr>
        <w:ind w:left="720"/>
      </w:pPr>
    </w:p>
    <w:p w14:paraId="45E63FFB" w14:textId="21B178B8" w:rsidP="00C12BF9" w:rsidR="00C12BF9" w:rsidRDefault="00C12BF9" w:rsidRPr="00425038">
      <w:r w:rsidRPr="00425038">
        <w:t>Fait à Clichy, le</w:t>
      </w:r>
      <w:r w:rsidR="000E4A4E">
        <w:t xml:space="preserve"> 3 juin </w:t>
      </w:r>
      <w:r w:rsidR="00614B4F" w:rsidRPr="00425038">
        <w:t>2022</w:t>
      </w:r>
    </w:p>
    <w:p w14:paraId="2D31620B" w14:textId="009A9751" w:rsidP="00C12BF9" w:rsidR="00C12BF9" w:rsidRDefault="00C12BF9" w:rsidRPr="00425038"/>
    <w:p w14:paraId="45ABB74C" w14:textId="514C35B2" w:rsidP="00C12BF9" w:rsidR="005A5FB9" w:rsidRDefault="005A5FB9"/>
    <w:p w14:paraId="5A8AFC03" w14:textId="77777777" w:rsidP="00C12BF9" w:rsidR="00C12BF9" w:rsidRDefault="00C12BF9" w:rsidRPr="00425038">
      <w:pPr>
        <w:rPr>
          <w:sz w:val="16"/>
          <w:szCs w:val="16"/>
        </w:rPr>
      </w:pPr>
    </w:p>
    <w:p w14:paraId="20F2EBE3" w14:textId="77777777" w:rsidP="00C12BF9" w:rsidR="00C12BF9" w:rsidRDefault="00C12BF9" w:rsidRPr="00425038">
      <w:r w:rsidRPr="00425038">
        <w:t>Pour la Direction</w:t>
      </w:r>
      <w:r w:rsidRPr="00425038">
        <w:tab/>
      </w:r>
      <w:r w:rsidRPr="00425038">
        <w:tab/>
      </w:r>
      <w:r w:rsidRPr="00425038">
        <w:tab/>
      </w:r>
      <w:r w:rsidRPr="00425038">
        <w:tab/>
      </w:r>
      <w:r w:rsidRPr="00425038">
        <w:tab/>
        <w:t xml:space="preserve">Pour la Fédération </w:t>
      </w:r>
    </w:p>
    <w:p w14:paraId="2250336A" w14:textId="0276F0D6" w:rsidP="00C12BF9" w:rsidR="00C12BF9" w:rsidRDefault="00FE35CC" w:rsidRPr="00425038">
      <w:r>
        <w:t>XXX</w:t>
      </w:r>
      <w:r>
        <w:t xml:space="preserve"> </w:t>
      </w:r>
      <w:r w:rsidR="00C12BF9" w:rsidRPr="00425038">
        <w:tab/>
      </w:r>
      <w:r w:rsidR="00C12BF9" w:rsidRPr="00425038">
        <w:tab/>
      </w:r>
      <w:r w:rsidR="00C12BF9" w:rsidRPr="00425038">
        <w:tab/>
      </w:r>
      <w:r w:rsidR="00C12BF9" w:rsidRPr="00425038">
        <w:tab/>
      </w:r>
      <w:r w:rsidR="00C12BF9" w:rsidRPr="00425038">
        <w:tab/>
      </w:r>
      <w:r w:rsidR="00030955" w:rsidRPr="00425038">
        <w:t xml:space="preserve">          </w:t>
      </w:r>
      <w:r>
        <w:t xml:space="preserve">           </w:t>
      </w:r>
      <w:r w:rsidR="00030955" w:rsidRPr="00425038">
        <w:t xml:space="preserve">  </w:t>
      </w:r>
      <w:r w:rsidR="00C12BF9" w:rsidRPr="00425038">
        <w:t>de l’UNSA Commerce et Services</w:t>
      </w:r>
    </w:p>
    <w:p w14:paraId="2254909E" w14:textId="6D62DFF0" w:rsidP="00FE35CC" w:rsidR="00C12BF9" w:rsidRDefault="00C12BF9" w:rsidRPr="00425038">
      <w:r w:rsidRPr="00425038">
        <w:tab/>
      </w:r>
      <w:r w:rsidRPr="00425038">
        <w:tab/>
      </w:r>
      <w:r w:rsidRPr="00425038">
        <w:tab/>
      </w:r>
      <w:r w:rsidRPr="00425038">
        <w:tab/>
      </w:r>
      <w:r w:rsidRPr="00425038">
        <w:tab/>
      </w:r>
      <w:r w:rsidRPr="00425038">
        <w:tab/>
      </w:r>
      <w:r w:rsidRPr="00425038">
        <w:tab/>
      </w:r>
      <w:r w:rsidR="00FE35CC">
        <w:t>XXX</w:t>
      </w:r>
      <w:r w:rsidRPr="00425038">
        <w:t xml:space="preserve">                                                           </w:t>
      </w:r>
    </w:p>
    <w:p w14:paraId="0E2199D7" w14:textId="7A4226ED" w:rsidP="00C12BF9" w:rsidR="005A5FB9" w:rsidRDefault="005A5FB9"/>
    <w:p w14:paraId="56DC5931" w14:textId="77777777" w:rsidP="00C12BF9" w:rsidR="00F91DF6" w:rsidRDefault="00F91DF6" w:rsidRPr="00425038"/>
    <w:p w14:paraId="33DE0A92" w14:textId="77777777" w:rsidP="00C12BF9" w:rsidR="00C12BF9" w:rsidRDefault="00C12BF9" w:rsidRPr="00425038"/>
    <w:p w14:paraId="68484486" w14:textId="77777777" w:rsidP="00C12BF9" w:rsidR="00C12BF9" w:rsidRDefault="00C12BF9" w:rsidRPr="00425038">
      <w:r w:rsidRPr="00425038">
        <w:t xml:space="preserve">  </w:t>
      </w:r>
      <w:r w:rsidRPr="00425038">
        <w:tab/>
        <w:t xml:space="preserve">                                                        </w:t>
      </w:r>
      <w:r w:rsidRPr="00425038">
        <w:tab/>
      </w:r>
      <w:r w:rsidRPr="00425038">
        <w:tab/>
        <w:t>Pour la CFE CGC</w:t>
      </w:r>
    </w:p>
    <w:p w14:paraId="51B80218" w14:textId="0535FA65" w:rsidP="00C12BF9" w:rsidR="00C12BF9" w:rsidRDefault="00FE35CC">
      <w:pPr>
        <w:ind w:left="4956"/>
      </w:pPr>
      <w:r>
        <w:t>XXX</w:t>
      </w:r>
    </w:p>
    <w:p w14:paraId="3B57F225" w14:textId="77777777" w:rsidP="00C12BF9" w:rsidR="00F91DF6" w:rsidRDefault="00F91DF6" w:rsidRPr="00425038">
      <w:pPr>
        <w:ind w:left="4956"/>
      </w:pPr>
    </w:p>
    <w:p w14:paraId="6B22B2DA" w14:textId="3A1787ED" w:rsidP="00C12BF9" w:rsidR="00C12BF9" w:rsidRDefault="00C12BF9" w:rsidRPr="00425038">
      <w:pPr>
        <w:ind w:left="4956"/>
      </w:pPr>
    </w:p>
    <w:p w14:paraId="33C65921" w14:textId="77777777" w:rsidP="00C12BF9" w:rsidR="005A5FB9" w:rsidRDefault="005A5FB9" w:rsidRPr="00425038">
      <w:pPr>
        <w:ind w:left="4956"/>
      </w:pPr>
    </w:p>
    <w:p w14:paraId="2D3449B6" w14:textId="77777777" w:rsidP="00C12BF9" w:rsidR="00C12BF9" w:rsidRDefault="00C12BF9" w:rsidRPr="00425038">
      <w:pPr>
        <w:pStyle w:val="Paragraphedeliste"/>
        <w:ind w:left="4956"/>
        <w:jc w:val="both"/>
      </w:pPr>
      <w:r w:rsidRPr="00425038">
        <w:t xml:space="preserve">Pour la CFTC </w:t>
      </w:r>
    </w:p>
    <w:p w14:paraId="792C40E2" w14:textId="0BB0D943" w:rsidP="00FE35CC" w:rsidR="00C12BF9" w:rsidRDefault="00FE35CC" w:rsidRPr="00425038">
      <w:pPr>
        <w:pStyle w:val="Paragraphedeliste"/>
        <w:ind w:left="4956"/>
        <w:jc w:val="both"/>
      </w:pPr>
      <w:r>
        <w:t>XXX</w:t>
      </w:r>
    </w:p>
    <w:sectPr w:rsidR="00C12BF9" w:rsidRPr="00425038" w:rsidSect="00726FC3">
      <w:headerReference r:id="rId8" w:type="even"/>
      <w:headerReference r:id="rId9" w:type="default"/>
      <w:footerReference r:id="rId10" w:type="default"/>
      <w:head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B679A" w14:textId="77777777" w:rsidR="00541FB6" w:rsidRDefault="00541FB6" w:rsidP="00017293">
      <w:r>
        <w:separator/>
      </w:r>
    </w:p>
  </w:endnote>
  <w:endnote w:type="continuationSeparator" w:id="0">
    <w:p w14:paraId="07EBF3F6" w14:textId="77777777" w:rsidR="00541FB6" w:rsidRDefault="00541FB6" w:rsidP="00017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A974E78" w14:textId="0FBBAE43" w:rsidP="00F04B3C" w:rsidR="00664CF1" w:rsidRDefault="001B1A88">
    <w:pPr>
      <w:pStyle w:val="Pieddepage"/>
      <w:jc w:val="right"/>
      <w:rPr>
        <w:rStyle w:val="Numrodepage"/>
        <w:sz w:val="20"/>
      </w:rPr>
    </w:pPr>
    <w:r w:rsidRPr="00283E21">
      <w:rPr>
        <w:sz w:val="20"/>
      </w:rPr>
      <w:t xml:space="preserve">Page </w:t>
    </w:r>
    <w:r w:rsidR="00CF091D" w:rsidRPr="00283E21">
      <w:rPr>
        <w:rStyle w:val="Numrodepage"/>
        <w:sz w:val="20"/>
      </w:rPr>
      <w:fldChar w:fldCharType="begin"/>
    </w:r>
    <w:r w:rsidRPr="00283E21">
      <w:rPr>
        <w:rStyle w:val="Numrodepage"/>
        <w:sz w:val="20"/>
      </w:rPr>
      <w:instrText xml:space="preserve"> PAGE </w:instrText>
    </w:r>
    <w:r w:rsidR="00CF091D" w:rsidRPr="00283E21">
      <w:rPr>
        <w:rStyle w:val="Numrodepage"/>
        <w:sz w:val="20"/>
      </w:rPr>
      <w:fldChar w:fldCharType="separate"/>
    </w:r>
    <w:r w:rsidR="006061B8">
      <w:rPr>
        <w:rStyle w:val="Numrodepage"/>
        <w:noProof/>
        <w:sz w:val="20"/>
      </w:rPr>
      <w:t>4</w:t>
    </w:r>
    <w:r w:rsidR="00CF091D" w:rsidRPr="00283E21">
      <w:rPr>
        <w:rStyle w:val="Numrodepage"/>
        <w:sz w:val="20"/>
      </w:rPr>
      <w:fldChar w:fldCharType="end"/>
    </w:r>
    <w:r w:rsidRPr="00283E21">
      <w:rPr>
        <w:rStyle w:val="Numrodepage"/>
        <w:sz w:val="20"/>
      </w:rPr>
      <w:t>/</w:t>
    </w:r>
    <w:r w:rsidR="00CF091D" w:rsidRPr="00283E21">
      <w:rPr>
        <w:rStyle w:val="Numrodepage"/>
        <w:sz w:val="20"/>
      </w:rPr>
      <w:fldChar w:fldCharType="begin"/>
    </w:r>
    <w:r w:rsidRPr="00283E21">
      <w:rPr>
        <w:rStyle w:val="Numrodepage"/>
        <w:sz w:val="20"/>
      </w:rPr>
      <w:instrText xml:space="preserve"> NUMPAGES </w:instrText>
    </w:r>
    <w:r w:rsidR="00CF091D" w:rsidRPr="00283E21">
      <w:rPr>
        <w:rStyle w:val="Numrodepage"/>
        <w:sz w:val="20"/>
      </w:rPr>
      <w:fldChar w:fldCharType="separate"/>
    </w:r>
    <w:r w:rsidR="006061B8">
      <w:rPr>
        <w:rStyle w:val="Numrodepage"/>
        <w:noProof/>
        <w:sz w:val="20"/>
      </w:rPr>
      <w:t>4</w:t>
    </w:r>
    <w:r w:rsidR="00CF091D" w:rsidRPr="00283E21">
      <w:rPr>
        <w:rStyle w:val="Numrodepage"/>
        <w:sz w:val="20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EE8C8C3" w14:textId="77777777" w:rsidP="00017293" w:rsidR="00541FB6" w:rsidRDefault="00541FB6">
      <w:r>
        <w:separator/>
      </w:r>
    </w:p>
  </w:footnote>
  <w:footnote w:id="0" w:type="continuationSeparator">
    <w:p w14:paraId="1C77E5B4" w14:textId="77777777" w:rsidP="00017293" w:rsidR="00541FB6" w:rsidRDefault="00541FB6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D6C8FCD" w14:textId="475433FA" w:rsidR="00903566" w:rsidRDefault="00903566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9B48BBF" w14:textId="045ACA53" w:rsidR="00903566" w:rsidRDefault="00903566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F95D89F" w14:textId="108E8A16" w:rsidR="00903566" w:rsidRDefault="00903566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B892942"/>
    <w:multiLevelType w:val="hybridMultilevel"/>
    <w:tmpl w:val="02969A9E"/>
    <w:lvl w:ilvl="0" w:tplc="2BDA9B4E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8BA6DB08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5CC0B694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F57C4B46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3588222A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07187260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715895BA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7F58EFB2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09D473B2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1">
    <w:nsid w:val="1C550EAF"/>
    <w:multiLevelType w:val="hybridMultilevel"/>
    <w:tmpl w:val="31E445B0"/>
    <w:lvl w:ilvl="0" w:tplc="1018F016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71513FD"/>
    <w:multiLevelType w:val="hybridMultilevel"/>
    <w:tmpl w:val="3EF47F0C"/>
    <w:lvl w:ilvl="0" w:tplc="1598B0A6">
      <w:start w:val="1"/>
      <w:numFmt w:val="lowerLetter"/>
      <w:lvlText w:val="%1-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4FBA66D2"/>
    <w:multiLevelType w:val="hybridMultilevel"/>
    <w:tmpl w:val="EB825FF6"/>
    <w:lvl w:ilvl="0" w:tplc="9D4E2CB8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71004E91"/>
    <w:multiLevelType w:val="hybridMultilevel"/>
    <w:tmpl w:val="5F048DB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969578660" w:numId="1">
    <w:abstractNumId w:val="4"/>
  </w:num>
  <w:num w16cid:durableId="544803093" w:numId="2">
    <w:abstractNumId w:val="1"/>
  </w:num>
  <w:num w16cid:durableId="1609387343" w:numId="3">
    <w:abstractNumId w:val="3"/>
  </w:num>
  <w:num w16cid:durableId="1336613102" w:numId="4">
    <w:abstractNumId w:val="2"/>
  </w:num>
  <w:num w16cid:durableId="1153912252"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defaultTabStop w:val="708"/>
  <w:hyphenationZone w:val="425"/>
  <w:characterSpacingControl w:val="doNotCompress"/>
  <w:hdrShapeDefaults>
    <o:shapedefaults spidmax="8193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BF9"/>
    <w:rsid w:val="000007E2"/>
    <w:rsid w:val="00002E54"/>
    <w:rsid w:val="000065E7"/>
    <w:rsid w:val="00012110"/>
    <w:rsid w:val="000162CD"/>
    <w:rsid w:val="00017293"/>
    <w:rsid w:val="00030955"/>
    <w:rsid w:val="000603B9"/>
    <w:rsid w:val="00061ADA"/>
    <w:rsid w:val="00075622"/>
    <w:rsid w:val="000818FF"/>
    <w:rsid w:val="0008661C"/>
    <w:rsid w:val="0009584D"/>
    <w:rsid w:val="00096A88"/>
    <w:rsid w:val="00096EC8"/>
    <w:rsid w:val="00097FD1"/>
    <w:rsid w:val="000C1899"/>
    <w:rsid w:val="000C4BD7"/>
    <w:rsid w:val="000E4A4E"/>
    <w:rsid w:val="000E7A9B"/>
    <w:rsid w:val="00102E41"/>
    <w:rsid w:val="00103C1A"/>
    <w:rsid w:val="00110BEC"/>
    <w:rsid w:val="00131055"/>
    <w:rsid w:val="001311A2"/>
    <w:rsid w:val="00131AD1"/>
    <w:rsid w:val="001536B2"/>
    <w:rsid w:val="00163909"/>
    <w:rsid w:val="001755F8"/>
    <w:rsid w:val="0018361A"/>
    <w:rsid w:val="00193A13"/>
    <w:rsid w:val="001B1A88"/>
    <w:rsid w:val="001C6481"/>
    <w:rsid w:val="001C6C67"/>
    <w:rsid w:val="00202F65"/>
    <w:rsid w:val="00210112"/>
    <w:rsid w:val="0022516C"/>
    <w:rsid w:val="002421B2"/>
    <w:rsid w:val="00245855"/>
    <w:rsid w:val="00250814"/>
    <w:rsid w:val="0025193D"/>
    <w:rsid w:val="0026256B"/>
    <w:rsid w:val="002808E4"/>
    <w:rsid w:val="00280BFE"/>
    <w:rsid w:val="00290D2B"/>
    <w:rsid w:val="00294714"/>
    <w:rsid w:val="002A211B"/>
    <w:rsid w:val="002A555B"/>
    <w:rsid w:val="002B2645"/>
    <w:rsid w:val="002B7581"/>
    <w:rsid w:val="0030215B"/>
    <w:rsid w:val="00313CDD"/>
    <w:rsid w:val="00323893"/>
    <w:rsid w:val="00327DAB"/>
    <w:rsid w:val="00330E2C"/>
    <w:rsid w:val="00336EF3"/>
    <w:rsid w:val="003618FD"/>
    <w:rsid w:val="00363AE6"/>
    <w:rsid w:val="0036653C"/>
    <w:rsid w:val="00393B0E"/>
    <w:rsid w:val="003A1314"/>
    <w:rsid w:val="003A394C"/>
    <w:rsid w:val="003C297A"/>
    <w:rsid w:val="003E51E2"/>
    <w:rsid w:val="0040066D"/>
    <w:rsid w:val="00425038"/>
    <w:rsid w:val="00443AA6"/>
    <w:rsid w:val="00480AEC"/>
    <w:rsid w:val="004B6C0A"/>
    <w:rsid w:val="004E3FBB"/>
    <w:rsid w:val="00505A48"/>
    <w:rsid w:val="0051015C"/>
    <w:rsid w:val="005128AA"/>
    <w:rsid w:val="00522597"/>
    <w:rsid w:val="00541266"/>
    <w:rsid w:val="00541FB6"/>
    <w:rsid w:val="00554896"/>
    <w:rsid w:val="00567B60"/>
    <w:rsid w:val="0058088C"/>
    <w:rsid w:val="005A5FB9"/>
    <w:rsid w:val="005B59D3"/>
    <w:rsid w:val="006061B8"/>
    <w:rsid w:val="00614B4F"/>
    <w:rsid w:val="00633DE9"/>
    <w:rsid w:val="00664CF1"/>
    <w:rsid w:val="00665762"/>
    <w:rsid w:val="00666A59"/>
    <w:rsid w:val="006861F5"/>
    <w:rsid w:val="006A47B4"/>
    <w:rsid w:val="006D056F"/>
    <w:rsid w:val="006D36B4"/>
    <w:rsid w:val="006F077A"/>
    <w:rsid w:val="00713BD8"/>
    <w:rsid w:val="007212A1"/>
    <w:rsid w:val="00722EC2"/>
    <w:rsid w:val="00726FC3"/>
    <w:rsid w:val="00742CC5"/>
    <w:rsid w:val="00745DAC"/>
    <w:rsid w:val="00747769"/>
    <w:rsid w:val="00750EDD"/>
    <w:rsid w:val="007543E3"/>
    <w:rsid w:val="007743BF"/>
    <w:rsid w:val="00775104"/>
    <w:rsid w:val="00781135"/>
    <w:rsid w:val="0078213E"/>
    <w:rsid w:val="00796F33"/>
    <w:rsid w:val="007973F7"/>
    <w:rsid w:val="007A4FFE"/>
    <w:rsid w:val="007C2297"/>
    <w:rsid w:val="007E33C9"/>
    <w:rsid w:val="00817F1B"/>
    <w:rsid w:val="00826F5A"/>
    <w:rsid w:val="0083071B"/>
    <w:rsid w:val="00832501"/>
    <w:rsid w:val="00846B46"/>
    <w:rsid w:val="008601A4"/>
    <w:rsid w:val="00865CBE"/>
    <w:rsid w:val="00884445"/>
    <w:rsid w:val="00891585"/>
    <w:rsid w:val="00895087"/>
    <w:rsid w:val="008A7C52"/>
    <w:rsid w:val="008B51D4"/>
    <w:rsid w:val="008B6F9E"/>
    <w:rsid w:val="008E51B3"/>
    <w:rsid w:val="00903566"/>
    <w:rsid w:val="00906CF7"/>
    <w:rsid w:val="009071F4"/>
    <w:rsid w:val="009210FE"/>
    <w:rsid w:val="00921626"/>
    <w:rsid w:val="00921C6F"/>
    <w:rsid w:val="00922F54"/>
    <w:rsid w:val="009348B3"/>
    <w:rsid w:val="009409FE"/>
    <w:rsid w:val="00940CEE"/>
    <w:rsid w:val="00973E2B"/>
    <w:rsid w:val="00973F23"/>
    <w:rsid w:val="009750E1"/>
    <w:rsid w:val="00982ED0"/>
    <w:rsid w:val="009848D4"/>
    <w:rsid w:val="0098608E"/>
    <w:rsid w:val="00996AFD"/>
    <w:rsid w:val="009A22A1"/>
    <w:rsid w:val="009D5053"/>
    <w:rsid w:val="009D7F82"/>
    <w:rsid w:val="009E1F3C"/>
    <w:rsid w:val="00A01F14"/>
    <w:rsid w:val="00A057D8"/>
    <w:rsid w:val="00A10C93"/>
    <w:rsid w:val="00A10E5E"/>
    <w:rsid w:val="00A1109E"/>
    <w:rsid w:val="00A127D1"/>
    <w:rsid w:val="00A13C06"/>
    <w:rsid w:val="00A5671F"/>
    <w:rsid w:val="00A63675"/>
    <w:rsid w:val="00A64279"/>
    <w:rsid w:val="00A74190"/>
    <w:rsid w:val="00A97C6F"/>
    <w:rsid w:val="00AA0964"/>
    <w:rsid w:val="00AA3AD9"/>
    <w:rsid w:val="00AA7196"/>
    <w:rsid w:val="00AD5CF3"/>
    <w:rsid w:val="00B003F2"/>
    <w:rsid w:val="00B02148"/>
    <w:rsid w:val="00B220D5"/>
    <w:rsid w:val="00B37F70"/>
    <w:rsid w:val="00B37FCA"/>
    <w:rsid w:val="00B70812"/>
    <w:rsid w:val="00B71851"/>
    <w:rsid w:val="00B72AED"/>
    <w:rsid w:val="00B82209"/>
    <w:rsid w:val="00BA03F2"/>
    <w:rsid w:val="00BB2F5A"/>
    <w:rsid w:val="00BB68E1"/>
    <w:rsid w:val="00BC255B"/>
    <w:rsid w:val="00BD632F"/>
    <w:rsid w:val="00C12BF9"/>
    <w:rsid w:val="00C3207B"/>
    <w:rsid w:val="00C47D9F"/>
    <w:rsid w:val="00C74136"/>
    <w:rsid w:val="00C93471"/>
    <w:rsid w:val="00CA233B"/>
    <w:rsid w:val="00CA50E4"/>
    <w:rsid w:val="00CC033B"/>
    <w:rsid w:val="00CC32AD"/>
    <w:rsid w:val="00CF091D"/>
    <w:rsid w:val="00D132B4"/>
    <w:rsid w:val="00D40095"/>
    <w:rsid w:val="00D51C32"/>
    <w:rsid w:val="00D54DC8"/>
    <w:rsid w:val="00D65E43"/>
    <w:rsid w:val="00D9182C"/>
    <w:rsid w:val="00D92B1B"/>
    <w:rsid w:val="00DA500B"/>
    <w:rsid w:val="00DA5280"/>
    <w:rsid w:val="00DB3B38"/>
    <w:rsid w:val="00DB7F0B"/>
    <w:rsid w:val="00DC7349"/>
    <w:rsid w:val="00DD2E6C"/>
    <w:rsid w:val="00DD6BF3"/>
    <w:rsid w:val="00DE2ADC"/>
    <w:rsid w:val="00E17579"/>
    <w:rsid w:val="00E30198"/>
    <w:rsid w:val="00E40D11"/>
    <w:rsid w:val="00E45ABD"/>
    <w:rsid w:val="00E54A3D"/>
    <w:rsid w:val="00E65D41"/>
    <w:rsid w:val="00E662A4"/>
    <w:rsid w:val="00E77851"/>
    <w:rsid w:val="00E909CF"/>
    <w:rsid w:val="00E915A6"/>
    <w:rsid w:val="00EB76D7"/>
    <w:rsid w:val="00EB7860"/>
    <w:rsid w:val="00ED2431"/>
    <w:rsid w:val="00EE39DC"/>
    <w:rsid w:val="00EE454C"/>
    <w:rsid w:val="00EF6788"/>
    <w:rsid w:val="00F04542"/>
    <w:rsid w:val="00F04B3C"/>
    <w:rsid w:val="00F307E9"/>
    <w:rsid w:val="00F36465"/>
    <w:rsid w:val="00F46DD5"/>
    <w:rsid w:val="00F51837"/>
    <w:rsid w:val="00F63134"/>
    <w:rsid w:val="00F91DF6"/>
    <w:rsid w:val="00FA0397"/>
    <w:rsid w:val="00FB3AEE"/>
    <w:rsid w:val="00FC6004"/>
    <w:rsid w:val="00FC6024"/>
    <w:rsid w:val="00FD7BA1"/>
    <w:rsid w:val="00FE35CC"/>
    <w:rsid w:val="00FF0FB7"/>
    <w:rsid w:val="00FF1208"/>
    <w:rsid w:val="00FF289A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8193" v:ext="edit"/>
    <o:shapelayout v:ext="edit">
      <o:idmap data="1" v:ext="edit"/>
    </o:shapelayout>
  </w:shapeDefaults>
  <w:decimalSymbol w:val=","/>
  <w:listSeparator w:val=";"/>
  <w14:docId w14:val="71BD63F7"/>
  <w15:docId w15:val="{BE9B8298-2F35-45EF-896D-BF05FADB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C12BF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Titre1" w:type="paragraph">
    <w:name w:val="heading 1"/>
    <w:basedOn w:val="Normal"/>
    <w:next w:val="Normal"/>
    <w:link w:val="Titre1Car"/>
    <w:uiPriority w:val="9"/>
    <w:qFormat/>
    <w:rsid w:val="006D056F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C12BF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C12BF9"/>
    <w:pPr>
      <w:ind w:left="720"/>
      <w:contextualSpacing/>
    </w:pPr>
  </w:style>
  <w:style w:customStyle="1" w:styleId="Standard" w:type="paragraph">
    <w:name w:val="Standard"/>
    <w:rsid w:val="00C12BF9"/>
    <w:pPr>
      <w:suppressAutoHyphens/>
      <w:autoSpaceDN w:val="0"/>
      <w:spacing w:after="0" w:line="240" w:lineRule="auto"/>
      <w:textAlignment w:val="baseline"/>
    </w:pPr>
    <w:rPr>
      <w:rFonts w:ascii="Times New Roman" w:cs="Times New Roman" w:eastAsia="Times New Roman" w:hAnsi="Times New Roman"/>
      <w:kern w:val="3"/>
      <w:sz w:val="24"/>
      <w:szCs w:val="24"/>
      <w:lang w:bidi="hi-IN" w:eastAsia="fr-FR"/>
    </w:rPr>
  </w:style>
  <w:style w:styleId="En-tte" w:type="paragraph">
    <w:name w:val="header"/>
    <w:basedOn w:val="Normal"/>
    <w:link w:val="En-tteCar"/>
    <w:uiPriority w:val="99"/>
    <w:unhideWhenUsed/>
    <w:rsid w:val="00017293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017293"/>
    <w:rPr>
      <w:rFonts w:ascii="Times New Roman" w:cs="Times New Roman" w:eastAsia="Times New Roman" w:hAnsi="Times New Roman"/>
      <w:sz w:val="24"/>
      <w:szCs w:val="24"/>
      <w:lang w:eastAsia="fr-FR"/>
    </w:rPr>
  </w:style>
  <w:style w:styleId="Pieddepage" w:type="paragraph">
    <w:name w:val="footer"/>
    <w:basedOn w:val="Normal"/>
    <w:link w:val="PieddepageCar"/>
    <w:uiPriority w:val="99"/>
    <w:unhideWhenUsed/>
    <w:rsid w:val="00017293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017293"/>
    <w:rPr>
      <w:rFonts w:ascii="Times New Roman" w:cs="Times New Roman" w:eastAsia="Times New Roman" w:hAnsi="Times New Roman"/>
      <w:sz w:val="24"/>
      <w:szCs w:val="24"/>
      <w:lang w:eastAsia="fr-FR"/>
    </w:rPr>
  </w:style>
  <w:style w:styleId="Numrodepage" w:type="character">
    <w:name w:val="page number"/>
    <w:basedOn w:val="Policepardfaut"/>
    <w:rsid w:val="00017293"/>
  </w:style>
  <w:style w:styleId="Marquedecommentaire" w:type="character">
    <w:name w:val="annotation reference"/>
    <w:basedOn w:val="Policepardfaut"/>
    <w:uiPriority w:val="99"/>
    <w:semiHidden/>
    <w:unhideWhenUsed/>
    <w:rsid w:val="00294714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294714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294714"/>
    <w:rPr>
      <w:rFonts w:ascii="Times New Roman" w:cs="Times New Roman" w:eastAsia="Times New Roman" w:hAnsi="Times New Roman"/>
      <w:sz w:val="20"/>
      <w:szCs w:val="20"/>
      <w:lang w:eastAsia="fr-FR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294714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294714"/>
    <w:rPr>
      <w:rFonts w:ascii="Times New Roman" w:cs="Times New Roman" w:eastAsia="Times New Roman" w:hAnsi="Times New Roman"/>
      <w:b/>
      <w:bCs/>
      <w:sz w:val="20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294714"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294714"/>
    <w:rPr>
      <w:rFonts w:ascii="Segoe UI" w:cs="Segoe UI" w:eastAsia="Times New Roman" w:hAnsi="Segoe UI"/>
      <w:sz w:val="18"/>
      <w:szCs w:val="18"/>
      <w:lang w:eastAsia="fr-FR"/>
    </w:rPr>
  </w:style>
  <w:style w:styleId="NormalWeb" w:type="paragraph">
    <w:name w:val="Normal (Web)"/>
    <w:basedOn w:val="Normal"/>
    <w:uiPriority w:val="99"/>
    <w:unhideWhenUsed/>
    <w:rsid w:val="00BB68E1"/>
    <w:pPr>
      <w:spacing w:after="100" w:afterAutospacing="1" w:before="100" w:beforeAutospacing="1"/>
    </w:pPr>
  </w:style>
  <w:style w:styleId="Accentuation" w:type="character">
    <w:name w:val="Emphasis"/>
    <w:basedOn w:val="Policepardfaut"/>
    <w:uiPriority w:val="20"/>
    <w:qFormat/>
    <w:rsid w:val="00075622"/>
    <w:rPr>
      <w:i/>
      <w:iCs/>
    </w:rPr>
  </w:style>
  <w:style w:customStyle="1" w:styleId="ElAppp" w:type="paragraph">
    <w:name w:val="ElApp_p"/>
    <w:basedOn w:val="Normal"/>
    <w:rsid w:val="00FC6024"/>
    <w:rPr>
      <w:rFonts w:ascii="Arial" w:cs="Arial" w:eastAsia="Arial" w:hAnsi="Arial"/>
      <w:sz w:val="15"/>
      <w:szCs w:val="15"/>
    </w:rPr>
  </w:style>
  <w:style w:styleId="Rvision" w:type="paragraph">
    <w:name w:val="Revision"/>
    <w:hidden/>
    <w:uiPriority w:val="99"/>
    <w:semiHidden/>
    <w:rsid w:val="00BB2F5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Titre1Car" w:type="character">
    <w:name w:val="Titre 1 Car"/>
    <w:basedOn w:val="Policepardfaut"/>
    <w:link w:val="Titre1"/>
    <w:uiPriority w:val="9"/>
    <w:rsid w:val="006D056F"/>
    <w:rPr>
      <w:rFonts w:asciiTheme="majorHAnsi" w:cstheme="majorBidi" w:eastAsiaTheme="majorEastAsia" w:hAnsiTheme="majorHAnsi"/>
      <w:color w:themeColor="accent1" w:themeShade="BF" w:val="365F91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header3.xml" Type="http://schemas.openxmlformats.org/officeDocument/2006/relationships/head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0BC509-850E-4AE6-B753-6BE61B18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743</Words>
  <Characters>4090</Characters>
  <Application>Microsoft Office Word</Application>
  <DocSecurity>0</DocSecurity>
  <Lines>34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Groupe ETAM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2022-06-03T11:01:00Z</dcterms:created>
  <cp:lastPrinted>2022-06-03T14:37:00Z</cp:lastPrinted>
  <dcterms:modified xsi:type="dcterms:W3CDTF">2022-07-05T09:15:00Z</dcterms:modified>
  <cp:revision>6</cp:revision>
</cp:coreProperties>
</file>