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3"/>
          <w:numId w:val="1"/>
        </w:numPr>
        <w:pBdr>
          <w:top w:val="single" w:sz="4" w:space="1" w:color="000000"/>
          <w:left w:val="single" w:sz="4" w:space="4" w:color="000000"/>
          <w:bottom w:val="single" w:sz="4" w:space="1" w:color="000000"/>
          <w:right w:val="single" w:sz="4" w:space="31" w:color="000000"/>
        </w:pBdr>
        <w:ind w:left="1276" w:right="1134" w:hanging="0"/>
        <w:jc w:val="center"/>
        <w:rPr>
          <w:rFonts w:ascii="Times New Roman" w:hAnsi="Times New Roman" w:cs="Times New Roman"/>
          <w:bCs/>
          <w:szCs w:val="24"/>
          <w:u w:val="none"/>
        </w:rPr>
      </w:pPr>
      <w:r>
        <w:rPr>
          <w:rFonts w:cs="Times New Roman" w:ascii="Times New Roman" w:hAnsi="Times New Roman"/>
          <w:bCs/>
          <w:szCs w:val="24"/>
          <w:u w:val="none"/>
        </w:rPr>
      </w:r>
    </w:p>
    <w:p>
      <w:pPr>
        <w:pStyle w:val="Heading4"/>
        <w:numPr>
          <w:ilvl w:val="3"/>
          <w:numId w:val="1"/>
        </w:numPr>
        <w:pBdr>
          <w:top w:val="single" w:sz="4" w:space="1" w:color="000000"/>
          <w:left w:val="single" w:sz="4" w:space="4" w:color="000000"/>
          <w:bottom w:val="single" w:sz="4" w:space="1" w:color="000000"/>
          <w:right w:val="single" w:sz="4" w:space="31" w:color="000000"/>
        </w:pBdr>
        <w:ind w:left="1276" w:right="1134" w:hanging="0"/>
        <w:jc w:val="center"/>
        <w:rPr/>
      </w:pPr>
      <w:r>
        <w:rPr>
          <w:rFonts w:cs="Times New Roman" w:ascii="Times New Roman" w:hAnsi="Times New Roman"/>
          <w:bCs/>
          <w:sz w:val="32"/>
          <w:szCs w:val="32"/>
          <w:u w:val="none"/>
        </w:rPr>
        <w:t>Accord mesures salariales - pouvoir d’achat</w:t>
      </w:r>
    </w:p>
    <w:p>
      <w:pPr>
        <w:pStyle w:val="Heading4"/>
        <w:numPr>
          <w:ilvl w:val="3"/>
          <w:numId w:val="1"/>
        </w:numPr>
        <w:pBdr>
          <w:top w:val="single" w:sz="4" w:space="1" w:color="000000"/>
          <w:left w:val="single" w:sz="4" w:space="4" w:color="000000"/>
          <w:bottom w:val="single" w:sz="4" w:space="1" w:color="000000"/>
          <w:right w:val="single" w:sz="4" w:space="31" w:color="000000"/>
        </w:pBdr>
        <w:ind w:left="1276" w:right="1134" w:hanging="0"/>
        <w:jc w:val="center"/>
        <w:rPr>
          <w:rFonts w:ascii="Times New Roman" w:hAnsi="Times New Roman" w:cs="Times New Roman"/>
          <w:bCs/>
          <w:sz w:val="32"/>
          <w:szCs w:val="24"/>
          <w:u w:val="none"/>
        </w:rPr>
      </w:pPr>
      <w:r>
        <w:rPr>
          <w:rFonts w:cs="Times New Roman" w:ascii="Times New Roman" w:hAnsi="Times New Roman"/>
          <w:bCs/>
          <w:sz w:val="32"/>
          <w:szCs w:val="24"/>
          <w:u w:val="none"/>
        </w:rPr>
      </w:r>
    </w:p>
    <w:p>
      <w:pPr>
        <w:pStyle w:val="Normal"/>
        <w:rPr>
          <w:rFonts w:ascii="Times New Roman" w:hAnsi="Times New Roman" w:cs="Times New Roman"/>
          <w:bCs/>
          <w:sz w:val="24"/>
          <w:szCs w:val="24"/>
          <w:u w:val="none"/>
        </w:rPr>
      </w:pPr>
      <w:r>
        <w:rPr>
          <w:rFonts w:cs="Times New Roman"/>
          <w:bCs/>
          <w:sz w:val="24"/>
          <w:szCs w:val="24"/>
          <w:u w:val="none"/>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Entre</w:t>
      </w:r>
    </w:p>
    <w:p>
      <w:pPr>
        <w:pStyle w:val="Normal"/>
        <w:rPr>
          <w:b/>
          <w:b/>
          <w:sz w:val="24"/>
          <w:szCs w:val="24"/>
        </w:rPr>
      </w:pPr>
      <w:r>
        <w:rPr>
          <w:b/>
          <w:sz w:val="24"/>
          <w:szCs w:val="24"/>
        </w:rPr>
      </w:r>
    </w:p>
    <w:p>
      <w:pPr>
        <w:pStyle w:val="Normal"/>
        <w:rPr>
          <w:b/>
          <w:b/>
          <w:sz w:val="24"/>
          <w:szCs w:val="24"/>
        </w:rPr>
      </w:pPr>
      <w:r>
        <w:rPr>
          <w:b/>
          <w:sz w:val="24"/>
          <w:szCs w:val="24"/>
        </w:rPr>
      </w:r>
    </w:p>
    <w:p>
      <w:pPr>
        <w:pStyle w:val="Normal"/>
        <w:suppressAutoHyphens w:val="true"/>
        <w:jc w:val="both"/>
        <w:rPr>
          <w:sz w:val="24"/>
          <w:szCs w:val="24"/>
        </w:rPr>
      </w:pPr>
      <w:r>
        <w:rPr>
          <w:b/>
          <w:sz w:val="24"/>
          <w:szCs w:val="24"/>
        </w:rPr>
        <w:t>CRÉDIT AGRICOLE CIB,</w:t>
      </w:r>
      <w:r>
        <w:rPr>
          <w:sz w:val="24"/>
          <w:szCs w:val="24"/>
        </w:rPr>
        <w:t xml:space="preserve"> société anonyme au capital de </w:t>
      </w:r>
      <w:r>
        <w:rPr>
          <w:rFonts w:eastAsia="Calibri"/>
          <w:sz w:val="24"/>
          <w:szCs w:val="24"/>
          <w:lang w:eastAsia="en-US"/>
        </w:rPr>
        <w:t>7.851.636.342 euros, ayant son siège social, 12, Place des États-Unis, CS 70052, 92547 Montrouge Cedex,</w:t>
      </w:r>
      <w:r>
        <w:rPr>
          <w:sz w:val="24"/>
          <w:szCs w:val="24"/>
        </w:rPr>
        <w:t xml:space="preserve"> France, immatriculée sous le n° Siren 304 187 701 au Registre du Commerce et des Sociétés de Nanterre, représentée par Madame X, Directrice Générale Adjointe en charge des ressources humaines, agissant en vertu des pouvoirs qui lui ont été conférés par délégation de pouvoirs du Directeur Général, Monsieur X,</w:t>
      </w:r>
    </w:p>
    <w:p>
      <w:pPr>
        <w:pStyle w:val="Normal"/>
        <w:tabs>
          <w:tab w:val="right" w:pos="8931" w:leader="none"/>
        </w:tabs>
        <w:suppressAutoHyphens w:val="true"/>
        <w:jc w:val="both"/>
        <w:rPr>
          <w:b/>
          <w:b/>
          <w:caps/>
          <w:sz w:val="24"/>
          <w:szCs w:val="24"/>
        </w:rPr>
      </w:pPr>
      <w:r>
        <w:rPr>
          <w:b/>
          <w:caps/>
          <w:sz w:val="24"/>
          <w:szCs w:val="24"/>
        </w:rPr>
      </w:r>
    </w:p>
    <w:p>
      <w:pPr>
        <w:pStyle w:val="Normal"/>
        <w:tabs>
          <w:tab w:val="right" w:pos="8931" w:leader="none"/>
        </w:tabs>
        <w:suppressAutoHyphens w:val="true"/>
        <w:ind w:left="7230" w:hanging="0"/>
        <w:jc w:val="both"/>
        <w:rPr>
          <w:sz w:val="24"/>
          <w:szCs w:val="24"/>
        </w:rPr>
      </w:pPr>
      <w:r>
        <w:rPr>
          <w:b/>
          <w:caps/>
          <w:sz w:val="24"/>
          <w:szCs w:val="24"/>
        </w:rPr>
        <w:t>d’une part</w:t>
      </w:r>
      <w:r>
        <w:rPr>
          <w:b/>
          <w:i/>
          <w:sz w:val="24"/>
          <w:szCs w:val="24"/>
        </w:rPr>
        <w:t>,</w:t>
      </w:r>
    </w:p>
    <w:p>
      <w:pPr>
        <w:pStyle w:val="Normal"/>
        <w:suppressAutoHyphens w:val="true"/>
        <w:jc w:val="both"/>
        <w:rPr>
          <w:b/>
          <w:b/>
          <w:sz w:val="24"/>
          <w:szCs w:val="24"/>
        </w:rPr>
      </w:pPr>
      <w:r>
        <w:rPr>
          <w:b/>
          <w:sz w:val="24"/>
          <w:szCs w:val="24"/>
        </w:rPr>
        <w:t>Et</w:t>
      </w:r>
    </w:p>
    <w:p>
      <w:pPr>
        <w:pStyle w:val="Normal"/>
        <w:suppressAutoHyphens w:val="true"/>
        <w:jc w:val="both"/>
        <w:rPr>
          <w:b/>
          <w:b/>
          <w:sz w:val="24"/>
          <w:szCs w:val="24"/>
        </w:rPr>
      </w:pPr>
      <w:r>
        <w:rPr>
          <w:b/>
          <w:sz w:val="24"/>
          <w:szCs w:val="24"/>
        </w:rPr>
      </w:r>
    </w:p>
    <w:p>
      <w:pPr>
        <w:pStyle w:val="Normal"/>
        <w:suppressAutoHyphens w:val="true"/>
        <w:jc w:val="both"/>
        <w:rPr>
          <w:b/>
          <w:b/>
          <w:sz w:val="24"/>
          <w:szCs w:val="24"/>
        </w:rPr>
      </w:pPr>
      <w:r>
        <w:rPr>
          <w:b/>
          <w:sz w:val="24"/>
          <w:szCs w:val="24"/>
        </w:rPr>
      </w:r>
    </w:p>
    <w:p>
      <w:pPr>
        <w:pStyle w:val="Normal"/>
        <w:jc w:val="both"/>
        <w:rPr>
          <w:i/>
          <w:i/>
          <w:iCs/>
          <w:sz w:val="24"/>
          <w:szCs w:val="24"/>
        </w:rPr>
      </w:pPr>
      <w:r>
        <w:rPr>
          <w:b/>
          <w:sz w:val="24"/>
          <w:szCs w:val="24"/>
        </w:rPr>
        <w:t>Les organisations syndicales</w:t>
      </w:r>
      <w:r>
        <w:rPr>
          <w:sz w:val="24"/>
          <w:szCs w:val="24"/>
        </w:rPr>
        <w:t xml:space="preserve"> </w:t>
      </w:r>
      <w:r>
        <w:rPr>
          <w:b/>
          <w:sz w:val="24"/>
          <w:szCs w:val="24"/>
        </w:rPr>
        <w:t>représentatives</w:t>
      </w:r>
      <w:r>
        <w:rPr>
          <w:sz w:val="24"/>
          <w:szCs w:val="24"/>
        </w:rPr>
        <w:t xml:space="preserve"> dans l’Entreprise, représentées respectivement par leur</w:t>
      </w:r>
      <w:r>
        <w:rPr>
          <w:i/>
          <w:iCs/>
          <w:sz w:val="24"/>
          <w:szCs w:val="24"/>
        </w:rPr>
        <w:t>(s)</w:t>
      </w:r>
      <w:r>
        <w:rPr>
          <w:sz w:val="24"/>
          <w:szCs w:val="24"/>
        </w:rPr>
        <w:t xml:space="preserve"> délégué</w:t>
      </w:r>
      <w:r>
        <w:rPr>
          <w:i/>
          <w:iCs/>
          <w:sz w:val="24"/>
          <w:szCs w:val="24"/>
        </w:rPr>
        <w:t>(s)</w:t>
      </w:r>
      <w:r>
        <w:rPr>
          <w:sz w:val="24"/>
          <w:szCs w:val="24"/>
        </w:rPr>
        <w:t xml:space="preserve"> syndica</w:t>
      </w:r>
      <w:r>
        <w:rPr>
          <w:iCs/>
          <w:sz w:val="24"/>
          <w:szCs w:val="24"/>
        </w:rPr>
        <w:t>l(</w:t>
      </w:r>
      <w:r>
        <w:rPr>
          <w:i/>
          <w:iCs/>
          <w:sz w:val="24"/>
          <w:szCs w:val="24"/>
        </w:rPr>
        <w:t xml:space="preserve">aux), </w:t>
      </w:r>
    </w:p>
    <w:p>
      <w:pPr>
        <w:pStyle w:val="Normal"/>
        <w:jc w:val="both"/>
        <w:rPr>
          <w:i/>
          <w:i/>
          <w:iCs/>
          <w:sz w:val="24"/>
          <w:szCs w:val="24"/>
        </w:rPr>
      </w:pPr>
      <w:r>
        <w:rPr>
          <w:i/>
          <w:iCs/>
          <w:sz w:val="24"/>
          <w:szCs w:val="24"/>
        </w:rPr>
      </w:r>
    </w:p>
    <w:p>
      <w:pPr>
        <w:pStyle w:val="Normal"/>
        <w:jc w:val="both"/>
        <w:rPr>
          <w:i/>
          <w:i/>
          <w:iCs/>
          <w:sz w:val="24"/>
          <w:szCs w:val="24"/>
        </w:rPr>
      </w:pPr>
      <w:r>
        <w:rPr>
          <w:i/>
          <w:iCs/>
          <w:sz w:val="24"/>
          <w:szCs w:val="24"/>
        </w:rPr>
      </w:r>
    </w:p>
    <w:p>
      <w:pPr>
        <w:pStyle w:val="Normal"/>
        <w:tabs>
          <w:tab w:val="left" w:pos="-1177" w:leader="none"/>
          <w:tab w:val="left" w:pos="-720" w:leader="none"/>
          <w:tab w:val="left" w:pos="0" w:leader="none"/>
          <w:tab w:val="right" w:pos="8931" w:leader="none"/>
          <w:tab w:val="left" w:pos="9360" w:leader="none"/>
          <w:tab w:val="left" w:pos="10080" w:leader="none"/>
          <w:tab w:val="left" w:pos="10800" w:leader="none"/>
        </w:tabs>
        <w:suppressAutoHyphens w:val="true"/>
        <w:ind w:left="7230" w:hanging="0"/>
        <w:jc w:val="both"/>
        <w:rPr>
          <w:b/>
          <w:b/>
          <w:sz w:val="24"/>
          <w:szCs w:val="24"/>
        </w:rPr>
      </w:pPr>
      <w:r>
        <w:rPr>
          <w:b/>
          <w:caps/>
          <w:sz w:val="24"/>
          <w:szCs w:val="24"/>
        </w:rPr>
        <w:t>d’autre part,</w:t>
      </w:r>
    </w:p>
    <w:p>
      <w:pPr>
        <w:pStyle w:val="Heading5"/>
        <w:numPr>
          <w:ilvl w:val="4"/>
          <w:numId w:val="1"/>
        </w:numPr>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b/>
          <w:sz w:val="24"/>
          <w:szCs w:val="24"/>
        </w:rPr>
      </w:pPr>
      <w:r>
        <w:rPr>
          <w:rFonts w:cs="Times New Roman"/>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color w:val="1F4E79"/>
          <w:sz w:val="28"/>
          <w:szCs w:val="28"/>
        </w:rPr>
      </w:pPr>
      <w:r>
        <w:rPr>
          <w:b/>
          <w:color w:val="1F4E79"/>
          <w:sz w:val="28"/>
          <w:szCs w:val="28"/>
        </w:rPr>
        <w:t>Préambule</w:t>
      </w:r>
    </w:p>
    <w:p>
      <w:pPr>
        <w:pStyle w:val="Normal"/>
        <w:tabs>
          <w:tab w:val="left" w:pos="8370" w:leader="none"/>
        </w:tabs>
        <w:jc w:val="both"/>
        <w:rPr>
          <w:b/>
          <w:b/>
          <w:color w:val="1F4E79"/>
          <w:sz w:val="24"/>
          <w:szCs w:val="24"/>
        </w:rPr>
      </w:pPr>
      <w:r>
        <w:rPr>
          <w:b/>
          <w:color w:val="1F4E79"/>
          <w:sz w:val="24"/>
          <w:szCs w:val="24"/>
        </w:rPr>
      </w:r>
    </w:p>
    <w:p>
      <w:pPr>
        <w:pStyle w:val="Normal"/>
        <w:spacing w:before="0" w:after="0"/>
        <w:contextualSpacing/>
        <w:jc w:val="both"/>
        <w:rPr>
          <w:sz w:val="24"/>
          <w:szCs w:val="24"/>
        </w:rPr>
      </w:pPr>
      <w:r>
        <w:rPr>
          <w:sz w:val="24"/>
          <w:szCs w:val="24"/>
        </w:rPr>
        <w:t>Dans un contexte économique marqué par l’évolution du niveau de l’inflation et son impact sur le pouvoir d’achat des collaborateurs, la Direction et les Organisations Syndicales ont souhaité réfléchir sur une mesure exceptionnelle d’augmentation générale.</w:t>
      </w:r>
    </w:p>
    <w:p>
      <w:pPr>
        <w:pStyle w:val="Normal"/>
        <w:autoSpaceDE w:val="false"/>
        <w:jc w:val="both"/>
        <w:rPr>
          <w:sz w:val="24"/>
          <w:szCs w:val="24"/>
          <w:lang w:eastAsia="ja-JP"/>
        </w:rPr>
      </w:pPr>
      <w:r>
        <w:rPr>
          <w:sz w:val="24"/>
          <w:szCs w:val="24"/>
          <w:lang w:eastAsia="ja-JP"/>
        </w:rPr>
      </w:r>
    </w:p>
    <w:p>
      <w:pPr>
        <w:pStyle w:val="Normal"/>
        <w:autoSpaceDE w:val="false"/>
        <w:jc w:val="both"/>
        <w:rPr>
          <w:sz w:val="24"/>
          <w:szCs w:val="24"/>
        </w:rPr>
      </w:pPr>
      <w:r>
        <w:rPr>
          <w:sz w:val="24"/>
          <w:szCs w:val="24"/>
        </w:rPr>
        <w:t xml:space="preserve">Ainsi les parties se sont rencontrées à trois reprises au cours du mois de juillet 2022 (7, 12 et </w:t>
        <w:br/>
        <w:t>19 juillet) et ont trouvé un accord relatif à une mesure d’augmentation générale pérenne pour les salariés.</w:t>
      </w:r>
    </w:p>
    <w:p>
      <w:pPr>
        <w:pStyle w:val="Normal"/>
        <w:autoSpaceDE w:val="false"/>
        <w:jc w:val="both"/>
        <w:rPr>
          <w:sz w:val="24"/>
          <w:szCs w:val="24"/>
        </w:rPr>
      </w:pPr>
      <w:r>
        <w:rPr>
          <w:sz w:val="24"/>
          <w:szCs w:val="24"/>
        </w:rPr>
      </w:r>
    </w:p>
    <w:p>
      <w:pPr>
        <w:pStyle w:val="Heading5"/>
        <w:numPr>
          <w:ilvl w:val="4"/>
          <w:numId w:val="1"/>
        </w:numPr>
        <w:rPr>
          <w:rFonts w:ascii="Times New Roman" w:hAnsi="Times New Roman" w:cs="Times New Roman"/>
          <w:b w:val="false"/>
          <w:b w:val="false"/>
          <w:szCs w:val="24"/>
          <w:u w:val="none"/>
        </w:rPr>
      </w:pPr>
      <w:r>
        <w:rPr>
          <w:rFonts w:cs="Times New Roman" w:ascii="Times New Roman" w:hAnsi="Times New Roman"/>
          <w:b w:val="false"/>
          <w:szCs w:val="24"/>
          <w:u w:val="none"/>
        </w:rPr>
        <w:t>La Direction et les organisations syndicales sont convenues de l’application des dispositions ci-après exposées.</w:t>
      </w:r>
    </w:p>
    <w:p>
      <w:pPr>
        <w:pStyle w:val="Heading5"/>
        <w:numPr>
          <w:ilvl w:val="4"/>
          <w:numId w:val="1"/>
        </w:numPr>
        <w:rPr>
          <w:rFonts w:ascii="Times New Roman" w:hAnsi="Times New Roman" w:cs="Times New Roman"/>
          <w:b w:val="false"/>
          <w:b w:val="false"/>
          <w:szCs w:val="24"/>
          <w:u w:val="none"/>
        </w:rPr>
      </w:pPr>
      <w:r>
        <w:rPr>
          <w:rFonts w:cs="Times New Roman" w:ascii="Times New Roman" w:hAnsi="Times New Roman"/>
          <w:b w:val="false"/>
          <w:szCs w:val="24"/>
          <w:u w:val="none"/>
        </w:rPr>
      </w:r>
      <w:r>
        <w:br w:type="page"/>
      </w:r>
    </w:p>
    <w:p>
      <w:pPr>
        <w:pStyle w:val="Normal"/>
        <w:rPr>
          <w:rFonts w:ascii="Times New Roman" w:hAnsi="Times New Roman" w:cs="Times New Roman"/>
          <w:sz w:val="24"/>
          <w:szCs w:val="24"/>
          <w:u w:val="none"/>
        </w:rPr>
      </w:pPr>
      <w:r>
        <w:rPr>
          <w:rFonts w:cs="Times New Roman"/>
          <w:sz w:val="24"/>
          <w:szCs w:val="24"/>
          <w:u w:val="none"/>
        </w:rPr>
      </w:r>
    </w:p>
    <w:p>
      <w:pPr>
        <w:pStyle w:val="Heading5"/>
        <w:numPr>
          <w:ilvl w:val="4"/>
          <w:numId w:val="1"/>
        </w:numPr>
        <w:rPr>
          <w:rFonts w:ascii="Times New Roman" w:hAnsi="Times New Roman" w:cs="Times New Roman"/>
          <w:color w:val="1F4E79"/>
          <w:szCs w:val="24"/>
          <w:u w:val="none"/>
        </w:rPr>
      </w:pPr>
      <w:r>
        <w:rPr>
          <w:rFonts w:cs="Times New Roman" w:ascii="Times New Roman" w:hAnsi="Times New Roman"/>
          <w:color w:val="1F4E79"/>
          <w:szCs w:val="24"/>
          <w:u w:val="none"/>
        </w:rPr>
        <w:t xml:space="preserve">Article 1 – Mesure collective </w:t>
      </w:r>
    </w:p>
    <w:p>
      <w:pPr>
        <w:pStyle w:val="Normal"/>
        <w:jc w:val="both"/>
        <w:rPr>
          <w:rFonts w:ascii="Times New Roman" w:hAnsi="Times New Roman" w:cs="Times New Roman"/>
          <w:color w:val="1F4E79"/>
          <w:sz w:val="24"/>
          <w:szCs w:val="24"/>
          <w:u w:val="none"/>
        </w:rPr>
      </w:pPr>
      <w:r>
        <w:rPr>
          <w:rFonts w:cs="Times New Roman"/>
          <w:color w:val="1F4E79"/>
          <w:sz w:val="24"/>
          <w:szCs w:val="24"/>
          <w:u w:val="none"/>
        </w:rPr>
      </w:r>
    </w:p>
    <w:p>
      <w:pPr>
        <w:pStyle w:val="Normal"/>
        <w:numPr>
          <w:ilvl w:val="1"/>
          <w:numId w:val="4"/>
        </w:numPr>
        <w:jc w:val="both"/>
        <w:rPr>
          <w:i/>
          <w:i/>
          <w:color w:val="1F4E79"/>
          <w:sz w:val="24"/>
          <w:szCs w:val="24"/>
        </w:rPr>
      </w:pPr>
      <w:r>
        <w:rPr>
          <w:i/>
          <w:color w:val="1F4E79"/>
          <w:sz w:val="24"/>
          <w:szCs w:val="24"/>
        </w:rPr>
        <w:t xml:space="preserve">Descriptif de la mesure : augmentation générale </w:t>
      </w:r>
    </w:p>
    <w:p>
      <w:pPr>
        <w:pStyle w:val="Normal"/>
        <w:jc w:val="both"/>
        <w:rPr>
          <w:i/>
          <w:i/>
          <w:color w:val="1F4E79"/>
          <w:sz w:val="24"/>
          <w:szCs w:val="24"/>
        </w:rPr>
      </w:pPr>
      <w:r>
        <w:rPr>
          <w:i/>
          <w:color w:val="1F4E79"/>
          <w:sz w:val="24"/>
          <w:szCs w:val="24"/>
        </w:rPr>
      </w:r>
    </w:p>
    <w:p>
      <w:pPr>
        <w:pStyle w:val="Normal"/>
        <w:spacing w:before="0" w:after="0"/>
        <w:contextualSpacing/>
        <w:jc w:val="both"/>
        <w:rPr>
          <w:sz w:val="24"/>
          <w:szCs w:val="24"/>
        </w:rPr>
      </w:pPr>
      <w:r>
        <w:rPr>
          <w:sz w:val="24"/>
          <w:szCs w:val="24"/>
        </w:rPr>
        <w:t xml:space="preserve">Les Parties conviennent d’allouer une enveloppe globale dédiée aux augmentations générales représentant une moyenne théorique d’environ 2,9% de la masse salariale (sur la base de l’ensemble des rémunérations annuelles brutes fixes théoriques jusqu’à 90 000 euros). L’application de cette mesure se traduisant par une augmentation de la rémunération annuelle brute fixe dont le montant varie en fonction des tranches suivantes : </w:t>
      </w:r>
    </w:p>
    <w:p>
      <w:pPr>
        <w:pStyle w:val="Normal"/>
        <w:ind w:left="-76" w:hanging="0"/>
        <w:jc w:val="both"/>
        <w:rPr>
          <w:sz w:val="24"/>
          <w:szCs w:val="24"/>
        </w:rPr>
      </w:pPr>
      <w:r>
        <w:rPr>
          <w:sz w:val="24"/>
          <w:szCs w:val="24"/>
        </w:rPr>
      </w:r>
    </w:p>
    <w:p>
      <w:pPr>
        <w:pStyle w:val="Normal"/>
        <w:numPr>
          <w:ilvl w:val="0"/>
          <w:numId w:val="5"/>
        </w:numPr>
        <w:ind w:left="284" w:hanging="284"/>
        <w:jc w:val="both"/>
        <w:rPr>
          <w:sz w:val="24"/>
          <w:szCs w:val="24"/>
        </w:rPr>
      </w:pPr>
      <w:r>
        <w:rPr>
          <w:sz w:val="24"/>
          <w:szCs w:val="24"/>
        </w:rPr>
        <w:t>Rémunération brute annuelle fixe inférieure ou égale à 40 000 euros : 2 200 euros bruts ;</w:t>
      </w:r>
    </w:p>
    <w:p>
      <w:pPr>
        <w:pStyle w:val="Normal"/>
        <w:numPr>
          <w:ilvl w:val="0"/>
          <w:numId w:val="5"/>
        </w:numPr>
        <w:ind w:left="284" w:hanging="284"/>
        <w:jc w:val="both"/>
        <w:rPr>
          <w:sz w:val="24"/>
          <w:szCs w:val="24"/>
        </w:rPr>
      </w:pPr>
      <w:r>
        <w:rPr>
          <w:sz w:val="24"/>
          <w:szCs w:val="24"/>
        </w:rPr>
        <w:t>Rémunération brute annuelle fixe supérieure à 40 000</w:t>
      </w:r>
      <w:r>
        <w:rPr>
          <w:b/>
          <w:sz w:val="24"/>
          <w:szCs w:val="24"/>
        </w:rPr>
        <w:t xml:space="preserve"> </w:t>
      </w:r>
      <w:r>
        <w:rPr>
          <w:sz w:val="24"/>
          <w:szCs w:val="24"/>
        </w:rPr>
        <w:t>euros et inférieure ou égale à 47 500</w:t>
      </w:r>
      <w:r>
        <w:rPr>
          <w:b/>
          <w:sz w:val="24"/>
          <w:szCs w:val="24"/>
        </w:rPr>
        <w:t> </w:t>
      </w:r>
      <w:r>
        <w:rPr>
          <w:sz w:val="24"/>
          <w:szCs w:val="24"/>
        </w:rPr>
        <w:t>euros : 2000 euros bruts ;</w:t>
      </w:r>
    </w:p>
    <w:p>
      <w:pPr>
        <w:pStyle w:val="Normal"/>
        <w:numPr>
          <w:ilvl w:val="0"/>
          <w:numId w:val="5"/>
        </w:numPr>
        <w:ind w:left="284" w:hanging="284"/>
        <w:jc w:val="both"/>
        <w:rPr>
          <w:sz w:val="24"/>
          <w:szCs w:val="24"/>
        </w:rPr>
      </w:pPr>
      <w:r>
        <w:rPr>
          <w:sz w:val="24"/>
          <w:szCs w:val="24"/>
        </w:rPr>
        <w:t>Rémunération brute annuelle fixe supérieure à 47 500</w:t>
      </w:r>
      <w:r>
        <w:rPr>
          <w:b/>
          <w:sz w:val="24"/>
          <w:szCs w:val="24"/>
        </w:rPr>
        <w:t xml:space="preserve"> </w:t>
      </w:r>
      <w:r>
        <w:rPr>
          <w:sz w:val="24"/>
          <w:szCs w:val="24"/>
        </w:rPr>
        <w:t>euros et inférieure ou égale à 60 000 euros : 1900 euros bruts ;</w:t>
      </w:r>
    </w:p>
    <w:p>
      <w:pPr>
        <w:pStyle w:val="Normal"/>
        <w:numPr>
          <w:ilvl w:val="0"/>
          <w:numId w:val="5"/>
        </w:numPr>
        <w:ind w:left="284" w:hanging="284"/>
        <w:jc w:val="both"/>
        <w:rPr/>
      </w:pPr>
      <w:r>
        <w:rPr>
          <w:sz w:val="24"/>
          <w:szCs w:val="24"/>
        </w:rPr>
        <w:t>Rémunération brute annuelle fixe supérieure à 60 000 euros et inférieure ou égale à 90 000 euros : 1 800 euros bruts.</w:t>
      </w:r>
    </w:p>
    <w:p>
      <w:pPr>
        <w:pStyle w:val="Normal"/>
        <w:ind w:left="-76" w:hanging="0"/>
        <w:jc w:val="both"/>
        <w:rPr>
          <w:sz w:val="24"/>
          <w:szCs w:val="24"/>
        </w:rPr>
      </w:pPr>
      <w:r>
        <w:rPr>
          <w:sz w:val="24"/>
          <w:szCs w:val="24"/>
        </w:rPr>
      </w:r>
    </w:p>
    <w:p>
      <w:pPr>
        <w:pStyle w:val="Normal"/>
        <w:ind w:left="-76" w:hanging="0"/>
        <w:jc w:val="both"/>
        <w:rPr>
          <w:sz w:val="24"/>
          <w:szCs w:val="24"/>
        </w:rPr>
      </w:pPr>
      <w:r>
        <w:rPr>
          <w:sz w:val="24"/>
          <w:szCs w:val="24"/>
        </w:rPr>
        <w:t>Le montant de l’augmentation est appliqué à la rémunération brute annuelle fixe base équivalent temps plein à la date du 30 septembre 2022.</w:t>
      </w:r>
    </w:p>
    <w:p>
      <w:pPr>
        <w:pStyle w:val="Normal"/>
        <w:ind w:left="-76" w:hanging="0"/>
        <w:jc w:val="both"/>
        <w:rPr>
          <w:sz w:val="24"/>
          <w:szCs w:val="24"/>
        </w:rPr>
      </w:pPr>
      <w:r>
        <w:rPr>
          <w:sz w:val="24"/>
          <w:szCs w:val="24"/>
        </w:rPr>
      </w:r>
    </w:p>
    <w:p>
      <w:pPr>
        <w:pStyle w:val="Normal"/>
        <w:numPr>
          <w:ilvl w:val="1"/>
          <w:numId w:val="4"/>
        </w:numPr>
        <w:jc w:val="both"/>
        <w:rPr>
          <w:i/>
          <w:i/>
          <w:color w:val="1F4E79"/>
          <w:sz w:val="24"/>
          <w:szCs w:val="24"/>
        </w:rPr>
      </w:pPr>
      <w:r>
        <w:rPr>
          <w:i/>
          <w:color w:val="1F4E79"/>
          <w:sz w:val="24"/>
          <w:szCs w:val="24"/>
        </w:rPr>
        <w:t xml:space="preserve">Bénéficiaires de la mesure </w:t>
      </w:r>
    </w:p>
    <w:p>
      <w:pPr>
        <w:pStyle w:val="Normal"/>
        <w:jc w:val="both"/>
        <w:rPr>
          <w:i/>
          <w:i/>
          <w:color w:val="1F4E79"/>
          <w:sz w:val="24"/>
          <w:szCs w:val="24"/>
        </w:rPr>
      </w:pPr>
      <w:r>
        <w:rPr>
          <w:i/>
          <w:color w:val="1F4E79"/>
          <w:sz w:val="24"/>
          <w:szCs w:val="24"/>
        </w:rPr>
      </w:r>
    </w:p>
    <w:p>
      <w:pPr>
        <w:pStyle w:val="Normal"/>
        <w:jc w:val="both"/>
        <w:rPr>
          <w:sz w:val="24"/>
          <w:szCs w:val="24"/>
        </w:rPr>
      </w:pPr>
      <w:r>
        <w:rPr>
          <w:sz w:val="24"/>
          <w:szCs w:val="24"/>
        </w:rPr>
        <w:t xml:space="preserve">Bénéficient de la mesure d’augmentation générale décrite ci-dessus, les salariés qui remplissent les conditions cumulatives suivantes : </w:t>
      </w:r>
    </w:p>
    <w:p>
      <w:pPr>
        <w:pStyle w:val="Normal"/>
        <w:jc w:val="both"/>
        <w:rPr>
          <w:sz w:val="24"/>
          <w:szCs w:val="24"/>
        </w:rPr>
      </w:pPr>
      <w:r>
        <w:rPr>
          <w:sz w:val="24"/>
          <w:szCs w:val="24"/>
        </w:rPr>
      </w:r>
    </w:p>
    <w:p>
      <w:pPr>
        <w:pStyle w:val="Normal"/>
        <w:numPr>
          <w:ilvl w:val="0"/>
          <w:numId w:val="2"/>
        </w:numPr>
        <w:ind w:left="284" w:hanging="284"/>
        <w:jc w:val="both"/>
        <w:rPr>
          <w:sz w:val="24"/>
          <w:szCs w:val="24"/>
        </w:rPr>
      </w:pPr>
      <w:r>
        <w:rPr>
          <w:sz w:val="24"/>
          <w:szCs w:val="24"/>
        </w:rPr>
        <w:t>présents</w:t>
      </w:r>
      <w:r>
        <w:rPr>
          <w:b/>
          <w:sz w:val="24"/>
          <w:szCs w:val="24"/>
        </w:rPr>
        <w:t xml:space="preserve"> </w:t>
      </w:r>
      <w:r>
        <w:rPr>
          <w:sz w:val="24"/>
          <w:szCs w:val="24"/>
        </w:rPr>
        <w:t>aux effectifs de Crédit Agricole CIB au 30 septembre 2022, en CDI ou CDD hors contrats en alternance (contrat de professionnalisation, contrat d’apprentissage) ;</w:t>
      </w:r>
    </w:p>
    <w:p>
      <w:pPr>
        <w:pStyle w:val="Normal"/>
        <w:ind w:left="284" w:hanging="0"/>
        <w:jc w:val="both"/>
        <w:rPr>
          <w:sz w:val="24"/>
          <w:szCs w:val="24"/>
        </w:rPr>
      </w:pPr>
      <w:r>
        <w:rPr>
          <w:sz w:val="24"/>
          <w:szCs w:val="24"/>
        </w:rPr>
      </w:r>
    </w:p>
    <w:p>
      <w:pPr>
        <w:pStyle w:val="Normal"/>
        <w:numPr>
          <w:ilvl w:val="0"/>
          <w:numId w:val="3"/>
        </w:numPr>
        <w:ind w:left="284" w:hanging="284"/>
        <w:jc w:val="both"/>
        <w:rPr/>
      </w:pPr>
      <w:r>
        <w:rPr>
          <w:sz w:val="24"/>
          <w:szCs w:val="24"/>
        </w:rPr>
        <w:t>justifiant d’une ancienneté groupe de 1 an, à la date du 1</w:t>
      </w:r>
      <w:r>
        <w:rPr>
          <w:sz w:val="24"/>
          <w:szCs w:val="24"/>
          <w:vertAlign w:val="superscript"/>
        </w:rPr>
        <w:t>er</w:t>
      </w:r>
      <w:r>
        <w:rPr>
          <w:sz w:val="24"/>
          <w:szCs w:val="24"/>
        </w:rPr>
        <w:t xml:space="preserve"> juillet 2022.</w:t>
      </w:r>
    </w:p>
    <w:p>
      <w:pPr>
        <w:pStyle w:val="Normal"/>
        <w:jc w:val="both"/>
        <w:rPr>
          <w:sz w:val="24"/>
          <w:szCs w:val="24"/>
        </w:rPr>
      </w:pPr>
      <w:r>
        <w:rPr>
          <w:sz w:val="24"/>
          <w:szCs w:val="24"/>
        </w:rPr>
      </w:r>
    </w:p>
    <w:p>
      <w:pPr>
        <w:pStyle w:val="Normal"/>
        <w:numPr>
          <w:ilvl w:val="1"/>
          <w:numId w:val="4"/>
        </w:numPr>
        <w:jc w:val="both"/>
        <w:rPr/>
      </w:pPr>
      <w:r>
        <w:rPr>
          <w:i/>
          <w:color w:val="1F4E79"/>
          <w:sz w:val="24"/>
          <w:szCs w:val="24"/>
        </w:rPr>
        <w:t>Date de versement de la mesure</w:t>
      </w:r>
    </w:p>
    <w:p>
      <w:pPr>
        <w:pStyle w:val="Normal"/>
        <w:jc w:val="both"/>
        <w:rPr>
          <w:i/>
          <w:i/>
          <w:color w:val="1F4E79"/>
          <w:sz w:val="24"/>
          <w:szCs w:val="24"/>
        </w:rPr>
      </w:pPr>
      <w:r>
        <w:rPr>
          <w:i/>
          <w:color w:val="1F4E79"/>
          <w:sz w:val="24"/>
          <w:szCs w:val="24"/>
        </w:rPr>
      </w:r>
    </w:p>
    <w:p>
      <w:pPr>
        <w:pStyle w:val="Normal"/>
        <w:jc w:val="both"/>
        <w:rPr>
          <w:sz w:val="24"/>
          <w:szCs w:val="24"/>
        </w:rPr>
      </w:pPr>
      <w:r>
        <w:rPr>
          <w:sz w:val="24"/>
          <w:szCs w:val="24"/>
        </w:rPr>
        <w:t>Cette augmentation salariale sera effective sur la paie du mois de septembre 2022 avec effet rétroactif au 1</w:t>
      </w:r>
      <w:r>
        <w:rPr>
          <w:sz w:val="24"/>
          <w:szCs w:val="24"/>
          <w:vertAlign w:val="superscript"/>
        </w:rPr>
        <w:t>er</w:t>
      </w:r>
      <w:r>
        <w:rPr>
          <w:sz w:val="24"/>
          <w:szCs w:val="24"/>
        </w:rPr>
        <w:t xml:space="preserve"> juillet 2022.</w:t>
      </w:r>
    </w:p>
    <w:p>
      <w:pPr>
        <w:pStyle w:val="Normal"/>
        <w:rPr>
          <w:sz w:val="24"/>
          <w:szCs w:val="24"/>
        </w:rPr>
      </w:pPr>
      <w:r>
        <w:rPr>
          <w:sz w:val="24"/>
          <w:szCs w:val="24"/>
        </w:rPr>
      </w:r>
    </w:p>
    <w:p>
      <w:pPr>
        <w:pStyle w:val="Normal"/>
        <w:rPr>
          <w:sz w:val="24"/>
          <w:szCs w:val="24"/>
        </w:rPr>
      </w:pPr>
      <w:r>
        <w:rPr>
          <w:sz w:val="24"/>
          <w:szCs w:val="24"/>
        </w:rPr>
      </w:r>
    </w:p>
    <w:p>
      <w:pPr>
        <w:pStyle w:val="Default"/>
        <w:rPr>
          <w:color w:val="1F4E79"/>
        </w:rPr>
      </w:pPr>
      <w:r>
        <w:rPr>
          <w:b/>
          <w:bCs/>
          <w:color w:val="1F4E79"/>
        </w:rPr>
        <w:t xml:space="preserve">Article 2 - Suivi de l’accord </w:t>
      </w:r>
    </w:p>
    <w:p>
      <w:pPr>
        <w:pStyle w:val="Default"/>
        <w:rPr>
          <w:color w:val="1F4E79"/>
        </w:rPr>
      </w:pPr>
      <w:r>
        <w:rPr>
          <w:color w:val="1F4E79"/>
        </w:rPr>
      </w:r>
    </w:p>
    <w:p>
      <w:pPr>
        <w:pStyle w:val="Normal"/>
        <w:rPr>
          <w:sz w:val="24"/>
          <w:szCs w:val="24"/>
        </w:rPr>
      </w:pPr>
      <w:r>
        <w:rPr>
          <w:sz w:val="24"/>
          <w:szCs w:val="24"/>
        </w:rPr>
        <w:t>Au regard du contexte socio-économique et compte tenu des difficultés à anticiper l’évolution du niveau de l’inflation sur le long terme, les parties s’engagent à se revoir au début de l’année 2023 afin de faire un point sur l’impact de ces mesures.</w:t>
      </w:r>
    </w:p>
    <w:p>
      <w:pPr>
        <w:pStyle w:val="Normal"/>
        <w:rPr>
          <w:sz w:val="24"/>
          <w:szCs w:val="24"/>
        </w:rPr>
      </w:pPr>
      <w:r>
        <w:rPr>
          <w:sz w:val="24"/>
          <w:szCs w:val="24"/>
        </w:rPr>
      </w:r>
    </w:p>
    <w:p>
      <w:pPr>
        <w:pStyle w:val="Normal"/>
        <w:rPr>
          <w:sz w:val="24"/>
          <w:szCs w:val="24"/>
        </w:rPr>
      </w:pPr>
      <w:r>
        <w:rPr>
          <w:sz w:val="24"/>
          <w:szCs w:val="24"/>
        </w:rPr>
      </w:r>
    </w:p>
    <w:p>
      <w:pPr>
        <w:pStyle w:val="Heading5"/>
        <w:numPr>
          <w:ilvl w:val="4"/>
          <w:numId w:val="1"/>
        </w:numPr>
        <w:rPr>
          <w:rFonts w:ascii="Times New Roman" w:hAnsi="Times New Roman" w:cs="Times New Roman"/>
          <w:color w:val="1F4E79"/>
          <w:szCs w:val="24"/>
          <w:u w:val="none"/>
        </w:rPr>
      </w:pPr>
      <w:r>
        <w:rPr>
          <w:rFonts w:cs="Times New Roman" w:ascii="Times New Roman" w:hAnsi="Times New Roman"/>
          <w:color w:val="1F4E79"/>
          <w:szCs w:val="24"/>
          <w:u w:val="none"/>
        </w:rPr>
        <w:t xml:space="preserve">Article 3 – Entrée en vigueur – Durée - Dépôt </w:t>
      </w:r>
    </w:p>
    <w:p>
      <w:pPr>
        <w:pStyle w:val="Normal"/>
        <w:jc w:val="both"/>
        <w:rPr>
          <w:rFonts w:ascii="Times New Roman" w:hAnsi="Times New Roman" w:cs="Times New Roman"/>
          <w:color w:val="1F4E79"/>
          <w:sz w:val="24"/>
          <w:szCs w:val="24"/>
          <w:u w:val="none"/>
        </w:rPr>
      </w:pPr>
      <w:r>
        <w:rPr>
          <w:rFonts w:cs="Times New Roman"/>
          <w:color w:val="1F4E79"/>
          <w:sz w:val="24"/>
          <w:szCs w:val="24"/>
          <w:u w:val="none"/>
        </w:rPr>
      </w:r>
    </w:p>
    <w:p>
      <w:pPr>
        <w:pStyle w:val="Normal"/>
        <w:jc w:val="both"/>
        <w:rPr>
          <w:sz w:val="24"/>
          <w:szCs w:val="24"/>
        </w:rPr>
      </w:pPr>
      <w:r>
        <w:rPr>
          <w:sz w:val="24"/>
          <w:szCs w:val="24"/>
        </w:rPr>
        <w:t>Le présent accord entre en vigueur après l’accomplissement des formalités de dépôt avec une application rétroactive au 1</w:t>
      </w:r>
      <w:r>
        <w:rPr>
          <w:sz w:val="24"/>
          <w:szCs w:val="24"/>
          <w:vertAlign w:val="superscript"/>
        </w:rPr>
        <w:t>er</w:t>
      </w:r>
      <w:r>
        <w:rPr>
          <w:sz w:val="24"/>
          <w:szCs w:val="24"/>
        </w:rPr>
        <w:t xml:space="preserve"> juillet 2022.</w:t>
      </w:r>
    </w:p>
    <w:p>
      <w:pPr>
        <w:pStyle w:val="Normal"/>
        <w:jc w:val="both"/>
        <w:rPr>
          <w:sz w:val="24"/>
          <w:szCs w:val="24"/>
        </w:rPr>
      </w:pPr>
      <w:r>
        <w:rPr>
          <w:sz w:val="24"/>
          <w:szCs w:val="24"/>
        </w:rPr>
      </w:r>
    </w:p>
    <w:p>
      <w:pPr>
        <w:pStyle w:val="Normal"/>
        <w:jc w:val="both"/>
        <w:rPr/>
      </w:pPr>
      <w:r>
        <w:rPr>
          <w:sz w:val="24"/>
          <w:szCs w:val="24"/>
        </w:rPr>
        <w:t xml:space="preserve">Cet accord à durée déterminée cessera de produire ses effets une fois la mesure versée soit </w:t>
        <w:br/>
        <w:t>au 30 septembre 2022.</w:t>
      </w:r>
    </w:p>
    <w:p>
      <w:pPr>
        <w:pStyle w:val="Normal"/>
        <w:jc w:val="both"/>
        <w:rPr>
          <w:sz w:val="24"/>
          <w:szCs w:val="24"/>
        </w:rPr>
      </w:pPr>
      <w:r>
        <w:rPr>
          <w:sz w:val="24"/>
          <w:szCs w:val="24"/>
        </w:rPr>
      </w:r>
    </w:p>
    <w:p>
      <w:pPr>
        <w:pStyle w:val="Normal"/>
        <w:jc w:val="both"/>
        <w:rPr/>
      </w:pPr>
      <w:r>
        <w:rPr>
          <w:sz w:val="24"/>
          <w:szCs w:val="24"/>
        </w:rPr>
        <w:t>Le présent accord est notifié à l’ensemble des organisations syndicales représentatives dans l’entreprise.</w:t>
      </w:r>
    </w:p>
    <w:p>
      <w:pPr>
        <w:pStyle w:val="Normal"/>
        <w:jc w:val="both"/>
        <w:rPr>
          <w:sz w:val="24"/>
          <w:szCs w:val="24"/>
        </w:rPr>
      </w:pPr>
      <w:r>
        <w:rPr>
          <w:sz w:val="24"/>
          <w:szCs w:val="24"/>
        </w:rPr>
      </w:r>
    </w:p>
    <w:p>
      <w:pPr>
        <w:pStyle w:val="Normal"/>
        <w:jc w:val="both"/>
        <w:rPr>
          <w:sz w:val="24"/>
          <w:szCs w:val="24"/>
        </w:rPr>
      </w:pPr>
      <w:r>
        <w:rPr>
          <w:sz w:val="24"/>
          <w:szCs w:val="24"/>
        </w:rPr>
        <w:t xml:space="preserve">En application des articles D. 2231-2 et suivants du Code du travail, le présent accord sera déposé par la Direction de Crédit Agricole - CIB sur la plateforme de téléprocédure du Ministère du travail (dénommée "TéléAccords" : </w:t>
      </w:r>
      <w:hyperlink r:id="rId2">
        <w:r>
          <w:rPr>
            <w:rStyle w:val="InternetLink"/>
            <w:sz w:val="24"/>
            <w:szCs w:val="24"/>
          </w:rPr>
          <w:t>www.teleaccords.travail-emploi.gouv.fr</w:t>
        </w:r>
      </w:hyperlink>
      <w:r>
        <w:rPr>
          <w:sz w:val="24"/>
          <w:szCs w:val="24"/>
        </w:rPr>
        <w:t>).</w:t>
      </w:r>
    </w:p>
    <w:p>
      <w:pPr>
        <w:pStyle w:val="Normal"/>
        <w:jc w:val="both"/>
        <w:rPr>
          <w:sz w:val="24"/>
          <w:szCs w:val="24"/>
        </w:rPr>
      </w:pPr>
      <w:r>
        <w:rPr>
          <w:sz w:val="24"/>
          <w:szCs w:val="24"/>
        </w:rPr>
      </w:r>
    </w:p>
    <w:p>
      <w:pPr>
        <w:pStyle w:val="Normal"/>
        <w:jc w:val="both"/>
        <w:rPr/>
      </w:pPr>
      <w:r>
        <w:rPr>
          <w:sz w:val="24"/>
          <w:szCs w:val="24"/>
        </w:rPr>
        <w:t>Un exemplaire est également remis au greffe du conseil des prud’hommes de Boulogne-Billancourt.</w:t>
      </w:r>
    </w:p>
    <w:p>
      <w:pPr>
        <w:pStyle w:val="Normal"/>
        <w:jc w:val="both"/>
        <w:rPr>
          <w:sz w:val="24"/>
          <w:szCs w:val="24"/>
        </w:rPr>
      </w:pPr>
      <w:r>
        <w:rPr>
          <w:sz w:val="24"/>
          <w:szCs w:val="24"/>
        </w:rPr>
      </w:r>
    </w:p>
    <w:p>
      <w:pPr>
        <w:pStyle w:val="Normal"/>
        <w:jc w:val="both"/>
        <w:rPr/>
      </w:pPr>
      <w:r>
        <w:rPr>
          <w:sz w:val="24"/>
          <w:szCs w:val="24"/>
        </w:rPr>
        <w:t>L’accord fera l’objet d’une mise en ligne sur la base Intranet HRE destinée à assurer l’information de l’ensemble du personnel.</w:t>
      </w:r>
    </w:p>
    <w:p>
      <w:pPr>
        <w:pStyle w:val="Normal"/>
        <w:jc w:val="both"/>
        <w:rPr>
          <w:sz w:val="24"/>
          <w:szCs w:val="24"/>
        </w:rPr>
      </w:pPr>
      <w:r>
        <w:rPr>
          <w:sz w:val="24"/>
          <w:szCs w:val="24"/>
        </w:rPr>
      </w:r>
    </w:p>
    <w:p>
      <w:pPr>
        <w:pStyle w:val="Normal"/>
        <w:jc w:val="both"/>
        <w:rPr>
          <w:sz w:val="24"/>
          <w:szCs w:val="24"/>
          <w:highlight w:val="yellow"/>
        </w:rPr>
      </w:pPr>
      <w:r>
        <w:rPr>
          <w:sz w:val="24"/>
          <w:szCs w:val="24"/>
          <w:highlight w:val="yellow"/>
        </w:rPr>
      </w:r>
    </w:p>
    <w:p>
      <w:pPr>
        <w:pStyle w:val="Normal"/>
        <w:jc w:val="both"/>
        <w:rPr>
          <w:sz w:val="24"/>
          <w:szCs w:val="24"/>
        </w:rPr>
      </w:pPr>
      <w:r>
        <w:rPr>
          <w:sz w:val="24"/>
          <w:szCs w:val="24"/>
        </w:rPr>
        <w:t>Fait en 5 exemplaires originaux, à Montrouge, le 20 juillet 2022.</w:t>
      </w:r>
    </w:p>
    <w:p>
      <w:pPr>
        <w:pStyle w:val="Normal"/>
        <w:tabs>
          <w:tab w:val="left" w:pos="5670" w:leader="none"/>
        </w:tabs>
        <w:rPr>
          <w:b/>
          <w:b/>
          <w:sz w:val="24"/>
          <w:szCs w:val="24"/>
        </w:rPr>
      </w:pPr>
      <w:r>
        <w:rPr>
          <w:b/>
          <w:sz w:val="24"/>
          <w:szCs w:val="24"/>
        </w:rPr>
      </w:r>
    </w:p>
    <w:p>
      <w:pPr>
        <w:pStyle w:val="Normal"/>
        <w:tabs>
          <w:tab w:val="left" w:pos="5670" w:leader="none"/>
        </w:tabs>
        <w:rPr>
          <w:sz w:val="24"/>
          <w:szCs w:val="24"/>
        </w:rPr>
      </w:pPr>
      <w:r>
        <w:rPr>
          <w:b/>
          <w:sz w:val="24"/>
          <w:szCs w:val="24"/>
        </w:rPr>
        <w:t>Pour Crédit Agricole CIB</w:t>
      </w:r>
    </w:p>
    <w:p>
      <w:pPr>
        <w:pStyle w:val="Normal"/>
        <w:jc w:val="both"/>
        <w:rPr>
          <w:sz w:val="24"/>
          <w:szCs w:val="24"/>
        </w:rPr>
      </w:pPr>
      <w:r>
        <w:rPr>
          <w:sz w:val="24"/>
          <w:szCs w:val="24"/>
        </w:rPr>
        <w:t>X</w:t>
      </w:r>
    </w:p>
    <w:p>
      <w:pPr>
        <w:pStyle w:val="Normal"/>
        <w:jc w:val="both"/>
        <w:rPr/>
      </w:pPr>
      <w:r>
        <w:rPr>
          <w:sz w:val="24"/>
          <w:szCs w:val="24"/>
        </w:rPr>
        <w:t>Directrice Générale Adjointe. Directrice des Ressources Humaines</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Heading8"/>
        <w:numPr>
          <w:ilvl w:val="7"/>
          <w:numId w:val="1"/>
        </w:numPr>
        <w:tabs>
          <w:tab w:val="left" w:pos="6480" w:leader="none"/>
        </w:tabs>
        <w:rPr>
          <w:rFonts w:ascii="Times New Roman" w:hAnsi="Times New Roman" w:cs="Times New Roman"/>
          <w:sz w:val="24"/>
          <w:szCs w:val="24"/>
          <w:u w:val="none"/>
        </w:rPr>
      </w:pPr>
      <w:r>
        <w:rPr>
          <w:rFonts w:cs="Times New Roman" w:ascii="Times New Roman" w:hAnsi="Times New Roman"/>
          <w:sz w:val="24"/>
          <w:szCs w:val="24"/>
          <w:u w:val="none"/>
        </w:rPr>
        <w:t>Pour les organisations syndicales représentatives</w:t>
        <w:tab/>
        <w:t xml:space="preserve"> </w:t>
      </w:r>
    </w:p>
    <w:p>
      <w:pPr>
        <w:pStyle w:val="Normal"/>
        <w:rPr>
          <w:rFonts w:ascii="Times New Roman" w:hAnsi="Times New Roman" w:cs="Times New Roman"/>
          <w:sz w:val="24"/>
          <w:szCs w:val="24"/>
          <w:u w:val="none"/>
        </w:rPr>
      </w:pPr>
      <w:r>
        <w:rPr>
          <w:rFonts w:cs="Times New Roman"/>
          <w:sz w:val="24"/>
          <w:szCs w:val="24"/>
          <w:u w:val="none"/>
        </w:rPr>
      </w:r>
    </w:p>
    <w:tbl>
      <w:tblPr>
        <w:tblW w:w="9855" w:type="dxa"/>
        <w:jc w:val="left"/>
        <w:tblInd w:w="0" w:type="dxa"/>
        <w:tblBorders/>
        <w:tblCellMar>
          <w:top w:w="0" w:type="dxa"/>
          <w:left w:w="108" w:type="dxa"/>
          <w:bottom w:w="0" w:type="dxa"/>
          <w:right w:w="108" w:type="dxa"/>
        </w:tblCellMar>
      </w:tblPr>
      <w:tblGrid>
        <w:gridCol w:w="4926"/>
        <w:gridCol w:w="4929"/>
      </w:tblGrid>
      <w:tr>
        <w:trPr/>
        <w:tc>
          <w:tcPr>
            <w:tcW w:w="4926" w:type="dxa"/>
            <w:tcBorders/>
            <w:shd w:fill="auto" w:val="clear"/>
          </w:tcPr>
          <w:p>
            <w:pPr>
              <w:pStyle w:val="Normal"/>
              <w:snapToGrid w:val="false"/>
              <w:rPr>
                <w:sz w:val="24"/>
                <w:szCs w:val="24"/>
              </w:rPr>
            </w:pPr>
            <w:r>
              <w:rPr>
                <w:sz w:val="24"/>
                <w:szCs w:val="24"/>
              </w:rPr>
            </w:r>
          </w:p>
          <w:p>
            <w:pPr>
              <w:pStyle w:val="Normal"/>
              <w:rPr/>
            </w:pPr>
            <w:r>
              <w:rPr>
                <w:sz w:val="24"/>
                <w:szCs w:val="24"/>
              </w:rPr>
              <w:t>Pour la CFDT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tc>
        <w:tc>
          <w:tcPr>
            <w:tcW w:w="4929" w:type="dxa"/>
            <w:tcBorders/>
            <w:shd w:fill="auto" w:val="clear"/>
          </w:tcPr>
          <w:p>
            <w:pPr>
              <w:pStyle w:val="Normal"/>
              <w:snapToGrid w:val="false"/>
              <w:rPr>
                <w:sz w:val="24"/>
                <w:szCs w:val="24"/>
              </w:rPr>
            </w:pPr>
            <w:r>
              <w:rPr>
                <w:sz w:val="24"/>
                <w:szCs w:val="24"/>
              </w:rPr>
            </w:r>
          </w:p>
          <w:p>
            <w:pPr>
              <w:pStyle w:val="Normal"/>
              <w:rPr/>
            </w:pPr>
            <w:r>
              <w:rPr>
                <w:sz w:val="24"/>
                <w:szCs w:val="24"/>
              </w:rPr>
              <w:t>Pour la CFTC</w:t>
            </w:r>
          </w:p>
        </w:tc>
      </w:tr>
      <w:tr>
        <w:trPr/>
        <w:tc>
          <w:tcPr>
            <w:tcW w:w="4926" w:type="dxa"/>
            <w:tcBorders/>
            <w:shd w:fill="auto" w:val="clear"/>
          </w:tcPr>
          <w:p>
            <w:pPr>
              <w:pStyle w:val="Normal"/>
              <w:rPr/>
            </w:pPr>
            <w:r>
              <w:rPr>
                <w:sz w:val="24"/>
                <w:szCs w:val="24"/>
                <w:lang w:val="de-DE"/>
              </w:rPr>
              <w:t>Pour le S.N.B. – CFE / C.G.C</w:t>
            </w:r>
          </w:p>
          <w:p>
            <w:pPr>
              <w:pStyle w:val="Normal"/>
              <w:rPr>
                <w:sz w:val="24"/>
                <w:szCs w:val="24"/>
                <w:lang w:val="de-DE"/>
              </w:rPr>
            </w:pPr>
            <w:r>
              <w:rPr>
                <w:sz w:val="24"/>
                <w:szCs w:val="24"/>
                <w:lang w:val="de-DE"/>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tc>
        <w:tc>
          <w:tcPr>
            <w:tcW w:w="4929" w:type="dxa"/>
            <w:tcBorders/>
            <w:shd w:fill="auto" w:val="clear"/>
          </w:tcPr>
          <w:p>
            <w:pPr>
              <w:pStyle w:val="Normal"/>
              <w:snapToGrid w:val="false"/>
              <w:rPr>
                <w:sz w:val="24"/>
                <w:szCs w:val="24"/>
              </w:rPr>
            </w:pPr>
            <w:r>
              <w:rPr>
                <w:sz w:val="24"/>
                <w:szCs w:val="24"/>
              </w:rPr>
            </w:r>
          </w:p>
        </w:tc>
      </w:tr>
    </w:tbl>
    <w:p>
      <w:pPr>
        <w:pStyle w:val="Normal"/>
        <w:tabs>
          <w:tab w:val="left" w:pos="4678" w:leader="none"/>
        </w:tabs>
        <w:ind w:left="420" w:hanging="0"/>
        <w:rPr>
          <w:sz w:val="24"/>
          <w:szCs w:val="24"/>
          <w:lang w:val="de-DE"/>
        </w:rPr>
      </w:pPr>
      <w:r>
        <w:rPr>
          <w:sz w:val="24"/>
          <w:szCs w:val="24"/>
          <w:lang w:val="de-DE"/>
        </w:rPr>
      </w:r>
    </w:p>
    <w:sectPr>
      <w:headerReference w:type="default" r:id="rId3"/>
      <w:footerReference w:type="default" r:id="rId4"/>
      <w:type w:val="nextPage"/>
      <w:pgSz w:w="11906" w:h="16838"/>
      <w:pgMar w:left="1134" w:right="1134" w:header="567" w:top="1134" w:footer="567"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Albertus MT">
    <w:charset w:val="00"/>
    <w:family w:val="roman"/>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p>
  <w:p>
    <w:pPr>
      <w:pStyle w:val="Footer"/>
      <w:rPr>
        <w:rFonts w:ascii="Arial" w:hAnsi="Arial" w:cs="Arial"/>
        <w:sz w:val="18"/>
      </w:rPr>
    </w:pPr>
    <w:r>
      <w:rPr>
        <w:rFonts w:cs="Arial" w:ascii="Arial" w:hAnsi="Arial"/>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13750" w:leader="none"/>
      </w:tabs>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2"/>
      <w:numFmt w:val="bullet"/>
      <w:lvlText w:val="-"/>
      <w:lvlJc w:val="left"/>
      <w:pPr>
        <w:ind w:left="720" w:hanging="360"/>
      </w:pPr>
      <w:rPr>
        <w:rFonts w:ascii="Times New Roman" w:hAnsi="Times New Roman" w:cs="Times New Roman" w:hint="default"/>
        <w:rFonts w:cs="Times New Roman"/>
      </w:rPr>
    </w:lvl>
  </w:abstractNum>
  <w:abstractNum w:abstractNumId="3">
    <w:lvl w:ilvl="0">
      <w:start w:val="2"/>
      <w:numFmt w:val="bullet"/>
      <w:lvlText w:val="-"/>
      <w:lvlJc w:val="left"/>
      <w:pPr>
        <w:ind w:left="720" w:hanging="360"/>
      </w:pPr>
      <w:rPr>
        <w:rFonts w:ascii="Times New Roman" w:hAnsi="Times New Roman" w:cs="Times New Roman" w:hint="default"/>
        <w:sz w:val="24"/>
        <w:szCs w:val="24"/>
        <w:rFonts w:cs="Times New Roman"/>
      </w:rPr>
    </w:lvl>
  </w:abstractNum>
  <w:abstractNum w:abstractNumId="4">
    <w:lvl w:ilvl="0">
      <w:start w:val="1"/>
      <w:numFmt w:val="decimal"/>
      <w:lvlText w:val="%1"/>
      <w:lvlJc w:val="left"/>
      <w:pPr>
        <w:ind w:left="2715" w:hanging="2715"/>
      </w:pPr>
      <w:rPr>
        <w:sz w:val="24"/>
        <w:i/>
        <w:szCs w:val="24"/>
      </w:rPr>
    </w:lvl>
    <w:lvl w:ilvl="1">
      <w:start w:val="1"/>
      <w:numFmt w:val="decimal"/>
      <w:lvlText w:val="%1.%2"/>
      <w:lvlJc w:val="left"/>
      <w:pPr>
        <w:ind w:left="2715" w:hanging="2715"/>
      </w:pPr>
      <w:rPr>
        <w:sz w:val="24"/>
        <w:i/>
        <w:szCs w:val="24"/>
      </w:rPr>
    </w:lvl>
    <w:lvl w:ilvl="2">
      <w:start w:val="1"/>
      <w:numFmt w:val="decimal"/>
      <w:lvlText w:val="%1.%2.%3"/>
      <w:lvlJc w:val="left"/>
      <w:pPr>
        <w:ind w:left="2715" w:hanging="2715"/>
      </w:pPr>
      <w:rPr>
        <w:sz w:val="24"/>
        <w:i/>
        <w:szCs w:val="24"/>
      </w:rPr>
    </w:lvl>
    <w:lvl w:ilvl="3">
      <w:start w:val="1"/>
      <w:numFmt w:val="decimal"/>
      <w:lvlText w:val="%1.%2.%3.%4"/>
      <w:lvlJc w:val="left"/>
      <w:pPr>
        <w:ind w:left="2715" w:hanging="2715"/>
      </w:pPr>
      <w:rPr>
        <w:sz w:val="24"/>
        <w:i/>
        <w:szCs w:val="24"/>
      </w:rPr>
    </w:lvl>
    <w:lvl w:ilvl="4">
      <w:start w:val="1"/>
      <w:numFmt w:val="decimal"/>
      <w:lvlText w:val="%1.%2.%3.%4.%5"/>
      <w:lvlJc w:val="left"/>
      <w:pPr>
        <w:ind w:left="2715" w:hanging="2715"/>
      </w:pPr>
      <w:rPr>
        <w:sz w:val="24"/>
        <w:i/>
        <w:szCs w:val="24"/>
      </w:rPr>
    </w:lvl>
    <w:lvl w:ilvl="5">
      <w:start w:val="1"/>
      <w:numFmt w:val="decimal"/>
      <w:lvlText w:val="%1.%2.%3.%4.%5.%6"/>
      <w:lvlJc w:val="left"/>
      <w:pPr>
        <w:ind w:left="2715" w:hanging="2715"/>
      </w:pPr>
      <w:rPr>
        <w:sz w:val="24"/>
        <w:i/>
        <w:szCs w:val="24"/>
      </w:rPr>
    </w:lvl>
    <w:lvl w:ilvl="6">
      <w:start w:val="1"/>
      <w:numFmt w:val="decimal"/>
      <w:lvlText w:val="%1.%2.%3.%4.%5.%6.%7"/>
      <w:lvlJc w:val="left"/>
      <w:pPr>
        <w:ind w:left="2715" w:hanging="2715"/>
      </w:pPr>
      <w:rPr>
        <w:sz w:val="24"/>
        <w:i/>
        <w:szCs w:val="24"/>
      </w:rPr>
    </w:lvl>
    <w:lvl w:ilvl="7">
      <w:start w:val="1"/>
      <w:numFmt w:val="decimal"/>
      <w:lvlText w:val="%1.%2.%3.%4.%5.%6.%7.%8"/>
      <w:lvlJc w:val="left"/>
      <w:pPr>
        <w:ind w:left="2715" w:hanging="2715"/>
      </w:pPr>
      <w:rPr>
        <w:sz w:val="24"/>
        <w:i/>
        <w:szCs w:val="24"/>
      </w:rPr>
    </w:lvl>
    <w:lvl w:ilvl="8">
      <w:start w:val="1"/>
      <w:numFmt w:val="decimal"/>
      <w:lvlText w:val="%1.%2.%3.%4.%5.%6.%7.%8.%9"/>
      <w:lvlJc w:val="left"/>
      <w:pPr>
        <w:ind w:left="2715" w:hanging="2715"/>
      </w:pPr>
      <w:rPr>
        <w:sz w:val="24"/>
        <w:i/>
        <w:szCs w:val="24"/>
      </w:rPr>
    </w:lvl>
  </w:abstractNum>
  <w:abstractNum w:abstractNumId="5">
    <w:lvl w:ilvl="0">
      <w:start w:val="2"/>
      <w:numFmt w:val="bullet"/>
      <w:lvlText w:val="-"/>
      <w:lvlJc w:val="left"/>
      <w:pPr>
        <w:ind w:left="644" w:hanging="360"/>
      </w:pPr>
      <w:rPr>
        <w:rFonts w:ascii="Times New Roman" w:hAnsi="Times New Roman" w:cs="Times New Roman" w:hint="default"/>
        <w:sz w:val="24"/>
        <w:szCs w:val="24"/>
        <w:rFonts w:cs="Times New Roma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sz w:val="24"/>
    </w:rPr>
  </w:style>
  <w:style w:type="paragraph" w:styleId="Heading2">
    <w:name w:val="Heading 2"/>
    <w:basedOn w:val="Normal"/>
    <w:next w:val="Normal"/>
    <w:qFormat/>
    <w:pPr>
      <w:keepNext w:val="true"/>
      <w:numPr>
        <w:ilvl w:val="1"/>
        <w:numId w:val="1"/>
      </w:numPr>
      <w:outlineLvl w:val="1"/>
    </w:pPr>
    <w:rPr>
      <w:rFonts w:ascii="Arial" w:hAnsi="Arial" w:cs="Arial"/>
      <w:b/>
      <w:sz w:val="22"/>
      <w:u w:val="single"/>
    </w:rPr>
  </w:style>
  <w:style w:type="paragraph" w:styleId="Heading3">
    <w:name w:val="Heading 3"/>
    <w:basedOn w:val="Normal"/>
    <w:next w:val="Normal"/>
    <w:qFormat/>
    <w:pPr>
      <w:keepNext w:val="true"/>
      <w:numPr>
        <w:ilvl w:val="2"/>
        <w:numId w:val="1"/>
      </w:numPr>
      <w:jc w:val="both"/>
      <w:outlineLvl w:val="2"/>
    </w:pPr>
    <w:rPr>
      <w:rFonts w:ascii="Arial" w:hAnsi="Arial" w:cs="Arial"/>
      <w:b/>
    </w:rPr>
  </w:style>
  <w:style w:type="paragraph" w:styleId="Heading4">
    <w:name w:val="Heading 4"/>
    <w:basedOn w:val="Normal"/>
    <w:next w:val="Normal"/>
    <w:qFormat/>
    <w:pPr>
      <w:keepNext w:val="true"/>
      <w:numPr>
        <w:ilvl w:val="3"/>
        <w:numId w:val="1"/>
      </w:numPr>
      <w:outlineLvl w:val="3"/>
    </w:pPr>
    <w:rPr>
      <w:rFonts w:ascii="Arial" w:hAnsi="Arial" w:cs="Arial"/>
      <w:b/>
      <w:sz w:val="24"/>
      <w:u w:val="single"/>
    </w:rPr>
  </w:style>
  <w:style w:type="paragraph" w:styleId="Heading5">
    <w:name w:val="Heading 5"/>
    <w:basedOn w:val="Normal"/>
    <w:next w:val="Normal"/>
    <w:qFormat/>
    <w:pPr>
      <w:keepNext w:val="true"/>
      <w:numPr>
        <w:ilvl w:val="4"/>
        <w:numId w:val="1"/>
      </w:numPr>
      <w:jc w:val="both"/>
      <w:outlineLvl w:val="4"/>
    </w:pPr>
    <w:rPr>
      <w:rFonts w:ascii="Arial" w:hAnsi="Arial" w:cs="Arial"/>
      <w:b/>
      <w:sz w:val="24"/>
      <w:u w:val="single"/>
    </w:rPr>
  </w:style>
  <w:style w:type="paragraph" w:styleId="Heading6">
    <w:name w:val="Heading 6"/>
    <w:basedOn w:val="Normal"/>
    <w:next w:val="Normal"/>
    <w:qFormat/>
    <w:pPr>
      <w:keepNext w:val="true"/>
      <w:numPr>
        <w:ilvl w:val="5"/>
        <w:numId w:val="1"/>
      </w:numPr>
      <w:tabs>
        <w:tab w:val="left" w:pos="4537" w:leader="none"/>
        <w:tab w:val="left" w:pos="5529" w:leader="none"/>
      </w:tabs>
      <w:spacing w:lineRule="atLeast" w:line="240"/>
      <w:ind w:right="-29" w:hanging="0"/>
      <w:jc w:val="both"/>
      <w:outlineLvl w:val="5"/>
    </w:pPr>
    <w:rPr>
      <w:rFonts w:ascii="Arial" w:hAnsi="Arial" w:cs="Arial"/>
      <w:b/>
    </w:rPr>
  </w:style>
  <w:style w:type="paragraph" w:styleId="Heading7">
    <w:name w:val="Heading 7"/>
    <w:basedOn w:val="Normal"/>
    <w:next w:val="Normal"/>
    <w:qFormat/>
    <w:pPr>
      <w:keepNext w:val="true"/>
      <w:numPr>
        <w:ilvl w:val="6"/>
        <w:numId w:val="1"/>
      </w:numPr>
      <w:jc w:val="both"/>
      <w:outlineLvl w:val="6"/>
    </w:pPr>
    <w:rPr>
      <w:rFonts w:ascii="Arial" w:hAnsi="Arial" w:cs="Arial"/>
      <w:b/>
      <w:bCs/>
      <w:i/>
      <w:iCs/>
    </w:rPr>
  </w:style>
  <w:style w:type="paragraph" w:styleId="Heading8">
    <w:name w:val="Heading 8"/>
    <w:basedOn w:val="Normal"/>
    <w:next w:val="Normal"/>
    <w:qFormat/>
    <w:pPr>
      <w:keepNext w:val="true"/>
      <w:numPr>
        <w:ilvl w:val="7"/>
        <w:numId w:val="1"/>
      </w:numPr>
      <w:jc w:val="both"/>
      <w:outlineLvl w:val="7"/>
    </w:pPr>
    <w:rPr>
      <w:rFonts w:ascii="Arial" w:hAnsi="Arial" w:cs="Arial"/>
      <w:b/>
      <w:bCs/>
      <w:u w:val="single"/>
    </w:rPr>
  </w:style>
  <w:style w:type="paragraph" w:styleId="Heading9">
    <w:name w:val="Heading 9"/>
    <w:basedOn w:val="Normal"/>
    <w:next w:val="Normal"/>
    <w:qFormat/>
    <w:pPr>
      <w:keepNext w:val="true"/>
      <w:numPr>
        <w:ilvl w:val="8"/>
        <w:numId w:val="1"/>
      </w:numPr>
      <w:outlineLvl w:val="8"/>
    </w:pPr>
    <w:rPr>
      <w:rFonts w:ascii="Arial" w:hAnsi="Arial" w:cs="Arial"/>
      <w:b/>
      <w:bCs/>
      <w:sz w:val="24"/>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cs="Times New Roman"/>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sz w:val="24"/>
      <w:szCs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Albertus MT" w:hAnsi="Albertus MT" w:cs="Albertus MT"/>
      <w:sz w:val="24"/>
      <w:szCs w:val="24"/>
    </w:rPr>
  </w:style>
  <w:style w:type="character" w:styleId="WW8Num11z1">
    <w:name w:val="WW8Num11z1"/>
    <w:qFormat/>
    <w:rPr>
      <w:rFonts w:ascii="Wingdings" w:hAnsi="Wingdings" w:eastAsia="Times New Roman" w:cs="Arial"/>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i/>
      <w:sz w:val="24"/>
      <w:szCs w:val="24"/>
    </w:rPr>
  </w:style>
  <w:style w:type="character" w:styleId="WW8Num13z0">
    <w:name w:val="WW8Num13z0"/>
    <w:qFormat/>
    <w:rPr>
      <w:rFonts w:ascii="Times New Roman" w:hAnsi="Times New Roman" w:cs="Times New Roman"/>
      <w:sz w:val="24"/>
      <w:szCs w:val="24"/>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lbertus MT" w:hAnsi="Albertus MT" w:cs="Albertus MT"/>
      <w:sz w:val="24"/>
      <w:szCs w:val="24"/>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PieddepageCar">
    <w:name w:val="Pied de page Car"/>
    <w:qFormat/>
    <w:rPr/>
  </w:style>
  <w:style w:type="character" w:styleId="TextedebullesCar">
    <w:name w:val="Texte de bulles Car"/>
    <w:qFormat/>
    <w:rPr>
      <w:rFonts w:ascii="Segoe UI" w:hAnsi="Segoe UI" w:cs="Segoe UI"/>
      <w:sz w:val="18"/>
      <w:szCs w:val="18"/>
    </w:rPr>
  </w:style>
  <w:style w:type="character" w:styleId="InternetLink">
    <w:name w:val="Internet Link"/>
    <w:rPr>
      <w:color w:val="0563C1"/>
      <w:u w:val="single"/>
    </w:rPr>
  </w:style>
  <w:style w:type="paragraph" w:styleId="Heading">
    <w:name w:val="Heading"/>
    <w:basedOn w:val="Normal"/>
    <w:next w:val="TextBody"/>
    <w:qFormat/>
    <w:pPr>
      <w:jc w:val="center"/>
    </w:pPr>
    <w:rPr>
      <w:rFonts w:ascii="Arial" w:hAnsi="Arial" w:cs="Arial"/>
      <w:sz w:val="32"/>
    </w:rPr>
  </w:style>
  <w:style w:type="paragraph" w:styleId="TextBody">
    <w:name w:val="Body Text"/>
    <w:basedOn w:val="Normal"/>
    <w:pPr>
      <w:jc w:val="both"/>
    </w:pPr>
    <w:rPr>
      <w:rFonts w:ascii="Arial" w:hAnsi="Arial" w:cs="Arial"/>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536" w:leader="none"/>
        <w:tab w:val="right" w:pos="9072" w:leader="none"/>
      </w:tabs>
    </w:pPr>
    <w:rPr/>
  </w:style>
  <w:style w:type="paragraph" w:styleId="TextBodyIndent">
    <w:name w:val="Body Text Indent"/>
    <w:basedOn w:val="Normal"/>
    <w:pPr>
      <w:ind w:left="426" w:hanging="0"/>
      <w:jc w:val="both"/>
    </w:pPr>
    <w:rPr>
      <w:rFonts w:ascii="Arial" w:hAnsi="Arial" w:cs="Arial"/>
    </w:rPr>
  </w:style>
  <w:style w:type="paragraph" w:styleId="Header">
    <w:name w:val="Header"/>
    <w:basedOn w:val="Normal"/>
    <w:pPr>
      <w:tabs>
        <w:tab w:val="center" w:pos="4536" w:leader="none"/>
        <w:tab w:val="right" w:pos="9072" w:leader="none"/>
      </w:tabs>
    </w:pPr>
    <w:rPr/>
  </w:style>
  <w:style w:type="paragraph" w:styleId="Retraitcorpsdetexte2">
    <w:name w:val="Retrait corps de texte 2"/>
    <w:basedOn w:val="Normal"/>
    <w:qFormat/>
    <w:pPr>
      <w:tabs>
        <w:tab w:val="left" w:pos="284" w:leader="none"/>
      </w:tabs>
      <w:ind w:left="284" w:hanging="284"/>
      <w:jc w:val="both"/>
    </w:pPr>
    <w:rPr>
      <w:rFonts w:ascii="Arial" w:hAnsi="Arial" w:cs="Arial"/>
    </w:rPr>
  </w:style>
  <w:style w:type="paragraph" w:styleId="Retraitcorpsdetexte3">
    <w:name w:val="Retrait corps de texte 3"/>
    <w:basedOn w:val="Normal"/>
    <w:qFormat/>
    <w:pPr>
      <w:spacing w:before="0" w:after="240"/>
      <w:ind w:left="284" w:hanging="0"/>
      <w:jc w:val="both"/>
    </w:pPr>
    <w:rPr>
      <w:rFonts w:ascii="Arial" w:hAnsi="Arial" w:cs="Arial"/>
    </w:rPr>
  </w:style>
  <w:style w:type="paragraph" w:styleId="Normalcentr">
    <w:name w:val="Normal centré"/>
    <w:basedOn w:val="Normal"/>
    <w:qFormat/>
    <w:pPr>
      <w:pBdr>
        <w:top w:val="single" w:sz="18" w:space="10" w:color="000000" w:shadow="1"/>
        <w:left w:val="single" w:sz="18" w:space="10" w:color="000000" w:shadow="1"/>
        <w:bottom w:val="single" w:sz="18" w:space="10" w:color="000000" w:shadow="1"/>
        <w:right w:val="single" w:sz="18" w:space="10" w:color="000000" w:shadow="1"/>
      </w:pBdr>
      <w:shd w:fill="E5E5E5" w:val="clear"/>
      <w:ind w:left="1247" w:right="1247" w:hanging="0"/>
      <w:jc w:val="center"/>
    </w:pPr>
    <w:rPr>
      <w:b/>
      <w:sz w:val="24"/>
    </w:rPr>
  </w:style>
  <w:style w:type="paragraph" w:styleId="Corpsdetexte2">
    <w:name w:val="Corps de texte 2"/>
    <w:basedOn w:val="Normal"/>
    <w:qFormat/>
    <w:pPr>
      <w:jc w:val="both"/>
    </w:pPr>
    <w:rPr>
      <w:rFonts w:ascii="Arial" w:hAnsi="Arial" w:cs="Arial"/>
      <w:b/>
      <w:sz w:val="24"/>
      <w:u w:val="single"/>
    </w:rPr>
  </w:style>
  <w:style w:type="paragraph" w:styleId="Corpsdetexte3">
    <w:name w:val="Corps de texte 3"/>
    <w:basedOn w:val="Normal"/>
    <w:qFormat/>
    <w:pPr>
      <w:jc w:val="both"/>
    </w:pPr>
    <w:rPr>
      <w:rFonts w:ascii="Arial" w:hAnsi="Arial" w:cs="Arial"/>
      <w:b/>
      <w:bCs/>
    </w:rPr>
  </w:style>
  <w:style w:type="paragraph" w:styleId="NormalWeb">
    <w:name w:val="Normal (Web)"/>
    <w:basedOn w:val="Normal"/>
    <w:qFormat/>
    <w:pPr>
      <w:spacing w:before="100" w:after="100"/>
    </w:pPr>
    <w:rPr>
      <w:sz w:val="24"/>
      <w:szCs w:val="24"/>
      <w:lang w:val="en-US"/>
    </w:rPr>
  </w:style>
  <w:style w:type="paragraph" w:styleId="Textedebulles">
    <w:name w:val="Texte de bulles"/>
    <w:basedOn w:val="Normal"/>
    <w:qFormat/>
    <w:pPr/>
    <w:rPr>
      <w:rFonts w:ascii="Segoe UI" w:hAnsi="Segoe UI" w:cs="Segoe UI"/>
      <w:sz w:val="18"/>
      <w:szCs w:val="18"/>
    </w:rPr>
  </w:style>
  <w:style w:type="paragraph" w:styleId="Default">
    <w:name w:val="Default"/>
    <w:qFormat/>
    <w:pPr>
      <w:widowControl/>
      <w:autoSpaceDE w:val="false"/>
    </w:pPr>
    <w:rPr>
      <w:rFonts w:ascii="Times New Roman" w:hAnsi="Times New Roman" w:eastAsia="Times New Roman" w:cs="Times New Roman"/>
      <w:color w:val="000000"/>
      <w:sz w:val="24"/>
      <w:szCs w:val="24"/>
      <w:lang w:val="fr-FR"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2022-07-27T16:16:00Z</dcterms:created>
  <dc:creator/>
  <dc:description/>
  <dc:language>en-GB</dc:language>
  <cp:lastModifiedBy/>
  <cp:lastPrinted>2021-01-28T09:52:00Z</cp:lastPrinted>
  <dcterms:modified xsi:type="dcterms:W3CDTF">2022-07-27T16:16:00Z</dcterms:modified>
  <cp:revision>2</cp:revision>
  <dc:subject/>
  <dc:title>Schneider Electric Industries S</dc:title>
</cp:coreProperties>
</file>