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2E1374B" w14:textId="5F3C0766" w:rsidP="001F4DA4" w:rsidR="00592BB0" w:rsidRDefault="00592BB0">
      <w:pPr>
        <w:pStyle w:val="Titre"/>
        <w:pBdr>
          <w:bottom w:color="auto" w:space="1" w:sz="6" w:val="single"/>
        </w:pBdr>
        <w:spacing w:before="120"/>
      </w:pPr>
      <w:r>
        <w:t>Accord salarial 20</w:t>
      </w:r>
      <w:r w:rsidR="00E90678">
        <w:t>23</w:t>
      </w:r>
    </w:p>
    <w:p w14:paraId="051306ED" w14:textId="77777777" w:rsidP="001F4DA4" w:rsidR="005C2BC6" w:rsidRDefault="00592BB0">
      <w:pPr>
        <w:pStyle w:val="Titre"/>
        <w:pBdr>
          <w:bottom w:color="auto" w:space="1" w:sz="6" w:val="single"/>
        </w:pBdr>
        <w:spacing w:before="120"/>
      </w:pPr>
      <w:proofErr w:type="spellStart"/>
      <w:r>
        <w:t>Saft</w:t>
      </w:r>
      <w:proofErr w:type="spellEnd"/>
      <w:r>
        <w:t xml:space="preserve"> SAS</w:t>
      </w:r>
    </w:p>
    <w:p w14:paraId="45FD5AEF" w14:textId="77777777" w:rsidP="00A3740C" w:rsidR="008D3FC0" w:rsidRDefault="008D3FC0">
      <w:pPr>
        <w:pStyle w:val="Sansinterligne"/>
        <w:spacing w:after="40"/>
        <w:jc w:val="both"/>
        <w:rPr>
          <w:rFonts w:cstheme="minorHAnsi"/>
        </w:rPr>
      </w:pPr>
    </w:p>
    <w:p w14:paraId="23965C71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Entre la société </w:t>
      </w:r>
      <w:proofErr w:type="spellStart"/>
      <w:r w:rsidRPr="00F41127">
        <w:rPr>
          <w:rFonts w:cstheme="minorHAnsi"/>
        </w:rPr>
        <w:t>Saft</w:t>
      </w:r>
      <w:proofErr w:type="spellEnd"/>
      <w:r w:rsidRPr="00F41127">
        <w:rPr>
          <w:rFonts w:cstheme="minorHAnsi"/>
        </w:rPr>
        <w:t xml:space="preserve"> SAS, </w:t>
      </w:r>
    </w:p>
    <w:p w14:paraId="5A6517D1" w14:textId="3DDD52A5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Représentée par </w:t>
      </w:r>
      <w:r w:rsidR="00827F7E">
        <w:rPr>
          <w:rFonts w:cstheme="minorHAnsi"/>
        </w:rPr>
        <w:t>XXXX</w:t>
      </w:r>
      <w:r w:rsidR="00E90678">
        <w:rPr>
          <w:rFonts w:cstheme="minorHAnsi"/>
        </w:rPr>
        <w:t xml:space="preserve"> et </w:t>
      </w:r>
      <w:r w:rsidR="00827F7E">
        <w:rPr>
          <w:rFonts w:cstheme="minorHAnsi"/>
        </w:rPr>
        <w:t>XXXX</w:t>
      </w:r>
    </w:p>
    <w:p w14:paraId="734F92AD" w14:textId="69A1869C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Agissant en qualité de Directeur</w:t>
      </w:r>
      <w:r w:rsidR="00E90678">
        <w:rPr>
          <w:rFonts w:cstheme="minorHAnsi"/>
        </w:rPr>
        <w:t>s</w:t>
      </w:r>
      <w:r w:rsidRPr="00F41127">
        <w:rPr>
          <w:rFonts w:cstheme="minorHAnsi"/>
        </w:rPr>
        <w:t xml:space="preserve"> des Ressources Humaines</w:t>
      </w:r>
    </w:p>
    <w:p w14:paraId="4EBAEA50" w14:textId="77777777" w:rsidP="008D3FC0" w:rsidR="00A3740C" w:rsidRDefault="00A3740C" w:rsidRPr="00F41127">
      <w:pPr>
        <w:pStyle w:val="Sansinterligne"/>
        <w:spacing w:before="40"/>
        <w:jc w:val="right"/>
        <w:rPr>
          <w:rFonts w:cstheme="minorHAnsi"/>
        </w:rPr>
      </w:pPr>
      <w:r w:rsidRPr="00F41127">
        <w:rPr>
          <w:rFonts w:cstheme="minorHAnsi"/>
        </w:rPr>
        <w:t>D'une part,</w:t>
      </w:r>
    </w:p>
    <w:p w14:paraId="73BBD574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Et</w:t>
      </w:r>
    </w:p>
    <w:p w14:paraId="07F8AD8B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Les Organisations Syndicales représentatives</w:t>
      </w:r>
    </w:p>
    <w:p w14:paraId="6A265E46" w14:textId="311DDCE6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CFDT, représentée par </w:t>
      </w:r>
      <w:r w:rsidR="00827F7E">
        <w:rPr>
          <w:rFonts w:cstheme="minorHAnsi"/>
        </w:rPr>
        <w:t>XXXX</w:t>
      </w:r>
      <w:r w:rsidRPr="00F41127">
        <w:rPr>
          <w:rFonts w:cstheme="minorHAnsi"/>
        </w:rPr>
        <w:t>, délégué syndical central</w:t>
      </w:r>
    </w:p>
    <w:p w14:paraId="5CFB86C8" w14:textId="40D42180" w:rsidP="008D3FC0" w:rsidR="00A3740C" w:rsidRDefault="00A3740C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CFE-CGC, représentée par </w:t>
      </w:r>
      <w:r w:rsidR="00827F7E">
        <w:rPr>
          <w:rFonts w:cstheme="minorHAnsi"/>
        </w:rPr>
        <w:t>XXXX</w:t>
      </w:r>
      <w:r w:rsidRPr="00F41127">
        <w:rPr>
          <w:rFonts w:cstheme="minorHAnsi"/>
        </w:rPr>
        <w:t>, délégué syndical central</w:t>
      </w:r>
    </w:p>
    <w:p w14:paraId="386EA151" w14:textId="5B4A5015" w:rsidP="00FD51FD" w:rsidR="00FD51FD" w:rsidRDefault="00FD51FD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CGT, représentée par </w:t>
      </w:r>
      <w:r w:rsidR="00827F7E">
        <w:rPr>
          <w:rFonts w:cstheme="minorHAnsi"/>
        </w:rPr>
        <w:t>XXXX</w:t>
      </w:r>
      <w:r w:rsidRPr="00F41127">
        <w:rPr>
          <w:rFonts w:cstheme="minorHAnsi"/>
        </w:rPr>
        <w:t>, délégué syndical central</w:t>
      </w:r>
    </w:p>
    <w:p w14:paraId="072F612B" w14:textId="77777777" w:rsidP="008D3FC0" w:rsidR="00FD51FD" w:rsidRDefault="00FD51FD" w:rsidRPr="00F41127">
      <w:pPr>
        <w:pStyle w:val="Sansinterligne"/>
        <w:spacing w:before="40"/>
        <w:jc w:val="both"/>
        <w:rPr>
          <w:rFonts w:cstheme="minorHAnsi"/>
        </w:rPr>
      </w:pPr>
    </w:p>
    <w:p w14:paraId="3FAF5FB3" w14:textId="77777777" w:rsidP="008D3FC0" w:rsidR="00A3740C" w:rsidRDefault="00A3740C" w:rsidRPr="00F41127">
      <w:pPr>
        <w:pStyle w:val="Sansinterligne"/>
        <w:spacing w:before="40"/>
        <w:jc w:val="right"/>
        <w:rPr>
          <w:rFonts w:cstheme="minorHAnsi"/>
        </w:rPr>
      </w:pPr>
      <w:r w:rsidRPr="00F41127">
        <w:rPr>
          <w:rFonts w:cstheme="minorHAnsi"/>
        </w:rPr>
        <w:t xml:space="preserve">D'autre part ; </w:t>
      </w:r>
    </w:p>
    <w:p w14:paraId="45F72EE4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Il a été convenu et arrêté ce qui suit,</w:t>
      </w:r>
    </w:p>
    <w:sdt>
      <w:sdtPr>
        <w:rPr>
          <w:rFonts w:asciiTheme="minorHAnsi" w:cstheme="minorBidi" w:eastAsiaTheme="minorHAnsi" w:hAnsiTheme="minorHAnsi"/>
          <w:color w:val="auto"/>
          <w:sz w:val="20"/>
          <w:szCs w:val="20"/>
          <w:lang w:eastAsia="en-US"/>
        </w:rPr>
        <w:id w:val="1615408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EA79A" w14:textId="77777777" w:rsidR="001F02DC" w:rsidRDefault="001F02DC" w:rsidRPr="00F82A55">
          <w:pPr>
            <w:pStyle w:val="En-ttedetabledesmatires"/>
            <w:rPr>
              <w:b/>
              <w:color w:val="C00000"/>
              <w:sz w:val="20"/>
              <w:szCs w:val="28"/>
            </w:rPr>
          </w:pPr>
          <w:r w:rsidRPr="00F82A55">
            <w:rPr>
              <w:b/>
              <w:color w:val="C00000"/>
              <w:sz w:val="20"/>
              <w:szCs w:val="28"/>
            </w:rPr>
            <w:t>SOMMAIRE</w:t>
          </w:r>
        </w:p>
        <w:p w14:paraId="3857695B" w14:textId="487F527B" w:rsidR="00092B9A" w:rsidRDefault="001F02DC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r w:rsidRPr="00F82A55">
            <w:rPr>
              <w:sz w:val="20"/>
              <w:szCs w:val="20"/>
            </w:rPr>
            <w:fldChar w:fldCharType="begin"/>
          </w:r>
          <w:r w:rsidRPr="00F82A55">
            <w:rPr>
              <w:sz w:val="20"/>
              <w:szCs w:val="20"/>
            </w:rPr>
            <w:instrText xml:space="preserve"> TOC \o "1-3" \h \z \u </w:instrText>
          </w:r>
          <w:r w:rsidRPr="00F82A55">
            <w:rPr>
              <w:sz w:val="20"/>
              <w:szCs w:val="20"/>
            </w:rPr>
            <w:fldChar w:fldCharType="separate"/>
          </w:r>
          <w:hyperlink w:anchor="_Toc118876763" w:history="1">
            <w:r w:rsidR="00092B9A" w:rsidRPr="006946AE">
              <w:rPr>
                <w:rStyle w:val="Lienhypertexte"/>
                <w:noProof/>
              </w:rPr>
              <w:t>PREAMBULE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_Toc118876763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1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0C7196A9" w14:textId="31C6C657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64" w:history="1">
            <w:r w:rsidR="00092B9A" w:rsidRPr="006946AE">
              <w:rPr>
                <w:rStyle w:val="Lienhypertexte"/>
                <w:noProof/>
              </w:rPr>
              <w:t>ARTICLE 1 – CHAMP D’APPLICATION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_Toc118876764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7CAD999F" w14:textId="562705BF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65" w:history="1">
            <w:r w:rsidR="00092B9A" w:rsidRPr="006946AE">
              <w:rPr>
                <w:rStyle w:val="Lienhypertexte"/>
                <w:noProof/>
              </w:rPr>
              <w:t>ARTICLE 2 – DUREE DE L’ACCORD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_Toc118876765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2AEB6CDD" w14:textId="50CF14F7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66" w:history="1">
            <w:r w:rsidR="00092B9A" w:rsidRPr="006946AE">
              <w:rPr>
                <w:rStyle w:val="Lienhypertexte"/>
                <w:noProof/>
              </w:rPr>
              <w:t>ARTICLE 3 – DISPOSITIONS SALARIALES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_Toc118876766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24BC16C1" w14:textId="22BC3779" w:rsidR="00092B9A" w:rsidRDefault="00827F7E">
          <w:pPr>
            <w:pStyle w:val="TM2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67" w:history="1">
            <w:r w:rsidR="00092B9A" w:rsidRPr="006946AE">
              <w:rPr>
                <w:rStyle w:val="Lienhypertexte"/>
                <w:rFonts w:cstheme="majorHAnsi"/>
                <w:iCs/>
                <w:noProof/>
              </w:rPr>
              <w:t xml:space="preserve">3.1  </w:t>
            </w:r>
            <w:r w:rsidR="00092B9A">
              <w:rPr>
                <w:rStyle w:val="Lienhypertexte"/>
                <w:rFonts w:cstheme="majorHAnsi"/>
                <w:iCs/>
                <w:noProof/>
              </w:rPr>
              <w:t xml:space="preserve">     </w:t>
            </w:r>
            <w:r w:rsidR="00092B9A" w:rsidRPr="006946AE">
              <w:rPr>
                <w:rStyle w:val="Lienhypertexte"/>
                <w:rFonts w:cstheme="majorHAnsi"/>
                <w:iCs/>
                <w:noProof/>
              </w:rPr>
              <w:t>Salaire minimum Saft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_Toc118876767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5EC1B3FE" w14:textId="4ECF2749" w:rsidR="00092B9A" w:rsidRDefault="00827F7E">
          <w:pPr>
            <w:pStyle w:val="TM2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68" w:history="1">
            <w:r w:rsidR="00092B9A" w:rsidRPr="006946AE">
              <w:rPr>
                <w:rStyle w:val="Lienhypertexte"/>
                <w:rFonts w:cstheme="majorHAnsi"/>
                <w:iCs/>
                <w:noProof/>
              </w:rPr>
              <w:t xml:space="preserve">3.2  </w:t>
            </w:r>
            <w:r w:rsidR="00092B9A">
              <w:rPr>
                <w:rStyle w:val="Lienhypertexte"/>
                <w:rFonts w:cstheme="majorHAnsi"/>
                <w:iCs/>
                <w:noProof/>
              </w:rPr>
              <w:t xml:space="preserve">     </w:t>
            </w:r>
            <w:r w:rsidR="00092B9A" w:rsidRPr="006946AE">
              <w:rPr>
                <w:rStyle w:val="Lienhypertexte"/>
                <w:rFonts w:cstheme="majorHAnsi"/>
                <w:iCs/>
                <w:noProof/>
              </w:rPr>
              <w:t>Augmentation générale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_Toc118876768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4822F4DC" w14:textId="64FA92C8" w:rsidR="00092B9A" w:rsidRDefault="00827F7E">
          <w:pPr>
            <w:pStyle w:val="TM2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69" w:history="1">
            <w:r w:rsidR="00092B9A" w:rsidRPr="006946AE">
              <w:rPr>
                <w:rStyle w:val="Lienhypertexte"/>
                <w:rFonts w:cstheme="majorHAnsi"/>
                <w:iCs/>
                <w:noProof/>
              </w:rPr>
              <w:t xml:space="preserve">3.3 </w:t>
            </w:r>
            <w:r w:rsidR="00092B9A">
              <w:rPr>
                <w:rStyle w:val="Lienhypertexte"/>
                <w:rFonts w:cstheme="majorHAnsi"/>
                <w:iCs/>
                <w:noProof/>
              </w:rPr>
              <w:t xml:space="preserve">      </w:t>
            </w:r>
            <w:r w:rsidR="00092B9A" w:rsidRPr="006946AE">
              <w:rPr>
                <w:rStyle w:val="Lienhypertexte"/>
                <w:rFonts w:cstheme="majorHAnsi"/>
                <w:iCs/>
                <w:noProof/>
              </w:rPr>
              <w:t>Augmentations individuelles et promotionnelles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_Toc118876769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001870BF" w14:textId="0ADC34BE" w:rsidR="00092B9A" w:rsidRDefault="00827F7E">
          <w:pPr>
            <w:pStyle w:val="TM2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0" w:history="1">
            <w:r w:rsidR="00092B9A" w:rsidRPr="006946AE">
              <w:rPr>
                <w:rStyle w:val="Lienhypertexte"/>
                <w:rFonts w:cstheme="majorHAnsi"/>
                <w:noProof/>
              </w:rPr>
              <w:t xml:space="preserve">3.4 </w:t>
            </w:r>
            <w:r w:rsidR="00092B9A">
              <w:rPr>
                <w:rStyle w:val="Lienhypertexte"/>
                <w:rFonts w:cstheme="majorHAnsi"/>
                <w:noProof/>
              </w:rPr>
              <w:t xml:space="preserve">      </w:t>
            </w:r>
            <w:r w:rsidR="00092B9A" w:rsidRPr="006946AE">
              <w:rPr>
                <w:rStyle w:val="Lienhypertexte"/>
                <w:rFonts w:cstheme="majorHAnsi"/>
                <w:noProof/>
              </w:rPr>
              <w:t>Primes d'Equipe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_Toc118876770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44A9F42D" w14:textId="79D1DC95" w:rsidR="00092B9A" w:rsidRDefault="00827F7E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1" w:history="1">
            <w:r w:rsidR="00092B9A" w:rsidRPr="006946AE">
              <w:rPr>
                <w:rStyle w:val="Lienhypertexte"/>
                <w:noProof/>
              </w:rPr>
              <w:t>3.5</w:t>
            </w:r>
            <w:r w:rsidR="00092B9A">
              <w:rPr>
                <w:rFonts w:eastAsiaTheme="minorEastAsia"/>
                <w:noProof/>
                <w:lang w:eastAsia="fr-FR"/>
              </w:rPr>
              <w:tab/>
            </w:r>
            <w:r w:rsidR="00092B9A" w:rsidRPr="006946AE">
              <w:rPr>
                <w:rStyle w:val="Lienhypertexte"/>
                <w:noProof/>
              </w:rPr>
              <w:t>Mesures additionnelles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_Toc118876771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2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4709434E" w14:textId="70537AB5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2" w:history="1">
            <w:r w:rsidR="00092B9A" w:rsidRPr="006946AE">
              <w:rPr>
                <w:rStyle w:val="Lienhypertexte"/>
                <w:noProof/>
              </w:rPr>
              <w:t>ARTICLE 4 – PRIME DE PARTAGE DE LA VALEUR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_Toc118876772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3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4967F076" w14:textId="43D6A574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3" w:history="1">
            <w:r w:rsidR="00092B9A" w:rsidRPr="006946AE">
              <w:rPr>
                <w:rStyle w:val="Lienhypertexte"/>
                <w:noProof/>
              </w:rPr>
              <w:t>ARTICLE 5 – EVOLUTION DE l’INFLATION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_Toc118876773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4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3380B2A3" w14:textId="4AE06CFB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4" w:history="1">
            <w:r w:rsidR="00092B9A" w:rsidRPr="006946AE">
              <w:rPr>
                <w:rStyle w:val="Lienhypertexte"/>
                <w:noProof/>
              </w:rPr>
              <w:t>ARTICLE 6 – AUTRES THEMES QUI FERONT L’OBJET D’ECHANGES AU COURS DE L’ANNEE 2023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_Toc118876774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4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6B51F3E6" w14:textId="08FD9358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5" w:history="1">
            <w:r w:rsidR="00092B9A" w:rsidRPr="006946AE">
              <w:rPr>
                <w:rStyle w:val="Lienhypertexte"/>
                <w:noProof/>
              </w:rPr>
              <w:t>ARTICLE 7 – REGLEMENT DES DIFFERENDS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_Toc118876775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4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4206B2D8" w14:textId="3F4C4CC4" w:rsidR="00092B9A" w:rsidRDefault="00827F7E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118876776" w:history="1">
            <w:r w:rsidR="00092B9A" w:rsidRPr="006946AE">
              <w:rPr>
                <w:rStyle w:val="Lienhypertexte"/>
                <w:noProof/>
              </w:rPr>
              <w:t>ARTICLE 8 – DÉPÔT ET PUBLICITE</w:t>
            </w:r>
            <w:r w:rsidR="00092B9A">
              <w:rPr>
                <w:noProof/>
                <w:webHidden/>
              </w:rPr>
              <w:tab/>
            </w:r>
            <w:r w:rsidR="00092B9A">
              <w:rPr>
                <w:noProof/>
                <w:webHidden/>
              </w:rPr>
              <w:fldChar w:fldCharType="begin"/>
            </w:r>
            <w:r w:rsidR="00092B9A">
              <w:rPr>
                <w:noProof/>
                <w:webHidden/>
              </w:rPr>
              <w:instrText xml:space="preserve"> PAGEREF _Toc118876776 \h </w:instrText>
            </w:r>
            <w:r w:rsidR="00092B9A">
              <w:rPr>
                <w:noProof/>
                <w:webHidden/>
              </w:rPr>
            </w:r>
            <w:r w:rsidR="00092B9A">
              <w:rPr>
                <w:noProof/>
                <w:webHidden/>
              </w:rPr>
              <w:fldChar w:fldCharType="separate"/>
            </w:r>
            <w:r w:rsidR="001558B8">
              <w:rPr>
                <w:noProof/>
                <w:webHidden/>
              </w:rPr>
              <w:t>4</w:t>
            </w:r>
            <w:r w:rsidR="00092B9A">
              <w:rPr>
                <w:noProof/>
                <w:webHidden/>
              </w:rPr>
              <w:fldChar w:fldCharType="end"/>
            </w:r>
          </w:hyperlink>
        </w:p>
        <w:p w14:paraId="21A15025" w14:textId="1607DEB7" w:rsidR="001F02DC" w:rsidRDefault="001F02DC" w:rsidRPr="00F82A55">
          <w:pPr>
            <w:rPr>
              <w:sz w:val="20"/>
              <w:szCs w:val="20"/>
            </w:rPr>
          </w:pPr>
          <w:r w:rsidRPr="00F82A55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48C6818" w14:textId="77777777" w:rsidP="00F57E0F" w:rsidR="000E4746" w:rsidRDefault="00F41127" w:rsidRPr="00F57E0F">
      <w:pPr>
        <w:pStyle w:val="Titre1"/>
      </w:pPr>
      <w:bookmarkStart w:id="0" w:name="_Toc118876763"/>
      <w:r w:rsidRPr="00F57E0F">
        <w:t>PREAMBULE</w:t>
      </w:r>
      <w:bookmarkEnd w:id="0"/>
    </w:p>
    <w:p w14:paraId="59823397" w14:textId="36B6B07D" w:rsidP="008D3FC0" w:rsidR="005C2BC6" w:rsidRDefault="00B52E29" w:rsidRPr="001409DF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Conformément aux dispositions légales en vigueur, l</w:t>
      </w:r>
      <w:r w:rsidR="00592BB0" w:rsidRPr="00592BB0">
        <w:rPr>
          <w:rFonts w:cstheme="minorHAnsi"/>
        </w:rPr>
        <w:t xml:space="preserve">es </w:t>
      </w:r>
      <w:r w:rsidR="00592BB0" w:rsidRPr="001409DF">
        <w:rPr>
          <w:rFonts w:cstheme="minorHAnsi"/>
        </w:rPr>
        <w:t>parties se sont rencontrées</w:t>
      </w:r>
      <w:r w:rsidR="005B3AEF">
        <w:rPr>
          <w:rFonts w:cstheme="minorHAnsi"/>
        </w:rPr>
        <w:t xml:space="preserve"> de manière anticipée</w:t>
      </w:r>
      <w:r w:rsidR="00592BB0" w:rsidRPr="001409DF">
        <w:rPr>
          <w:rFonts w:cstheme="minorHAnsi"/>
        </w:rPr>
        <w:t xml:space="preserve"> lors de</w:t>
      </w:r>
      <w:r w:rsidR="0047699D" w:rsidRPr="001409DF">
        <w:rPr>
          <w:rFonts w:cstheme="minorHAnsi"/>
        </w:rPr>
        <w:t xml:space="preserve"> la réunion du 8 novembre 2022, </w:t>
      </w:r>
      <w:r w:rsidR="00592BB0" w:rsidRPr="001409DF">
        <w:rPr>
          <w:rFonts w:cstheme="minorHAnsi"/>
        </w:rPr>
        <w:t xml:space="preserve">dans le cadre des Négociations Annuelles Obligatoires </w:t>
      </w:r>
      <w:r w:rsidR="005B3AEF">
        <w:rPr>
          <w:rFonts w:cstheme="minorHAnsi"/>
        </w:rPr>
        <w:t xml:space="preserve">2023 </w:t>
      </w:r>
      <w:r w:rsidR="00592BB0" w:rsidRPr="001409DF">
        <w:rPr>
          <w:rFonts w:cstheme="minorHAnsi"/>
        </w:rPr>
        <w:t>sur les salaires.</w:t>
      </w:r>
    </w:p>
    <w:p w14:paraId="7301FDA5" w14:textId="2A82A66B" w:rsidP="008D3FC0" w:rsidR="00B52E29" w:rsidRDefault="00B52E29">
      <w:pPr>
        <w:pStyle w:val="Sansinterligne"/>
        <w:spacing w:before="40"/>
        <w:jc w:val="both"/>
        <w:rPr>
          <w:rFonts w:cstheme="minorHAnsi"/>
        </w:rPr>
      </w:pPr>
      <w:r w:rsidRPr="001409DF">
        <w:rPr>
          <w:rFonts w:cstheme="minorHAnsi"/>
        </w:rPr>
        <w:t>Les mesures négociées tienne</w:t>
      </w:r>
      <w:r w:rsidR="002A3128" w:rsidRPr="001409DF">
        <w:rPr>
          <w:rFonts w:cstheme="minorHAnsi"/>
        </w:rPr>
        <w:t>nt compte des résultats</w:t>
      </w:r>
      <w:r w:rsidR="00614257" w:rsidRPr="001409DF">
        <w:rPr>
          <w:rFonts w:cstheme="minorHAnsi"/>
        </w:rPr>
        <w:t xml:space="preserve"> connus</w:t>
      </w:r>
      <w:r w:rsidR="002A3128" w:rsidRPr="001409DF">
        <w:rPr>
          <w:rFonts w:cstheme="minorHAnsi"/>
        </w:rPr>
        <w:t xml:space="preserve"> de l’entreprise </w:t>
      </w:r>
      <w:r w:rsidRPr="001409DF">
        <w:rPr>
          <w:rFonts w:cstheme="minorHAnsi"/>
        </w:rPr>
        <w:t>en 20</w:t>
      </w:r>
      <w:r w:rsidR="0047699D" w:rsidRPr="001409DF">
        <w:rPr>
          <w:rFonts w:cstheme="minorHAnsi"/>
        </w:rPr>
        <w:t>22</w:t>
      </w:r>
      <w:r w:rsidRPr="001409DF">
        <w:rPr>
          <w:rFonts w:cstheme="minorHAnsi"/>
        </w:rPr>
        <w:t>, dans</w:t>
      </w:r>
      <w:r w:rsidRPr="00614257">
        <w:rPr>
          <w:rFonts w:cstheme="minorHAnsi"/>
        </w:rPr>
        <w:t xml:space="preserve"> un environnement économique toujours marqué par une forte volatilité</w:t>
      </w:r>
      <w:r w:rsidR="005B3AEF">
        <w:rPr>
          <w:rFonts w:cstheme="minorHAnsi"/>
        </w:rPr>
        <w:t xml:space="preserve"> et une inflation élevée</w:t>
      </w:r>
      <w:r w:rsidRPr="00614257">
        <w:rPr>
          <w:rFonts w:cstheme="minorHAnsi"/>
        </w:rPr>
        <w:t xml:space="preserve">. Elles </w:t>
      </w:r>
      <w:r w:rsidRPr="00614257">
        <w:rPr>
          <w:rFonts w:cstheme="minorHAnsi"/>
        </w:rPr>
        <w:lastRenderedPageBreak/>
        <w:t>visent à récompenser la performance des salariés et ainsi reconnaitre la contribution de chacun à ces ré</w:t>
      </w:r>
      <w:r w:rsidR="00B948AF" w:rsidRPr="00614257">
        <w:rPr>
          <w:rFonts w:cstheme="minorHAnsi"/>
        </w:rPr>
        <w:t>sultats</w:t>
      </w:r>
      <w:r w:rsidR="00A00C44" w:rsidRPr="00614257">
        <w:rPr>
          <w:rFonts w:cstheme="minorHAnsi"/>
        </w:rPr>
        <w:t>,</w:t>
      </w:r>
      <w:r w:rsidR="00B948AF" w:rsidRPr="00614257">
        <w:rPr>
          <w:rFonts w:cstheme="minorHAnsi"/>
        </w:rPr>
        <w:t xml:space="preserve"> tout en préservant la compétitivité et les objectifs de croissance</w:t>
      </w:r>
      <w:r w:rsidR="00A00C44" w:rsidRPr="00614257">
        <w:rPr>
          <w:rFonts w:cstheme="minorHAnsi"/>
        </w:rPr>
        <w:t xml:space="preserve"> de l’entreprise.</w:t>
      </w:r>
    </w:p>
    <w:p w14:paraId="189BF58A" w14:textId="77777777" w:rsidP="00A52448" w:rsidR="00F41127" w:rsidRDefault="00F41127">
      <w:pPr>
        <w:pStyle w:val="Titre1"/>
      </w:pPr>
      <w:bookmarkStart w:id="1" w:name="_Toc118876764"/>
      <w:r>
        <w:t xml:space="preserve">ARTICLE 1 – </w:t>
      </w:r>
      <w:r w:rsidR="00C10920">
        <w:t>CHAMP D’APPLICATION</w:t>
      </w:r>
      <w:bookmarkEnd w:id="1"/>
    </w:p>
    <w:p w14:paraId="32276921" w14:textId="77777777" w:rsidP="00601DEE" w:rsidR="00C10920" w:rsidRDefault="00C10920">
      <w:pPr>
        <w:pStyle w:val="Sansinterligne"/>
        <w:jc w:val="both"/>
      </w:pPr>
      <w:r w:rsidRPr="00C10920">
        <w:t xml:space="preserve">Le présent accord s'applique à l'ensemble des </w:t>
      </w:r>
      <w:r>
        <w:t xml:space="preserve">établissements de la société </w:t>
      </w:r>
      <w:proofErr w:type="spellStart"/>
      <w:r>
        <w:t>Saft</w:t>
      </w:r>
      <w:proofErr w:type="spellEnd"/>
      <w:r>
        <w:t xml:space="preserve"> SAS.</w:t>
      </w:r>
    </w:p>
    <w:p w14:paraId="2CF8E118" w14:textId="77777777" w:rsidP="00C10920" w:rsidR="00C10920" w:rsidRDefault="00C10920">
      <w:pPr>
        <w:pStyle w:val="Sansinterligne"/>
        <w:spacing w:before="40"/>
        <w:jc w:val="both"/>
      </w:pPr>
    </w:p>
    <w:p w14:paraId="62E021D8" w14:textId="77777777" w:rsidP="00C10920" w:rsidR="00C10920" w:rsidRDefault="00C10920">
      <w:pPr>
        <w:pStyle w:val="Titre1"/>
      </w:pPr>
      <w:bookmarkStart w:id="2" w:name="_Toc118876765"/>
      <w:r>
        <w:t>ARTICLE 2 – DUREE DE L’ACCORD</w:t>
      </w:r>
      <w:bookmarkEnd w:id="2"/>
    </w:p>
    <w:p w14:paraId="4B7F4A4A" w14:textId="359247DC" w:rsidP="00601DEE" w:rsidR="00C10920" w:rsidRDefault="00C10920">
      <w:pPr>
        <w:pStyle w:val="Sansinterligne"/>
        <w:jc w:val="both"/>
      </w:pPr>
      <w:r w:rsidRPr="00C10920">
        <w:t>L</w:t>
      </w:r>
      <w:r>
        <w:t xml:space="preserve">e présent accord s'applique </w:t>
      </w:r>
      <w:r w:rsidRPr="005B3AEF">
        <w:t>du 1</w:t>
      </w:r>
      <w:r w:rsidRPr="005B3AEF">
        <w:rPr>
          <w:vertAlign w:val="superscript"/>
        </w:rPr>
        <w:t>er</w:t>
      </w:r>
      <w:r w:rsidRPr="005B3AEF">
        <w:t xml:space="preserve"> </w:t>
      </w:r>
      <w:r w:rsidR="008F64DD" w:rsidRPr="005B3AEF">
        <w:t>décembre</w:t>
      </w:r>
      <w:r w:rsidRPr="005B3AEF">
        <w:t xml:space="preserve"> 20</w:t>
      </w:r>
      <w:r w:rsidR="0047699D" w:rsidRPr="005B3AEF">
        <w:t>2</w:t>
      </w:r>
      <w:r w:rsidR="008F64DD" w:rsidRPr="005B3AEF">
        <w:t>2</w:t>
      </w:r>
      <w:r w:rsidRPr="005B3AEF">
        <w:t xml:space="preserve"> au 31</w:t>
      </w:r>
      <w:r w:rsidRPr="00E90EAF">
        <w:t xml:space="preserve"> décembre 20</w:t>
      </w:r>
      <w:r w:rsidR="0047699D" w:rsidRPr="00E90EAF">
        <w:t>23</w:t>
      </w:r>
      <w:r w:rsidRPr="00E90EAF">
        <w:t>.</w:t>
      </w:r>
    </w:p>
    <w:p w14:paraId="6D51C528" w14:textId="77777777" w:rsidP="00C10920" w:rsidR="00C10920" w:rsidRDefault="00C10920" w:rsidRPr="00C10920">
      <w:pPr>
        <w:pStyle w:val="Sansinterligne"/>
        <w:spacing w:before="40"/>
        <w:jc w:val="both"/>
      </w:pPr>
    </w:p>
    <w:p w14:paraId="75058C49" w14:textId="77777777" w:rsidP="00C10920" w:rsidR="00C10920" w:rsidRDefault="00C10920">
      <w:pPr>
        <w:pStyle w:val="Titre1"/>
      </w:pPr>
      <w:bookmarkStart w:id="3" w:name="_Toc118876766"/>
      <w:r>
        <w:t>ARTICLE 3 – DISPOSITIONS SALARIALES</w:t>
      </w:r>
      <w:bookmarkEnd w:id="3"/>
    </w:p>
    <w:p w14:paraId="70E3B6FD" w14:textId="36BC174E" w:rsidP="00601DEE" w:rsidR="00601DEE" w:rsidRDefault="00601DEE">
      <w:pPr>
        <w:pStyle w:val="Sansinterligne"/>
        <w:jc w:val="both"/>
      </w:pPr>
      <w:r w:rsidRPr="00601DEE">
        <w:t>Les parties signataires s'entendent</w:t>
      </w:r>
      <w:r w:rsidR="00092B9A">
        <w:t xml:space="preserve"> sur un effort particulier à mener sur les premiers niveaux de salaire ainsi que</w:t>
      </w:r>
      <w:r w:rsidRPr="00601DEE">
        <w:t xml:space="preserve"> sur le principe d'une évolution globale moyenne </w:t>
      </w:r>
      <w:r w:rsidRPr="001409DF">
        <w:t xml:space="preserve">de </w:t>
      </w:r>
      <w:r w:rsidR="001409DF" w:rsidRPr="001409DF">
        <w:rPr>
          <w:b/>
        </w:rPr>
        <w:t>5,5</w:t>
      </w:r>
      <w:r w:rsidRPr="001409DF">
        <w:rPr>
          <w:b/>
        </w:rPr>
        <w:t>%</w:t>
      </w:r>
      <w:r w:rsidRPr="00601DEE">
        <w:t xml:space="preserve"> de la masse des rémunér</w:t>
      </w:r>
      <w:r>
        <w:t>ations, au titre de l'année 20</w:t>
      </w:r>
      <w:r w:rsidR="0047699D">
        <w:t>2</w:t>
      </w:r>
      <w:r w:rsidR="008F64DD">
        <w:t>3</w:t>
      </w:r>
      <w:r w:rsidRPr="00601DEE">
        <w:t>.</w:t>
      </w:r>
    </w:p>
    <w:p w14:paraId="48847601" w14:textId="77777777" w:rsidP="00601DEE" w:rsidR="00092B9A" w:rsidRDefault="00092B9A">
      <w:pPr>
        <w:pStyle w:val="Sansinterligne"/>
        <w:jc w:val="both"/>
      </w:pPr>
    </w:p>
    <w:p w14:paraId="3C2E9FDA" w14:textId="417F4D0B" w:rsidP="00092B9A" w:rsidR="00092B9A" w:rsidRDefault="00092B9A" w:rsidRPr="00092B9A">
      <w:pPr>
        <w:pStyle w:val="Titre2"/>
        <w:numPr>
          <w:ilvl w:val="0"/>
          <w:numId w:val="0"/>
        </w:numPr>
        <w:ind w:left="1428"/>
        <w:rPr>
          <w:rStyle w:val="Accentuationintense"/>
          <w:i/>
        </w:rPr>
      </w:pPr>
      <w:bookmarkStart w:id="4" w:name="_Toc118876767"/>
      <w:proofErr w:type="gramStart"/>
      <w:r w:rsidRPr="00092B9A">
        <w:rPr>
          <w:rStyle w:val="Accentuationintense"/>
          <w:i/>
        </w:rPr>
        <w:t>3.1  Salaire</w:t>
      </w:r>
      <w:proofErr w:type="gramEnd"/>
      <w:r w:rsidRPr="00092B9A">
        <w:rPr>
          <w:rStyle w:val="Accentuationintense"/>
          <w:i/>
        </w:rPr>
        <w:t xml:space="preserve"> minimum </w:t>
      </w:r>
      <w:proofErr w:type="spellStart"/>
      <w:r w:rsidRPr="00092B9A">
        <w:rPr>
          <w:rStyle w:val="Accentuationintense"/>
          <w:i/>
        </w:rPr>
        <w:t>Saft</w:t>
      </w:r>
      <w:bookmarkEnd w:id="4"/>
      <w:proofErr w:type="spellEnd"/>
    </w:p>
    <w:p w14:paraId="6FA410BD" w14:textId="1F33859F" w:rsidP="00092B9A" w:rsidR="00092B9A" w:rsidRDefault="00092B9A">
      <w:pPr>
        <w:pStyle w:val="Sansinterligne"/>
        <w:jc w:val="both"/>
      </w:pPr>
      <w:r>
        <w:t>Une mesure s</w:t>
      </w:r>
      <w:r w:rsidRPr="0063675A">
        <w:t>pécifique pour les salaires les plus bas</w:t>
      </w:r>
      <w:r>
        <w:t xml:space="preserve"> est mise en œuvre au 1</w:t>
      </w:r>
      <w:r w:rsidRPr="00092B9A">
        <w:rPr>
          <w:vertAlign w:val="superscript"/>
        </w:rPr>
        <w:t>er</w:t>
      </w:r>
      <w:r>
        <w:t xml:space="preserve"> décembre 2022. Celle-ci</w:t>
      </w:r>
      <w:r w:rsidRPr="0063675A">
        <w:t>, vis</w:t>
      </w:r>
      <w:r>
        <w:t xml:space="preserve">e </w:t>
      </w:r>
      <w:r w:rsidRPr="0063675A">
        <w:t xml:space="preserve">à les positionner à un minimum salarial de 2 000 euros bruts calculés sur 12 mois (soit 1 846,15 euros sur 13 mois). </w:t>
      </w:r>
    </w:p>
    <w:p w14:paraId="0423074B" w14:textId="2EA5A4B4" w:rsidP="00092B9A" w:rsidR="00092B9A" w:rsidRDefault="00092B9A" w:rsidRPr="0063675A">
      <w:pPr>
        <w:pStyle w:val="Sansinterligne"/>
        <w:jc w:val="both"/>
      </w:pPr>
      <w:r w:rsidRPr="0063675A">
        <w:t xml:space="preserve">Cela sera appliqué de manière progressive pour assurer une cohérence avec les positionnements salariaux actuels. </w:t>
      </w:r>
      <w:r>
        <w:t xml:space="preserve">Cette mesure correspond à une enveloppe spécifique de </w:t>
      </w:r>
      <w:r w:rsidRPr="00092B9A">
        <w:rPr>
          <w:b/>
          <w:bCs/>
        </w:rPr>
        <w:t>0,5%.</w:t>
      </w:r>
    </w:p>
    <w:p w14:paraId="2F146334" w14:textId="77777777" w:rsidP="00601DEE" w:rsidR="00092B9A" w:rsidRDefault="00092B9A" w:rsidRPr="00601DEE">
      <w:pPr>
        <w:pStyle w:val="Sansinterligne"/>
        <w:jc w:val="both"/>
      </w:pPr>
    </w:p>
    <w:p w14:paraId="161ACAC9" w14:textId="26C19111" w:rsidP="00092B9A" w:rsidR="008D3FC0" w:rsidRDefault="00C10920" w:rsidRPr="00092B9A">
      <w:pPr>
        <w:pStyle w:val="Titre2"/>
        <w:numPr>
          <w:ilvl w:val="0"/>
          <w:numId w:val="0"/>
        </w:numPr>
        <w:ind w:left="1428"/>
        <w:rPr>
          <w:rStyle w:val="Accentuationintense"/>
          <w:i/>
        </w:rPr>
      </w:pPr>
      <w:bookmarkStart w:id="5" w:name="_Toc118876768"/>
      <w:proofErr w:type="gramStart"/>
      <w:r w:rsidRPr="00092B9A">
        <w:rPr>
          <w:rStyle w:val="Accentuationintense"/>
          <w:i/>
        </w:rPr>
        <w:t>3.</w:t>
      </w:r>
      <w:r w:rsidR="00092B9A" w:rsidRPr="00092B9A">
        <w:rPr>
          <w:rStyle w:val="Accentuationintense"/>
          <w:i/>
        </w:rPr>
        <w:t>2</w:t>
      </w:r>
      <w:r w:rsidR="002A3128" w:rsidRPr="00092B9A">
        <w:rPr>
          <w:rStyle w:val="Accentuationintense"/>
          <w:i/>
        </w:rPr>
        <w:t xml:space="preserve"> </w:t>
      </w:r>
      <w:r w:rsidR="00F82A55" w:rsidRPr="00092B9A">
        <w:rPr>
          <w:rStyle w:val="Accentuationintense"/>
          <w:i/>
        </w:rPr>
        <w:t xml:space="preserve"> </w:t>
      </w:r>
      <w:r w:rsidRPr="00092B9A">
        <w:rPr>
          <w:rStyle w:val="Accentuationintense"/>
          <w:i/>
        </w:rPr>
        <w:t>Augmentation</w:t>
      </w:r>
      <w:proofErr w:type="gramEnd"/>
      <w:r w:rsidRPr="00092B9A">
        <w:rPr>
          <w:rStyle w:val="Accentuationintense"/>
          <w:i/>
        </w:rPr>
        <w:t xml:space="preserve"> générale</w:t>
      </w:r>
      <w:bookmarkEnd w:id="5"/>
    </w:p>
    <w:p w14:paraId="6702C293" w14:textId="77777777" w:rsidP="0063675A" w:rsidR="00092B9A" w:rsidRDefault="00601DEE">
      <w:pPr>
        <w:pStyle w:val="Sansinterligne"/>
        <w:jc w:val="both"/>
      </w:pPr>
      <w:r w:rsidRPr="0063675A">
        <w:t xml:space="preserve">Une mesure générale </w:t>
      </w:r>
      <w:r w:rsidR="00E50773" w:rsidRPr="0063675A">
        <w:t xml:space="preserve">de </w:t>
      </w:r>
      <w:r w:rsidR="001409DF" w:rsidRPr="0063675A">
        <w:rPr>
          <w:b/>
          <w:bCs/>
        </w:rPr>
        <w:t>5,1</w:t>
      </w:r>
      <w:r w:rsidR="0047699D" w:rsidRPr="0063675A">
        <w:rPr>
          <w:b/>
          <w:bCs/>
        </w:rPr>
        <w:t xml:space="preserve"> </w:t>
      </w:r>
      <w:r w:rsidR="00E50773" w:rsidRPr="0063675A">
        <w:rPr>
          <w:b/>
          <w:bCs/>
        </w:rPr>
        <w:t>%</w:t>
      </w:r>
      <w:r w:rsidR="00E50773" w:rsidRPr="0063675A">
        <w:t xml:space="preserve"> </w:t>
      </w:r>
      <w:r w:rsidRPr="0063675A">
        <w:t xml:space="preserve">sera appliquée aux rémunérations des Ouvriers au </w:t>
      </w:r>
      <w:r w:rsidR="0047699D" w:rsidRPr="0063675A">
        <w:t>1</w:t>
      </w:r>
      <w:r w:rsidR="0047699D" w:rsidRPr="00092B9A">
        <w:rPr>
          <w:vertAlign w:val="superscript"/>
        </w:rPr>
        <w:t>er</w:t>
      </w:r>
      <w:r w:rsidR="00092B9A">
        <w:t xml:space="preserve"> </w:t>
      </w:r>
      <w:r w:rsidR="001409DF" w:rsidRPr="0063675A">
        <w:t>décembre</w:t>
      </w:r>
      <w:r w:rsidR="0047699D" w:rsidRPr="0063675A">
        <w:t xml:space="preserve"> 202</w:t>
      </w:r>
      <w:r w:rsidR="001409DF" w:rsidRPr="0063675A">
        <w:t>2</w:t>
      </w:r>
      <w:r w:rsidR="00092B9A">
        <w:t>, avec un minimum de 100€ bruts mensuels.</w:t>
      </w:r>
    </w:p>
    <w:p w14:paraId="47D4F28E" w14:textId="77777777" w:rsidP="00601DEE" w:rsidR="00A36F5A" w:rsidRDefault="00A36F5A">
      <w:pPr>
        <w:pStyle w:val="Sansinterligne"/>
        <w:spacing w:before="40"/>
        <w:jc w:val="both"/>
        <w:rPr>
          <w:rFonts w:cstheme="minorHAnsi"/>
          <w:iCs/>
        </w:rPr>
      </w:pPr>
    </w:p>
    <w:p w14:paraId="6F969EF5" w14:textId="0E6A23E0" w:rsidP="00E50773" w:rsidR="00A969F6" w:rsidRDefault="00E50773" w:rsidRPr="00601DEE">
      <w:pPr>
        <w:pStyle w:val="Sansinterligne"/>
        <w:spacing w:before="40"/>
        <w:jc w:val="both"/>
        <w:rPr>
          <w:rFonts w:cstheme="minorHAnsi"/>
          <w:iCs/>
        </w:rPr>
      </w:pPr>
      <w:r w:rsidRPr="0061476E">
        <w:rPr>
          <w:rFonts w:cstheme="minorHAnsi"/>
          <w:iCs/>
        </w:rPr>
        <w:t xml:space="preserve">Une mesure générale de </w:t>
      </w:r>
      <w:r w:rsidR="001409DF" w:rsidRPr="0061476E">
        <w:rPr>
          <w:rFonts w:cstheme="minorHAnsi"/>
          <w:b/>
          <w:iCs/>
        </w:rPr>
        <w:t>4,9</w:t>
      </w:r>
      <w:r w:rsidR="0047699D" w:rsidRPr="0061476E">
        <w:rPr>
          <w:rFonts w:cstheme="minorHAnsi"/>
          <w:b/>
          <w:iCs/>
        </w:rPr>
        <w:t xml:space="preserve"> </w:t>
      </w:r>
      <w:r w:rsidRPr="0061476E">
        <w:rPr>
          <w:rFonts w:cstheme="minorHAnsi"/>
          <w:b/>
          <w:iCs/>
        </w:rPr>
        <w:t>%</w:t>
      </w:r>
      <w:r w:rsidRPr="0061476E">
        <w:rPr>
          <w:rFonts w:cstheme="minorHAnsi"/>
          <w:iCs/>
        </w:rPr>
        <w:t xml:space="preserve"> sera appliquée aux rémunérations des </w:t>
      </w:r>
      <w:r w:rsidR="00F779C4" w:rsidRPr="0061476E">
        <w:rPr>
          <w:rFonts w:cstheme="minorHAnsi"/>
          <w:iCs/>
        </w:rPr>
        <w:t>ETAM</w:t>
      </w:r>
      <w:r w:rsidRPr="0061476E">
        <w:rPr>
          <w:rFonts w:cstheme="minorHAnsi"/>
          <w:iCs/>
        </w:rPr>
        <w:t xml:space="preserve"> au </w:t>
      </w:r>
      <w:r w:rsidR="0047699D" w:rsidRPr="0061476E">
        <w:rPr>
          <w:rFonts w:cstheme="minorHAnsi"/>
          <w:iCs/>
        </w:rPr>
        <w:t>1</w:t>
      </w:r>
      <w:r w:rsidR="0047699D" w:rsidRPr="0061476E">
        <w:rPr>
          <w:rFonts w:cstheme="minorHAnsi"/>
          <w:iCs/>
          <w:vertAlign w:val="superscript"/>
        </w:rPr>
        <w:t>er</w:t>
      </w:r>
      <w:r w:rsidR="008F64DD" w:rsidRPr="0061476E">
        <w:rPr>
          <w:rFonts w:cstheme="minorHAnsi"/>
          <w:iCs/>
        </w:rPr>
        <w:t xml:space="preserve"> décembre 2022</w:t>
      </w:r>
      <w:r w:rsidR="00574805" w:rsidRPr="0061476E">
        <w:rPr>
          <w:rFonts w:cstheme="minorHAnsi"/>
          <w:iCs/>
        </w:rPr>
        <w:t>, avec un minimum de 100€ bruts mensuels.</w:t>
      </w:r>
    </w:p>
    <w:p w14:paraId="3DB21EDF" w14:textId="77777777" w:rsidP="00601DEE" w:rsidR="00601DEE" w:rsidRDefault="00601DEE" w:rsidRPr="008D3FC0">
      <w:pPr>
        <w:pStyle w:val="Sansinterligne"/>
        <w:spacing w:before="40"/>
        <w:jc w:val="both"/>
        <w:rPr>
          <w:rFonts w:cstheme="minorHAnsi"/>
          <w:iCs/>
        </w:rPr>
      </w:pPr>
    </w:p>
    <w:p w14:paraId="755713FF" w14:textId="1869F046" w:rsidP="00092B9A" w:rsidR="008D3FC0" w:rsidRDefault="00092B9A" w:rsidRPr="00C10920">
      <w:pPr>
        <w:pStyle w:val="Titre2"/>
        <w:numPr>
          <w:ilvl w:val="0"/>
          <w:numId w:val="0"/>
        </w:numPr>
        <w:ind w:left="1428"/>
        <w:rPr>
          <w:rStyle w:val="Accentuationintense"/>
          <w:i/>
        </w:rPr>
      </w:pPr>
      <w:bookmarkStart w:id="6" w:name="_Toc118876769"/>
      <w:r>
        <w:rPr>
          <w:rStyle w:val="Accentuationintense"/>
          <w:i/>
        </w:rPr>
        <w:t xml:space="preserve">3.3 </w:t>
      </w:r>
      <w:r w:rsidR="00C10920" w:rsidRPr="00C10920">
        <w:rPr>
          <w:rStyle w:val="Accentuationintense"/>
          <w:i/>
        </w:rPr>
        <w:t>Augmentations individuelles et promotionnelles</w:t>
      </w:r>
      <w:bookmarkEnd w:id="6"/>
      <w:r w:rsidR="00C10920" w:rsidRPr="00C10920">
        <w:rPr>
          <w:rStyle w:val="Accentuationintense"/>
          <w:i/>
        </w:rPr>
        <w:t xml:space="preserve"> </w:t>
      </w:r>
    </w:p>
    <w:p w14:paraId="28A70650" w14:textId="31F7958C" w:rsidP="006C3CC8" w:rsidR="00601DEE" w:rsidRDefault="00601DEE">
      <w:pPr>
        <w:pStyle w:val="Sansinterligne"/>
        <w:numPr>
          <w:ilvl w:val="0"/>
          <w:numId w:val="11"/>
        </w:numPr>
        <w:spacing w:before="40"/>
        <w:ind w:hanging="284" w:left="284"/>
        <w:jc w:val="both"/>
        <w:rPr>
          <w:rFonts w:cstheme="minorHAnsi"/>
        </w:rPr>
      </w:pPr>
      <w:r w:rsidRPr="00601DEE">
        <w:rPr>
          <w:rFonts w:cstheme="minorHAnsi"/>
        </w:rPr>
        <w:t>Le budget alloué aux m</w:t>
      </w:r>
      <w:r w:rsidRPr="001409DF">
        <w:rPr>
          <w:rFonts w:cstheme="minorHAnsi"/>
        </w:rPr>
        <w:t xml:space="preserve">esures individuelles et promotionnelles pour les Ouvriers est fixé à </w:t>
      </w:r>
      <w:r w:rsidR="001409DF" w:rsidRPr="001409DF">
        <w:rPr>
          <w:rFonts w:cstheme="minorHAnsi"/>
          <w:b/>
        </w:rPr>
        <w:t>0,4</w:t>
      </w:r>
      <w:r w:rsidRPr="001409DF">
        <w:rPr>
          <w:rFonts w:cstheme="minorHAnsi"/>
          <w:b/>
        </w:rPr>
        <w:t xml:space="preserve"> %</w:t>
      </w:r>
      <w:r w:rsidR="005965E9">
        <w:rPr>
          <w:rFonts w:cstheme="minorHAnsi"/>
        </w:rPr>
        <w:t>.</w:t>
      </w:r>
    </w:p>
    <w:p w14:paraId="3A4F9FA2" w14:textId="77777777" w:rsidP="00601DEE" w:rsidR="006C3CC8" w:rsidRDefault="00E50773">
      <w:pPr>
        <w:pStyle w:val="Sansinterligne"/>
        <w:numPr>
          <w:ilvl w:val="0"/>
          <w:numId w:val="11"/>
        </w:numPr>
        <w:spacing w:before="40"/>
        <w:ind w:hanging="284" w:left="284"/>
        <w:jc w:val="both"/>
        <w:rPr>
          <w:rFonts w:cstheme="minorHAnsi"/>
        </w:rPr>
      </w:pPr>
      <w:r w:rsidRPr="006C3CC8">
        <w:rPr>
          <w:rFonts w:cstheme="minorHAnsi"/>
        </w:rPr>
        <w:t xml:space="preserve">Le budget alloué aux mesures individuelles et promotionnelles pour les ETAM est fixé à </w:t>
      </w:r>
      <w:r w:rsidR="001409DF" w:rsidRPr="006C3CC8">
        <w:rPr>
          <w:rFonts w:cstheme="minorHAnsi"/>
          <w:b/>
        </w:rPr>
        <w:t>0,6</w:t>
      </w:r>
      <w:r w:rsidRPr="006C3CC8">
        <w:rPr>
          <w:rFonts w:cstheme="minorHAnsi"/>
          <w:b/>
        </w:rPr>
        <w:t xml:space="preserve"> %</w:t>
      </w:r>
      <w:r w:rsidR="008F64DD" w:rsidRPr="006C3CC8">
        <w:rPr>
          <w:rFonts w:cstheme="minorHAnsi"/>
        </w:rPr>
        <w:t>.</w:t>
      </w:r>
    </w:p>
    <w:p w14:paraId="2AA9FB76" w14:textId="5B6B3150" w:rsidP="00601DEE" w:rsidR="005F2A96" w:rsidRDefault="00601DEE" w:rsidRPr="006C3CC8">
      <w:pPr>
        <w:pStyle w:val="Sansinterligne"/>
        <w:numPr>
          <w:ilvl w:val="0"/>
          <w:numId w:val="11"/>
        </w:numPr>
        <w:spacing w:before="40"/>
        <w:ind w:hanging="284" w:left="284"/>
        <w:jc w:val="both"/>
        <w:rPr>
          <w:rFonts w:cstheme="minorHAnsi"/>
        </w:rPr>
      </w:pPr>
      <w:r w:rsidRPr="006C3CC8">
        <w:rPr>
          <w:rFonts w:cstheme="minorHAnsi"/>
        </w:rPr>
        <w:t xml:space="preserve">Le budget alloué aux évolutions salariales individuelles des Ingénieurs et Cadres est de </w:t>
      </w:r>
      <w:r w:rsidR="001409DF" w:rsidRPr="006C3CC8">
        <w:rPr>
          <w:rFonts w:cstheme="minorHAnsi"/>
          <w:b/>
        </w:rPr>
        <w:t>5,5</w:t>
      </w:r>
      <w:r w:rsidRPr="006C3CC8">
        <w:rPr>
          <w:rFonts w:cstheme="minorHAnsi"/>
          <w:b/>
        </w:rPr>
        <w:t xml:space="preserve"> %</w:t>
      </w:r>
      <w:r w:rsidR="001409DF" w:rsidRPr="006C3CC8">
        <w:rPr>
          <w:rFonts w:cstheme="minorHAnsi"/>
        </w:rPr>
        <w:t xml:space="preserve">, incluant un </w:t>
      </w:r>
      <w:r w:rsidR="00361875" w:rsidRPr="006C3CC8">
        <w:rPr>
          <w:rFonts w:cstheme="minorHAnsi"/>
        </w:rPr>
        <w:t xml:space="preserve">budget </w:t>
      </w:r>
      <w:r w:rsidR="001409DF" w:rsidRPr="006C3CC8">
        <w:rPr>
          <w:rFonts w:cstheme="minorHAnsi"/>
        </w:rPr>
        <w:t xml:space="preserve">de 0,7% pour les </w:t>
      </w:r>
      <w:r w:rsidR="00361875" w:rsidRPr="006C3CC8">
        <w:rPr>
          <w:rFonts w:cstheme="minorHAnsi"/>
        </w:rPr>
        <w:t>promotionnelles</w:t>
      </w:r>
      <w:r w:rsidR="008F64DD" w:rsidRPr="006C3CC8">
        <w:rPr>
          <w:rFonts w:cstheme="minorHAnsi"/>
        </w:rPr>
        <w:t xml:space="preserve"> et l</w:t>
      </w:r>
      <w:r w:rsidR="005B3AEF" w:rsidRPr="006C3CC8">
        <w:rPr>
          <w:rFonts w:cstheme="minorHAnsi"/>
        </w:rPr>
        <w:t>es mesures de</w:t>
      </w:r>
      <w:r w:rsidR="008F64DD" w:rsidRPr="006C3CC8">
        <w:rPr>
          <w:rFonts w:cstheme="minorHAnsi"/>
        </w:rPr>
        <w:t xml:space="preserve"> rétention.</w:t>
      </w:r>
      <w:r w:rsidR="00361875" w:rsidRPr="006C3CC8">
        <w:rPr>
          <w:rFonts w:cstheme="minorHAnsi"/>
        </w:rPr>
        <w:t xml:space="preserve"> </w:t>
      </w:r>
    </w:p>
    <w:p w14:paraId="67530047" w14:textId="763E7FA7" w:rsidP="00601DEE" w:rsidR="008F64DD" w:rsidRDefault="008F64DD">
      <w:pPr>
        <w:pStyle w:val="Sansinterligne"/>
        <w:spacing w:before="40"/>
        <w:jc w:val="both"/>
        <w:rPr>
          <w:rFonts w:cstheme="minorHAnsi"/>
        </w:rPr>
      </w:pPr>
    </w:p>
    <w:p w14:paraId="5620B3E2" w14:textId="6C0087F8" w:rsidP="008D3FC0" w:rsidR="00601DEE" w:rsidRDefault="008F64DD" w:rsidRPr="008F64DD">
      <w:pPr>
        <w:pStyle w:val="Sansinterligne"/>
        <w:spacing w:before="40"/>
        <w:jc w:val="both"/>
        <w:rPr>
          <w:rFonts w:cstheme="minorHAnsi"/>
        </w:rPr>
      </w:pPr>
      <w:r w:rsidRPr="008F64DD">
        <w:rPr>
          <w:rFonts w:cstheme="minorHAnsi"/>
        </w:rPr>
        <w:t>Les augmentations individuelles seront appliquées avec la paie de mars 2023, avec effet rétroactif au 1</w:t>
      </w:r>
      <w:r w:rsidRPr="008F64DD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</w:t>
      </w:r>
      <w:r w:rsidRPr="008F64DD">
        <w:rPr>
          <w:rFonts w:cstheme="minorHAnsi"/>
        </w:rPr>
        <w:t>janvier 2023.</w:t>
      </w:r>
      <w:r w:rsidR="005B3AEF">
        <w:rPr>
          <w:rFonts w:cstheme="minorHAnsi"/>
        </w:rPr>
        <w:t xml:space="preserve"> Les promotionnelles et les mesures de rétention pourront être mises en œuvre au cours de l’année 2023.</w:t>
      </w:r>
    </w:p>
    <w:p w14:paraId="594DAA38" w14:textId="77777777" w:rsidP="008D3FC0" w:rsidR="008F64DD" w:rsidRDefault="008F64DD">
      <w:pPr>
        <w:pStyle w:val="Sansinterligne"/>
        <w:spacing w:before="40"/>
        <w:jc w:val="both"/>
        <w:rPr>
          <w:rFonts w:cstheme="minorHAnsi"/>
        </w:rPr>
      </w:pPr>
    </w:p>
    <w:p w14:paraId="3FA1D306" w14:textId="516E89C7" w:rsidP="00092B9A" w:rsidR="00C156EB" w:rsidRDefault="00092B9A" w:rsidRPr="00092B9A">
      <w:pPr>
        <w:pStyle w:val="Titre2"/>
        <w:numPr>
          <w:ilvl w:val="0"/>
          <w:numId w:val="0"/>
        </w:numPr>
        <w:ind w:left="1428"/>
        <w:rPr>
          <w:rStyle w:val="Accentuationintense"/>
          <w:i/>
          <w:iCs w:val="0"/>
        </w:rPr>
      </w:pPr>
      <w:bookmarkStart w:id="7" w:name="_Toc118876770"/>
      <w:r w:rsidRPr="00092B9A">
        <w:rPr>
          <w:rStyle w:val="Accentuationintense"/>
          <w:i/>
          <w:iCs w:val="0"/>
        </w:rPr>
        <w:t xml:space="preserve">3.4 </w:t>
      </w:r>
      <w:r w:rsidR="00C156EB" w:rsidRPr="00092B9A">
        <w:rPr>
          <w:rStyle w:val="Accentuationintense"/>
          <w:i/>
          <w:iCs w:val="0"/>
        </w:rPr>
        <w:t>Primes d'Equipe</w:t>
      </w:r>
      <w:bookmarkEnd w:id="7"/>
    </w:p>
    <w:p w14:paraId="3E295290" w14:textId="21BB910A" w:rsidP="00C156EB" w:rsidR="00C156EB" w:rsidRDefault="00C156EB" w:rsidRPr="00C156EB">
      <w:pPr>
        <w:pStyle w:val="Sansinterligne"/>
        <w:spacing w:before="40"/>
        <w:jc w:val="both"/>
        <w:rPr>
          <w:rFonts w:cstheme="minorHAnsi"/>
        </w:rPr>
      </w:pPr>
      <w:r w:rsidRPr="00C156EB">
        <w:rPr>
          <w:rFonts w:cstheme="minorHAnsi"/>
        </w:rPr>
        <w:t>Les primes d</w:t>
      </w:r>
      <w:r>
        <w:rPr>
          <w:rFonts w:cstheme="minorHAnsi"/>
        </w:rPr>
        <w:t xml:space="preserve">'équipe seront </w:t>
      </w:r>
      <w:r w:rsidRPr="002E4730">
        <w:rPr>
          <w:rFonts w:cstheme="minorHAnsi"/>
        </w:rPr>
        <w:t xml:space="preserve">revalorisées de </w:t>
      </w:r>
      <w:r w:rsidR="002E4730" w:rsidRPr="002E4730">
        <w:rPr>
          <w:rFonts w:cstheme="minorHAnsi"/>
          <w:b/>
        </w:rPr>
        <w:t>4</w:t>
      </w:r>
      <w:r w:rsidRPr="002E4730">
        <w:rPr>
          <w:rFonts w:cstheme="minorHAnsi"/>
          <w:b/>
        </w:rPr>
        <w:t xml:space="preserve"> %</w:t>
      </w:r>
      <w:r w:rsidRPr="002E4730">
        <w:rPr>
          <w:rFonts w:cstheme="minorHAnsi"/>
        </w:rPr>
        <w:t>, avec application au 1</w:t>
      </w:r>
      <w:r w:rsidRPr="002E4730">
        <w:rPr>
          <w:rFonts w:cstheme="minorHAnsi"/>
          <w:vertAlign w:val="superscript"/>
        </w:rPr>
        <w:t>er</w:t>
      </w:r>
      <w:r w:rsidRPr="002E4730">
        <w:rPr>
          <w:rFonts w:cstheme="minorHAnsi"/>
        </w:rPr>
        <w:t xml:space="preserve"> </w:t>
      </w:r>
      <w:r w:rsidR="002E4730" w:rsidRPr="002E4730">
        <w:rPr>
          <w:rFonts w:cstheme="minorHAnsi"/>
        </w:rPr>
        <w:t>janvier</w:t>
      </w:r>
      <w:r w:rsidRPr="002E4730">
        <w:rPr>
          <w:rFonts w:cstheme="minorHAnsi"/>
        </w:rPr>
        <w:t xml:space="preserve"> 20</w:t>
      </w:r>
      <w:r w:rsidR="0047699D" w:rsidRPr="002E4730">
        <w:rPr>
          <w:rFonts w:cstheme="minorHAnsi"/>
        </w:rPr>
        <w:t>2</w:t>
      </w:r>
      <w:r w:rsidR="002E4730" w:rsidRPr="002E4730">
        <w:rPr>
          <w:rFonts w:cstheme="minorHAnsi"/>
        </w:rPr>
        <w:t>3</w:t>
      </w:r>
      <w:r w:rsidRPr="002E4730">
        <w:rPr>
          <w:rFonts w:cstheme="minorHAnsi"/>
        </w:rPr>
        <w:t>.</w:t>
      </w:r>
    </w:p>
    <w:p w14:paraId="52513FCB" w14:textId="77777777" w:rsidP="00C156EB" w:rsidR="00C156EB" w:rsidRDefault="00C156EB">
      <w:pPr>
        <w:pStyle w:val="Sansinterligne"/>
        <w:spacing w:before="40"/>
        <w:jc w:val="both"/>
        <w:rPr>
          <w:rFonts w:cstheme="minorHAnsi"/>
        </w:rPr>
      </w:pPr>
    </w:p>
    <w:p w14:paraId="120934A7" w14:textId="2828FFB4" w:rsidP="00092B9A" w:rsidR="00C156EB" w:rsidRDefault="00C156EB" w:rsidRPr="00C156EB">
      <w:pPr>
        <w:pStyle w:val="Titre2"/>
        <w:numPr>
          <w:ilvl w:val="1"/>
          <w:numId w:val="18"/>
        </w:numPr>
        <w:rPr>
          <w:rFonts w:cstheme="minorHAnsi"/>
          <w:i w:val="0"/>
        </w:rPr>
      </w:pPr>
      <w:bookmarkStart w:id="8" w:name="_Toc118876771"/>
      <w:r w:rsidRPr="00C156EB">
        <w:rPr>
          <w:rStyle w:val="Titre2Car"/>
          <w:i/>
        </w:rPr>
        <w:t>Mesures additionnelles</w:t>
      </w:r>
      <w:bookmarkEnd w:id="8"/>
      <w:r w:rsidRPr="00C156EB">
        <w:rPr>
          <w:rFonts w:cstheme="minorHAnsi"/>
          <w:i w:val="0"/>
        </w:rPr>
        <w:t xml:space="preserve"> </w:t>
      </w:r>
    </w:p>
    <w:p w14:paraId="06359F59" w14:textId="08321E5C" w:rsidP="00C156EB" w:rsidR="00C156EB" w:rsidRDefault="00C156EB" w:rsidRPr="00C156EB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C156EB">
        <w:rPr>
          <w:rFonts w:cstheme="minorHAnsi"/>
        </w:rPr>
        <w:t>Grilles de salaire</w:t>
      </w:r>
      <w:r w:rsidR="00F80F0D">
        <w:rPr>
          <w:rFonts w:cstheme="minorHAnsi"/>
        </w:rPr>
        <w:t xml:space="preserve">s </w:t>
      </w:r>
      <w:r w:rsidR="005B3AEF">
        <w:rPr>
          <w:rFonts w:cstheme="minorHAnsi"/>
        </w:rPr>
        <w:t xml:space="preserve">minima </w:t>
      </w:r>
      <w:r w:rsidR="00F80F0D">
        <w:rPr>
          <w:rFonts w:cstheme="minorHAnsi"/>
        </w:rPr>
        <w:t>O</w:t>
      </w:r>
      <w:r>
        <w:rPr>
          <w:rFonts w:cstheme="minorHAnsi"/>
        </w:rPr>
        <w:t>uvriers et ETAM</w:t>
      </w:r>
    </w:p>
    <w:p w14:paraId="612F0B8D" w14:textId="77777777" w:rsidP="006C3CC8" w:rsidR="006C3CC8" w:rsidRDefault="005965E9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 xml:space="preserve">La grille des salaires minima Ouvriers et ETAM pour les salariés </w:t>
      </w:r>
      <w:proofErr w:type="spellStart"/>
      <w:r>
        <w:rPr>
          <w:rFonts w:cstheme="minorHAnsi"/>
        </w:rPr>
        <w:t>Saft</w:t>
      </w:r>
      <w:proofErr w:type="spellEnd"/>
      <w:r>
        <w:rPr>
          <w:rFonts w:cstheme="minorHAnsi"/>
        </w:rPr>
        <w:t xml:space="preserve"> permanents est</w:t>
      </w:r>
      <w:r w:rsidR="005B3AEF">
        <w:rPr>
          <w:rFonts w:cstheme="minorHAnsi"/>
        </w:rPr>
        <w:t xml:space="preserve"> mise à jour de la manière</w:t>
      </w:r>
      <w:r>
        <w:rPr>
          <w:rFonts w:cstheme="minorHAnsi"/>
        </w:rPr>
        <w:t xml:space="preserve"> suivante à compter du 1</w:t>
      </w:r>
      <w:r w:rsidRPr="005965E9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janvier 2023 :</w:t>
      </w:r>
    </w:p>
    <w:p w14:paraId="10918E34" w14:textId="3052C9CB" w:rsidP="006C3CC8" w:rsidR="00CC772B" w:rsidRDefault="0078771A">
      <w:pPr>
        <w:pStyle w:val="Sansinterligne"/>
        <w:spacing w:before="40"/>
        <w:jc w:val="both"/>
        <w:rPr>
          <w:rFonts w:cstheme="minorHAnsi"/>
          <w:bCs/>
        </w:rPr>
      </w:pPr>
      <w:r w:rsidRPr="0078771A">
        <w:rPr>
          <w:rFonts w:cstheme="minorHAnsi"/>
          <w:bCs/>
          <w:noProof/>
        </w:rPr>
        <w:lastRenderedPageBreak/>
        <w:drawing>
          <wp:inline distB="0" distL="0" distR="0" distT="0" wp14:anchorId="73144FC1" wp14:editId="53E08284">
            <wp:extent cx="6549515" cy="1914607"/>
            <wp:effectExtent b="9525" l="0" r="3810" t="0"/>
            <wp:docPr descr="Une image contenant table  Description générée automatiquement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able  Description générée automatiquement" id="1" name="Imag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084" cy="19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259E" w14:textId="77777777" w:rsidP="00C156EB" w:rsidR="0078771A" w:rsidRDefault="0078771A">
      <w:pPr>
        <w:pStyle w:val="Sansinterligne"/>
        <w:spacing w:before="40"/>
        <w:jc w:val="both"/>
        <w:rPr>
          <w:rFonts w:cstheme="minorHAnsi"/>
        </w:rPr>
      </w:pPr>
    </w:p>
    <w:p w14:paraId="23C95233" w14:textId="66FBF245" w:rsidP="00C156EB" w:rsidR="001C6A19" w:rsidRDefault="00C4443F">
      <w:pPr>
        <w:pStyle w:val="Sansinterligne"/>
        <w:spacing w:before="40"/>
        <w:jc w:val="both"/>
        <w:rPr>
          <w:rFonts w:cstheme="minorHAnsi"/>
        </w:rPr>
      </w:pPr>
      <w:r w:rsidRPr="0061476E">
        <w:rPr>
          <w:rFonts w:cstheme="minorHAnsi"/>
        </w:rPr>
        <w:t>Le salaire affiché sur le bulletin de paie est le salaire mensuel sur 13 mois.</w:t>
      </w:r>
    </w:p>
    <w:p w14:paraId="384F9E21" w14:textId="77777777" w:rsidP="00C156EB" w:rsidR="00C4443F" w:rsidRDefault="00C4443F">
      <w:pPr>
        <w:pStyle w:val="Sansinterligne"/>
        <w:spacing w:before="40"/>
        <w:jc w:val="both"/>
        <w:rPr>
          <w:rFonts w:cstheme="minorHAnsi"/>
        </w:rPr>
      </w:pPr>
    </w:p>
    <w:p w14:paraId="2875DC82" w14:textId="6CFBC4BD" w:rsidP="005B3AEF" w:rsidR="005B3AEF" w:rsidRDefault="005B3AEF" w:rsidRPr="00C156EB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>Coefficient 170</w:t>
      </w:r>
    </w:p>
    <w:p w14:paraId="5E48C5F8" w14:textId="11418C2B" w:rsidP="005965E9" w:rsidR="005965E9" w:rsidRDefault="005965E9">
      <w:pPr>
        <w:pStyle w:val="Sansinterligne"/>
        <w:spacing w:before="40"/>
        <w:jc w:val="both"/>
        <w:rPr>
          <w:rFonts w:cstheme="minorHAnsi"/>
          <w:bCs/>
        </w:rPr>
      </w:pPr>
      <w:r w:rsidRPr="002E4730">
        <w:rPr>
          <w:rFonts w:cstheme="minorHAnsi"/>
          <w:bCs/>
        </w:rPr>
        <w:t xml:space="preserve">Les parties </w:t>
      </w:r>
      <w:r w:rsidRPr="00D811DD">
        <w:rPr>
          <w:rFonts w:cstheme="minorHAnsi"/>
          <w:bCs/>
        </w:rPr>
        <w:t>conviennent de la suppression du coef</w:t>
      </w:r>
      <w:r w:rsidR="005B3AEF" w:rsidRPr="00D811DD">
        <w:rPr>
          <w:rFonts w:cstheme="minorHAnsi"/>
          <w:bCs/>
        </w:rPr>
        <w:t>ficient</w:t>
      </w:r>
      <w:r w:rsidRPr="00D811DD">
        <w:rPr>
          <w:rFonts w:cstheme="minorHAnsi"/>
          <w:bCs/>
        </w:rPr>
        <w:t xml:space="preserve"> 170 pour les salariés </w:t>
      </w:r>
      <w:proofErr w:type="spellStart"/>
      <w:r w:rsidRPr="00D811DD">
        <w:rPr>
          <w:rFonts w:cstheme="minorHAnsi"/>
          <w:bCs/>
        </w:rPr>
        <w:t>Saft</w:t>
      </w:r>
      <w:proofErr w:type="spellEnd"/>
      <w:r w:rsidRPr="00D811DD">
        <w:rPr>
          <w:rFonts w:cstheme="minorHAnsi"/>
          <w:bCs/>
        </w:rPr>
        <w:t xml:space="preserve"> sous contrat de travail permanent, à compter du 1</w:t>
      </w:r>
      <w:r w:rsidRPr="00D811DD">
        <w:rPr>
          <w:rFonts w:cstheme="minorHAnsi"/>
          <w:bCs/>
          <w:vertAlign w:val="superscript"/>
        </w:rPr>
        <w:t>er</w:t>
      </w:r>
      <w:r w:rsidRPr="00D811DD">
        <w:rPr>
          <w:rFonts w:cstheme="minorHAnsi"/>
          <w:bCs/>
        </w:rPr>
        <w:t xml:space="preserve"> janvier 2023. Ce coefficient pourra être utilisé au salaire minimum de 1</w:t>
      </w:r>
      <w:r w:rsidR="00D811DD" w:rsidRPr="00D811DD">
        <w:rPr>
          <w:rFonts w:cstheme="minorHAnsi"/>
          <w:bCs/>
        </w:rPr>
        <w:t xml:space="preserve"> 900 </w:t>
      </w:r>
      <w:r w:rsidRPr="00D811DD">
        <w:rPr>
          <w:rFonts w:cstheme="minorHAnsi"/>
          <w:bCs/>
        </w:rPr>
        <w:t>€ sur 12 mois (soit 1</w:t>
      </w:r>
      <w:r w:rsidR="00D811DD" w:rsidRPr="00D811DD">
        <w:rPr>
          <w:rFonts w:cstheme="minorHAnsi"/>
          <w:bCs/>
        </w:rPr>
        <w:t> </w:t>
      </w:r>
      <w:r w:rsidRPr="00D811DD">
        <w:rPr>
          <w:rFonts w:cstheme="minorHAnsi"/>
          <w:bCs/>
        </w:rPr>
        <w:t>7</w:t>
      </w:r>
      <w:r w:rsidR="00D811DD" w:rsidRPr="00D811DD">
        <w:rPr>
          <w:rFonts w:cstheme="minorHAnsi"/>
          <w:bCs/>
        </w:rPr>
        <w:t xml:space="preserve">53,84 </w:t>
      </w:r>
      <w:r w:rsidRPr="00D811DD">
        <w:rPr>
          <w:rFonts w:cstheme="minorHAnsi"/>
          <w:bCs/>
        </w:rPr>
        <w:t>€ sur 13 mois) pour l’embauche des CDD et intérimaires, pour une durée maximale d’un an.</w:t>
      </w:r>
      <w:r>
        <w:rPr>
          <w:rFonts w:cstheme="minorHAnsi"/>
          <w:bCs/>
        </w:rPr>
        <w:t xml:space="preserve"> </w:t>
      </w:r>
    </w:p>
    <w:p w14:paraId="1A156D35" w14:textId="1DD4CD38" w:rsidP="00147AC1" w:rsidR="008C4DFD" w:rsidRDefault="008C4DFD">
      <w:pPr>
        <w:pStyle w:val="Sansinterligne"/>
        <w:spacing w:before="40"/>
        <w:jc w:val="both"/>
        <w:rPr>
          <w:rFonts w:cstheme="minorHAnsi"/>
        </w:rPr>
      </w:pPr>
    </w:p>
    <w:p w14:paraId="07D1B0E4" w14:textId="120ABACA" w:rsidP="000573FE" w:rsidR="000573FE" w:rsidRDefault="000573FE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>Indemnités transport</w:t>
      </w:r>
    </w:p>
    <w:p w14:paraId="4E68E412" w14:textId="4EE5EC04" w:rsidP="000573FE" w:rsidR="000573FE" w:rsidRDefault="000573FE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 xml:space="preserve">Les indemnités transport seront revalorisées </w:t>
      </w:r>
      <w:r w:rsidR="002B089E">
        <w:rPr>
          <w:rFonts w:cstheme="minorHAnsi"/>
        </w:rPr>
        <w:t xml:space="preserve">en février 2023 du montant de l’évolution </w:t>
      </w:r>
      <w:r w:rsidR="00D811DD">
        <w:rPr>
          <w:rFonts w:cstheme="minorHAnsi"/>
        </w:rPr>
        <w:t xml:space="preserve">moyenne </w:t>
      </w:r>
      <w:r w:rsidR="002B089E">
        <w:rPr>
          <w:rFonts w:cstheme="minorHAnsi"/>
        </w:rPr>
        <w:t>de l’indice INSEE constaté sur 202</w:t>
      </w:r>
      <w:r w:rsidR="00D811DD">
        <w:rPr>
          <w:rFonts w:cstheme="minorHAnsi"/>
        </w:rPr>
        <w:t xml:space="preserve">2. A titre indicatif, cette valeur est de </w:t>
      </w:r>
      <w:r w:rsidR="0083326E">
        <w:rPr>
          <w:rFonts w:cstheme="minorHAnsi"/>
        </w:rPr>
        <w:t xml:space="preserve">l’ordre de </w:t>
      </w:r>
      <w:r w:rsidR="00D811DD">
        <w:rPr>
          <w:rFonts w:cstheme="minorHAnsi"/>
        </w:rPr>
        <w:t>11% au jour de la signature du présent accord.</w:t>
      </w:r>
    </w:p>
    <w:p w14:paraId="1F2F62E1" w14:textId="77777777" w:rsidP="008D3FC0" w:rsidR="00147AC1" w:rsidRDefault="00147AC1">
      <w:pPr>
        <w:pStyle w:val="Sansinterligne"/>
        <w:spacing w:before="40"/>
        <w:jc w:val="both"/>
        <w:rPr>
          <w:rFonts w:cstheme="minorHAnsi"/>
        </w:rPr>
      </w:pPr>
    </w:p>
    <w:p w14:paraId="65ACB7C2" w14:textId="0EB05F52" w:rsidP="00A52448" w:rsidR="00F41127" w:rsidRDefault="009F7931">
      <w:pPr>
        <w:pStyle w:val="Titre1"/>
      </w:pPr>
      <w:bookmarkStart w:id="9" w:name="_Toc118876772"/>
      <w:r>
        <w:t>ARTICLE 4</w:t>
      </w:r>
      <w:r w:rsidR="00F41127">
        <w:t xml:space="preserve"> – </w:t>
      </w:r>
      <w:r w:rsidR="00C4246D">
        <w:t>PRIME</w:t>
      </w:r>
      <w:r w:rsidR="00D11C8A">
        <w:t xml:space="preserve"> DE</w:t>
      </w:r>
      <w:r>
        <w:t xml:space="preserve"> </w:t>
      </w:r>
      <w:r w:rsidR="00E90678">
        <w:t>PARTAGE DE LA VALEUR</w:t>
      </w:r>
      <w:bookmarkEnd w:id="9"/>
    </w:p>
    <w:p w14:paraId="45C1E713" w14:textId="47A5A24C" w:rsidP="00C4246D" w:rsidR="00C4246D" w:rsidRDefault="00252ACC">
      <w:pPr>
        <w:pStyle w:val="Sansinterligne"/>
        <w:spacing w:before="40"/>
        <w:jc w:val="both"/>
        <w:rPr>
          <w:rFonts w:cstheme="minorHAnsi"/>
        </w:rPr>
      </w:pPr>
      <w:bookmarkStart w:id="10" w:name="_Hlk118475377"/>
      <w:r w:rsidRPr="00677318">
        <w:rPr>
          <w:rFonts w:cstheme="minorHAnsi"/>
        </w:rPr>
        <w:t>A</w:t>
      </w:r>
      <w:r w:rsidR="00EA14A0" w:rsidRPr="00677318">
        <w:rPr>
          <w:rFonts w:cstheme="minorHAnsi"/>
        </w:rPr>
        <w:t xml:space="preserve"> titre exceptionnel, les parties au présent accord conviennent d'une </w:t>
      </w:r>
      <w:r w:rsidR="005A09CA" w:rsidRPr="00677318">
        <w:rPr>
          <w:rFonts w:cstheme="minorHAnsi"/>
        </w:rPr>
        <w:t>prime</w:t>
      </w:r>
      <w:r w:rsidR="00EA14A0" w:rsidRPr="00677318">
        <w:rPr>
          <w:rFonts w:cstheme="minorHAnsi"/>
        </w:rPr>
        <w:t xml:space="preserve"> </w:t>
      </w:r>
      <w:r w:rsidR="005A09CA" w:rsidRPr="00677318">
        <w:rPr>
          <w:rFonts w:cstheme="minorHAnsi"/>
        </w:rPr>
        <w:t>de partage de la valeur</w:t>
      </w:r>
      <w:r w:rsidR="00EA14A0" w:rsidRPr="00677318">
        <w:rPr>
          <w:rFonts w:cstheme="minorHAnsi"/>
        </w:rPr>
        <w:t xml:space="preserve"> consistant en un versement </w:t>
      </w:r>
      <w:r w:rsidRPr="00677318">
        <w:rPr>
          <w:rFonts w:cstheme="minorHAnsi"/>
        </w:rPr>
        <w:t xml:space="preserve">à chaque salarié </w:t>
      </w:r>
      <w:r w:rsidR="00EA14A0" w:rsidRPr="00677318">
        <w:rPr>
          <w:rFonts w:cstheme="minorHAnsi"/>
        </w:rPr>
        <w:t xml:space="preserve">d'une somme </w:t>
      </w:r>
      <w:r w:rsidRPr="00677318">
        <w:rPr>
          <w:rFonts w:cstheme="minorHAnsi"/>
        </w:rPr>
        <w:t>équivalent à un mois de salaire, avec un plancher de</w:t>
      </w:r>
      <w:r w:rsidR="00EA14A0" w:rsidRPr="00677318">
        <w:rPr>
          <w:rFonts w:cstheme="minorHAnsi"/>
        </w:rPr>
        <w:t xml:space="preserve"> </w:t>
      </w:r>
      <w:r w:rsidR="005A09CA" w:rsidRPr="00677318">
        <w:rPr>
          <w:rFonts w:cstheme="minorHAnsi"/>
          <w:b/>
        </w:rPr>
        <w:t>3</w:t>
      </w:r>
      <w:r w:rsidRPr="00677318">
        <w:rPr>
          <w:rFonts w:cstheme="minorHAnsi"/>
          <w:b/>
        </w:rPr>
        <w:t> </w:t>
      </w:r>
      <w:r w:rsidR="00EA14A0" w:rsidRPr="00677318">
        <w:rPr>
          <w:rFonts w:cstheme="minorHAnsi"/>
          <w:b/>
        </w:rPr>
        <w:t>000</w:t>
      </w:r>
      <w:r w:rsidRPr="00677318">
        <w:rPr>
          <w:rFonts w:cstheme="minorHAnsi"/>
          <w:b/>
        </w:rPr>
        <w:t xml:space="preserve"> </w:t>
      </w:r>
      <w:r w:rsidR="00E4727A" w:rsidRPr="00677318">
        <w:rPr>
          <w:rFonts w:cstheme="minorHAnsi"/>
          <w:b/>
        </w:rPr>
        <w:t>euros</w:t>
      </w:r>
      <w:r w:rsidR="005A09CA" w:rsidRPr="00677318">
        <w:rPr>
          <w:rFonts w:cstheme="minorHAnsi"/>
          <w:b/>
        </w:rPr>
        <w:t xml:space="preserve"> </w:t>
      </w:r>
      <w:r w:rsidRPr="00677318">
        <w:rPr>
          <w:rFonts w:cstheme="minorHAnsi"/>
          <w:bCs/>
        </w:rPr>
        <w:t xml:space="preserve">et un plafond </w:t>
      </w:r>
      <w:r w:rsidR="00D11C8A">
        <w:rPr>
          <w:rFonts w:cstheme="minorHAnsi"/>
          <w:bCs/>
        </w:rPr>
        <w:t xml:space="preserve">fixé </w:t>
      </w:r>
      <w:r w:rsidRPr="00677318">
        <w:rPr>
          <w:rFonts w:cstheme="minorHAnsi"/>
          <w:bCs/>
        </w:rPr>
        <w:t>à</w:t>
      </w:r>
      <w:r w:rsidR="005A09CA" w:rsidRPr="00677318">
        <w:rPr>
          <w:rFonts w:cstheme="minorHAnsi"/>
          <w:b/>
        </w:rPr>
        <w:t xml:space="preserve"> 6 000 </w:t>
      </w:r>
      <w:r w:rsidR="00EA14A0" w:rsidRPr="00677318">
        <w:rPr>
          <w:rFonts w:cstheme="minorHAnsi"/>
          <w:b/>
        </w:rPr>
        <w:t>euros bruts</w:t>
      </w:r>
      <w:r w:rsidR="00EA14A0" w:rsidRPr="00677318">
        <w:rPr>
          <w:rFonts w:cstheme="minorHAnsi"/>
        </w:rPr>
        <w:t xml:space="preserve"> </w:t>
      </w:r>
      <w:r w:rsidR="00C4246D" w:rsidRPr="00677318">
        <w:rPr>
          <w:rFonts w:cstheme="minorHAnsi"/>
        </w:rPr>
        <w:t>(pour une année complète</w:t>
      </w:r>
      <w:r w:rsidR="0061476E">
        <w:rPr>
          <w:rFonts w:cstheme="minorHAnsi"/>
        </w:rPr>
        <w:t xml:space="preserve"> à</w:t>
      </w:r>
      <w:r w:rsidR="00C4246D" w:rsidRPr="00677318">
        <w:rPr>
          <w:rFonts w:cstheme="minorHAnsi"/>
        </w:rPr>
        <w:t xml:space="preserve"> temps plein).</w:t>
      </w:r>
      <w:bookmarkEnd w:id="10"/>
    </w:p>
    <w:p w14:paraId="23422420" w14:textId="77777777" w:rsidP="00C4246D" w:rsidR="00B73CC3" w:rsidRDefault="00B73CC3" w:rsidRPr="00DE62F4">
      <w:pPr>
        <w:pStyle w:val="Sansinterligne"/>
        <w:spacing w:before="40"/>
        <w:jc w:val="both"/>
        <w:rPr>
          <w:rFonts w:cstheme="minorHAnsi"/>
          <w:sz w:val="12"/>
          <w:szCs w:val="12"/>
        </w:rPr>
      </w:pPr>
    </w:p>
    <w:p w14:paraId="1375052E" w14:textId="5EAEA988" w:rsidP="00C4246D" w:rsidR="00B73CC3" w:rsidRDefault="00B73CC3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Le salaire pris en compte est égal au salaire annuel théorique de base (hors primes) divisé par 12.</w:t>
      </w:r>
    </w:p>
    <w:p w14:paraId="4D8C13D4" w14:textId="77777777" w:rsidP="00C4246D" w:rsidR="00B73CC3" w:rsidRDefault="00B73CC3" w:rsidRPr="00DE62F4">
      <w:pPr>
        <w:pStyle w:val="Sansinterligne"/>
        <w:spacing w:before="40"/>
        <w:jc w:val="both"/>
        <w:rPr>
          <w:rFonts w:cstheme="minorHAnsi"/>
          <w:sz w:val="16"/>
          <w:szCs w:val="16"/>
        </w:rPr>
      </w:pPr>
    </w:p>
    <w:p w14:paraId="2CC1458C" w14:textId="2D7282C1" w:rsidP="00EA14A0" w:rsidR="00796B9C" w:rsidRDefault="00A912E4" w:rsidRPr="00677318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 xml:space="preserve">Cette prime </w:t>
      </w:r>
      <w:r w:rsidRPr="00677318">
        <w:rPr>
          <w:rFonts w:cstheme="minorHAnsi"/>
        </w:rPr>
        <w:t xml:space="preserve">exceptionnelle sera versée pour les salariés </w:t>
      </w:r>
      <w:proofErr w:type="spellStart"/>
      <w:r w:rsidRPr="00677318">
        <w:rPr>
          <w:rFonts w:cstheme="minorHAnsi"/>
        </w:rPr>
        <w:t>Saft</w:t>
      </w:r>
      <w:proofErr w:type="spellEnd"/>
      <w:r w:rsidRPr="00677318">
        <w:rPr>
          <w:rFonts w:cstheme="minorHAnsi"/>
        </w:rPr>
        <w:t xml:space="preserve"> (CDI, CDD, apprentis et contrats de professionnalisation)</w:t>
      </w:r>
      <w:r w:rsidR="00D11C8A">
        <w:rPr>
          <w:rFonts w:cstheme="minorHAnsi"/>
        </w:rPr>
        <w:t>,</w:t>
      </w:r>
      <w:r w:rsidR="005A09CA" w:rsidRPr="00677318">
        <w:rPr>
          <w:rFonts w:cstheme="minorHAnsi"/>
        </w:rPr>
        <w:t xml:space="preserve"> les </w:t>
      </w:r>
      <w:r w:rsidR="005A09CA" w:rsidRPr="00D11C8A">
        <w:rPr>
          <w:rFonts w:cstheme="minorHAnsi"/>
        </w:rPr>
        <w:t>intérimaires</w:t>
      </w:r>
      <w:r w:rsidR="00103456" w:rsidRPr="00D11C8A">
        <w:rPr>
          <w:rFonts w:cstheme="minorHAnsi"/>
        </w:rPr>
        <w:t xml:space="preserve"> et les membres des GLE/GE,</w:t>
      </w:r>
      <w:r w:rsidR="00796B9C" w:rsidRPr="00D11C8A">
        <w:rPr>
          <w:rFonts w:cstheme="minorHAnsi"/>
        </w:rPr>
        <w:t xml:space="preserve"> présents</w:t>
      </w:r>
      <w:r w:rsidR="00796B9C" w:rsidRPr="00EA14A0">
        <w:rPr>
          <w:rFonts w:cstheme="minorHAnsi"/>
        </w:rPr>
        <w:t xml:space="preserve"> </w:t>
      </w:r>
      <w:r w:rsidR="004D1E75">
        <w:rPr>
          <w:rFonts w:cstheme="minorHAnsi"/>
        </w:rPr>
        <w:t xml:space="preserve">à l’effectif </w:t>
      </w:r>
      <w:r w:rsidR="00796B9C" w:rsidRPr="00677318">
        <w:rPr>
          <w:rFonts w:cstheme="minorHAnsi"/>
        </w:rPr>
        <w:t>au 3</w:t>
      </w:r>
      <w:r w:rsidR="008C6CA3" w:rsidRPr="00677318">
        <w:rPr>
          <w:rFonts w:cstheme="minorHAnsi"/>
        </w:rPr>
        <w:t>1/1</w:t>
      </w:r>
      <w:r w:rsidR="00DE62F4">
        <w:rPr>
          <w:rFonts w:cstheme="minorHAnsi"/>
        </w:rPr>
        <w:t>0</w:t>
      </w:r>
      <w:r w:rsidR="00796B9C" w:rsidRPr="00677318">
        <w:rPr>
          <w:rFonts w:cstheme="minorHAnsi"/>
        </w:rPr>
        <w:t>/20</w:t>
      </w:r>
      <w:r w:rsidR="005A09CA" w:rsidRPr="00677318">
        <w:rPr>
          <w:rFonts w:cstheme="minorHAnsi"/>
        </w:rPr>
        <w:t>22</w:t>
      </w:r>
      <w:r w:rsidR="00796B9C" w:rsidRPr="00677318">
        <w:rPr>
          <w:rFonts w:cstheme="minorHAnsi"/>
        </w:rPr>
        <w:t xml:space="preserve"> et au prorata d</w:t>
      </w:r>
      <w:r w:rsidRPr="00677318">
        <w:rPr>
          <w:rFonts w:cstheme="minorHAnsi"/>
        </w:rPr>
        <w:t xml:space="preserve">u temps de présence </w:t>
      </w:r>
      <w:r w:rsidR="00B73CC3" w:rsidRPr="00677318">
        <w:rPr>
          <w:rFonts w:cstheme="minorHAnsi"/>
        </w:rPr>
        <w:t>sur la période allant du</w:t>
      </w:r>
      <w:r w:rsidR="005A09CA" w:rsidRPr="00677318">
        <w:rPr>
          <w:rFonts w:cstheme="minorHAnsi"/>
        </w:rPr>
        <w:t xml:space="preserve"> 0</w:t>
      </w:r>
      <w:r w:rsidR="00252ACC" w:rsidRPr="00677318">
        <w:rPr>
          <w:rFonts w:cstheme="minorHAnsi"/>
        </w:rPr>
        <w:t>1/12/</w:t>
      </w:r>
      <w:r w:rsidR="005A09CA" w:rsidRPr="00677318">
        <w:rPr>
          <w:rFonts w:cstheme="minorHAnsi"/>
        </w:rPr>
        <w:t>202</w:t>
      </w:r>
      <w:r w:rsidR="00B73CC3" w:rsidRPr="00677318">
        <w:rPr>
          <w:rFonts w:cstheme="minorHAnsi"/>
        </w:rPr>
        <w:t>1</w:t>
      </w:r>
      <w:r w:rsidR="005A09CA" w:rsidRPr="00677318">
        <w:rPr>
          <w:rFonts w:cstheme="minorHAnsi"/>
        </w:rPr>
        <w:t xml:space="preserve"> au 30/11/2022</w:t>
      </w:r>
      <w:r w:rsidR="003948F3" w:rsidRPr="00677318">
        <w:rPr>
          <w:rFonts w:cstheme="minorHAnsi"/>
        </w:rPr>
        <w:t>.</w:t>
      </w:r>
    </w:p>
    <w:p w14:paraId="3032C6DD" w14:textId="77777777" w:rsidP="00EA14A0" w:rsidR="003948F3" w:rsidRDefault="003948F3" w:rsidRPr="00677318">
      <w:pPr>
        <w:pStyle w:val="Sansinterligne"/>
        <w:spacing w:before="40"/>
        <w:jc w:val="both"/>
        <w:rPr>
          <w:rFonts w:cstheme="minorHAnsi"/>
        </w:rPr>
      </w:pPr>
    </w:p>
    <w:p w14:paraId="49C9B3C6" w14:textId="0290A777" w:rsidP="00D11C8A" w:rsidR="00D11C8A" w:rsidRDefault="0089269F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677318">
        <w:rPr>
          <w:rFonts w:cstheme="minorHAnsi"/>
        </w:rPr>
        <w:t xml:space="preserve">Pour un salarié présent </w:t>
      </w:r>
      <w:r w:rsidR="005A09CA" w:rsidRPr="00677318">
        <w:rPr>
          <w:rFonts w:cstheme="minorHAnsi"/>
        </w:rPr>
        <w:t xml:space="preserve">sur </w:t>
      </w:r>
      <w:r w:rsidRPr="00677318">
        <w:rPr>
          <w:rFonts w:cstheme="minorHAnsi"/>
        </w:rPr>
        <w:t>toute</w:t>
      </w:r>
      <w:r w:rsidR="00B73CC3" w:rsidRPr="00677318">
        <w:rPr>
          <w:rFonts w:cstheme="minorHAnsi"/>
        </w:rPr>
        <w:t xml:space="preserve"> la</w:t>
      </w:r>
      <w:r w:rsidRPr="00677318">
        <w:rPr>
          <w:rFonts w:cstheme="minorHAnsi"/>
        </w:rPr>
        <w:t xml:space="preserve"> </w:t>
      </w:r>
      <w:r w:rsidR="005A09CA" w:rsidRPr="00677318">
        <w:rPr>
          <w:rFonts w:cstheme="minorHAnsi"/>
        </w:rPr>
        <w:t>période donnée</w:t>
      </w:r>
      <w:r w:rsidR="00D11C8A">
        <w:rPr>
          <w:rFonts w:cstheme="minorHAnsi"/>
        </w:rPr>
        <w:t>, le calcul est le suivant : n</w:t>
      </w:r>
      <w:r w:rsidRPr="00D11C8A">
        <w:rPr>
          <w:rFonts w:cstheme="minorHAnsi"/>
        </w:rPr>
        <w:t>ombre de jours de présence entre le 1</w:t>
      </w:r>
      <w:r w:rsidRPr="00D11C8A">
        <w:rPr>
          <w:rFonts w:cstheme="minorHAnsi"/>
          <w:vertAlign w:val="superscript"/>
        </w:rPr>
        <w:t>er</w:t>
      </w:r>
      <w:r w:rsidRPr="00D11C8A">
        <w:rPr>
          <w:rFonts w:cstheme="minorHAnsi"/>
        </w:rPr>
        <w:t xml:space="preserve"> </w:t>
      </w:r>
      <w:r w:rsidR="005A09CA" w:rsidRPr="00D11C8A">
        <w:rPr>
          <w:rFonts w:cstheme="minorHAnsi"/>
        </w:rPr>
        <w:t>décembre 2021</w:t>
      </w:r>
      <w:r w:rsidRPr="00D11C8A">
        <w:rPr>
          <w:rFonts w:cstheme="minorHAnsi"/>
        </w:rPr>
        <w:t xml:space="preserve"> et le 3</w:t>
      </w:r>
      <w:r w:rsidR="005A09CA" w:rsidRPr="00D11C8A">
        <w:rPr>
          <w:rFonts w:cstheme="minorHAnsi"/>
        </w:rPr>
        <w:t>0</w:t>
      </w:r>
      <w:r w:rsidRPr="00D11C8A">
        <w:rPr>
          <w:rFonts w:cstheme="minorHAnsi"/>
        </w:rPr>
        <w:t xml:space="preserve"> </w:t>
      </w:r>
      <w:r w:rsidR="005A09CA" w:rsidRPr="00D11C8A">
        <w:rPr>
          <w:rFonts w:cstheme="minorHAnsi"/>
        </w:rPr>
        <w:t>novembre</w:t>
      </w:r>
      <w:r w:rsidRPr="00D11C8A">
        <w:rPr>
          <w:rFonts w:cstheme="minorHAnsi"/>
        </w:rPr>
        <w:t xml:space="preserve"> 20</w:t>
      </w:r>
      <w:r w:rsidR="005A09CA" w:rsidRPr="00D11C8A">
        <w:rPr>
          <w:rFonts w:cstheme="minorHAnsi"/>
        </w:rPr>
        <w:t>22</w:t>
      </w:r>
      <w:r w:rsidRPr="00D11C8A">
        <w:rPr>
          <w:rFonts w:cstheme="minorHAnsi"/>
        </w:rPr>
        <w:t xml:space="preserve">, soit 365 jours = </w:t>
      </w:r>
      <w:r w:rsidR="005A09CA" w:rsidRPr="00D11C8A">
        <w:rPr>
          <w:rFonts w:cstheme="minorHAnsi"/>
        </w:rPr>
        <w:t>100% de le prime</w:t>
      </w:r>
      <w:r w:rsidR="003948F3" w:rsidRPr="00D11C8A">
        <w:rPr>
          <w:rFonts w:cstheme="minorHAnsi"/>
        </w:rPr>
        <w:t xml:space="preserve"> versée, soit la totalité du salaire brut au 1</w:t>
      </w:r>
      <w:r w:rsidR="003948F3" w:rsidRPr="00D11C8A">
        <w:rPr>
          <w:rFonts w:cstheme="minorHAnsi"/>
          <w:vertAlign w:val="superscript"/>
        </w:rPr>
        <w:t>er</w:t>
      </w:r>
      <w:r w:rsidR="003948F3" w:rsidRPr="00D11C8A">
        <w:rPr>
          <w:rFonts w:cstheme="minorHAnsi"/>
        </w:rPr>
        <w:t xml:space="preserve"> novembre 2022</w:t>
      </w:r>
      <w:r w:rsidR="00D11C8A">
        <w:rPr>
          <w:rFonts w:cstheme="minorHAnsi"/>
        </w:rPr>
        <w:t> ;</w:t>
      </w:r>
    </w:p>
    <w:p w14:paraId="365D2A76" w14:textId="69220D72" w:rsidP="00D11C8A" w:rsidR="0089269F" w:rsidRDefault="0089269F" w:rsidRPr="00D11C8A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D11C8A">
        <w:rPr>
          <w:rFonts w:cstheme="minorHAnsi"/>
        </w:rPr>
        <w:t xml:space="preserve">Pour les salariés entrés en cours </w:t>
      </w:r>
      <w:r w:rsidR="00B73CC3" w:rsidRPr="00D11C8A">
        <w:rPr>
          <w:rFonts w:cstheme="minorHAnsi"/>
        </w:rPr>
        <w:t>de période</w:t>
      </w:r>
      <w:r w:rsidRPr="00D11C8A">
        <w:rPr>
          <w:rFonts w:cstheme="minorHAnsi"/>
        </w:rPr>
        <w:t> </w:t>
      </w:r>
      <w:r w:rsidR="00B73CC3" w:rsidRPr="00D11C8A">
        <w:rPr>
          <w:rFonts w:cstheme="minorHAnsi"/>
        </w:rPr>
        <w:t>ou en suspension de contrat sur la</w:t>
      </w:r>
      <w:r w:rsidR="00103456" w:rsidRPr="00D11C8A">
        <w:rPr>
          <w:rFonts w:cstheme="minorHAnsi"/>
        </w:rPr>
        <w:t xml:space="preserve">        </w:t>
      </w:r>
      <w:r w:rsidR="00B73CC3" w:rsidRPr="00D11C8A">
        <w:rPr>
          <w:rFonts w:cstheme="minorHAnsi"/>
        </w:rPr>
        <w:t xml:space="preserve"> période</w:t>
      </w:r>
      <w:r w:rsidR="00D11C8A">
        <w:rPr>
          <w:rFonts w:cstheme="minorHAnsi"/>
        </w:rPr>
        <w:t xml:space="preserve">, le calcul se fera </w:t>
      </w:r>
      <w:r w:rsidR="00B73CC3" w:rsidRPr="00D11C8A">
        <w:rPr>
          <w:rFonts w:cstheme="minorHAnsi"/>
        </w:rPr>
        <w:t xml:space="preserve">au prorata </w:t>
      </w:r>
      <w:proofErr w:type="spellStart"/>
      <w:r w:rsidR="00B73CC3" w:rsidRPr="00D11C8A">
        <w:rPr>
          <w:rFonts w:cstheme="minorHAnsi"/>
        </w:rPr>
        <w:t>temporis</w:t>
      </w:r>
      <w:proofErr w:type="spellEnd"/>
      <w:r w:rsidR="00B73CC3" w:rsidRPr="00D11C8A">
        <w:rPr>
          <w:rFonts w:cstheme="minorHAnsi"/>
        </w:rPr>
        <w:t xml:space="preserve"> du temps de présence sur la période</w:t>
      </w:r>
      <w:r w:rsidR="00D11C8A">
        <w:rPr>
          <w:rFonts w:cstheme="minorHAnsi"/>
        </w:rPr>
        <w:t> ;</w:t>
      </w:r>
    </w:p>
    <w:p w14:paraId="58A94509" w14:textId="7E5F99FD" w:rsidP="0089269F" w:rsidR="00B73CC3" w:rsidRDefault="00D11C8A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>P</w:t>
      </w:r>
      <w:r w:rsidRPr="00677318">
        <w:rPr>
          <w:rFonts w:cstheme="minorHAnsi"/>
        </w:rPr>
        <w:t>our les salariés à temps partiel sur la période (hors temps partiel thérapeutique</w:t>
      </w:r>
      <w:r w:rsidR="00DE62F4">
        <w:rPr>
          <w:rFonts w:cstheme="minorHAnsi"/>
        </w:rPr>
        <w:t xml:space="preserve"> et situation de handicap</w:t>
      </w:r>
      <w:r>
        <w:rPr>
          <w:rFonts w:cstheme="minorHAnsi"/>
        </w:rPr>
        <w:t>) : c</w:t>
      </w:r>
      <w:r w:rsidR="00B73CC3" w:rsidRPr="00677318">
        <w:rPr>
          <w:rFonts w:cstheme="minorHAnsi"/>
        </w:rPr>
        <w:t>alcul au prorata du taux d’activité</w:t>
      </w:r>
      <w:r>
        <w:rPr>
          <w:rFonts w:cstheme="minorHAnsi"/>
        </w:rPr>
        <w:t> ;</w:t>
      </w:r>
    </w:p>
    <w:p w14:paraId="0A9FF144" w14:textId="34A37FDD" w:rsidP="0089269F" w:rsidR="0089269F" w:rsidRDefault="00D11C8A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 xml:space="preserve">Pour les salariés </w:t>
      </w:r>
      <w:r w:rsidRPr="00B73CC3">
        <w:rPr>
          <w:rFonts w:cstheme="minorHAnsi"/>
        </w:rPr>
        <w:t>en congés parentaux</w:t>
      </w:r>
      <w:r>
        <w:rPr>
          <w:rFonts w:cstheme="minorHAnsi"/>
        </w:rPr>
        <w:t>,</w:t>
      </w:r>
      <w:r w:rsidRPr="00B73CC3">
        <w:rPr>
          <w:rFonts w:cstheme="minorHAnsi"/>
        </w:rPr>
        <w:t xml:space="preserve"> maternité</w:t>
      </w:r>
      <w:r>
        <w:rPr>
          <w:rFonts w:cstheme="minorHAnsi"/>
        </w:rPr>
        <w:t>, paternité, adoption</w:t>
      </w:r>
      <w:r w:rsidRPr="00B73CC3">
        <w:rPr>
          <w:rFonts w:cstheme="minorHAnsi"/>
        </w:rPr>
        <w:t>, en congés formation et les alternants en périodes de formation</w:t>
      </w:r>
      <w:r>
        <w:rPr>
          <w:rFonts w:cstheme="minorHAnsi"/>
        </w:rPr>
        <w:t> : p</w:t>
      </w:r>
      <w:r w:rsidR="0089269F" w:rsidRPr="00B73CC3">
        <w:rPr>
          <w:rFonts w:cstheme="minorHAnsi"/>
        </w:rPr>
        <w:t>aiement en intégralité de la prime</w:t>
      </w:r>
      <w:r w:rsidR="00CC7916" w:rsidRPr="00B73CC3">
        <w:rPr>
          <w:rFonts w:cstheme="minorHAnsi"/>
        </w:rPr>
        <w:t xml:space="preserve"> (pas de </w:t>
      </w:r>
      <w:r w:rsidR="00CC7916" w:rsidRPr="00DE62F4">
        <w:rPr>
          <w:rFonts w:cstheme="minorHAnsi"/>
        </w:rPr>
        <w:t>prorata)</w:t>
      </w:r>
      <w:r w:rsidRPr="00DE62F4">
        <w:rPr>
          <w:rFonts w:cstheme="minorHAnsi"/>
        </w:rPr>
        <w:t>.</w:t>
      </w:r>
      <w:r w:rsidR="00574805" w:rsidRPr="00DE62F4">
        <w:rPr>
          <w:rFonts w:cstheme="minorHAnsi"/>
        </w:rPr>
        <w:t xml:space="preserve"> Les absences de courte durée, bien qu’impactant le fonctionnement des activités, n’engendreront pas non plus de prorata sur le calcul de la prime.</w:t>
      </w:r>
    </w:p>
    <w:p w14:paraId="7F6D0BFC" w14:textId="77777777" w:rsidP="00DE62F4" w:rsidR="00DE62F4" w:rsidRDefault="00DE62F4" w:rsidRPr="00B73CC3">
      <w:pPr>
        <w:pStyle w:val="Sansinterligne"/>
        <w:spacing w:before="40"/>
        <w:ind w:left="1440"/>
        <w:jc w:val="both"/>
        <w:rPr>
          <w:rFonts w:cstheme="minorHAnsi"/>
        </w:rPr>
      </w:pPr>
    </w:p>
    <w:p w14:paraId="2B701A2C" w14:textId="43CC0B6F" w:rsidP="00EA14A0" w:rsidR="00796B9C" w:rsidRDefault="00A912E4">
      <w:pPr>
        <w:pStyle w:val="Sansinterligne"/>
        <w:spacing w:before="40"/>
        <w:jc w:val="both"/>
        <w:rPr>
          <w:rFonts w:cstheme="minorHAnsi"/>
        </w:rPr>
      </w:pPr>
      <w:r w:rsidRPr="00E4727A">
        <w:rPr>
          <w:rFonts w:cstheme="minorHAnsi"/>
        </w:rPr>
        <w:t>Le v</w:t>
      </w:r>
      <w:r w:rsidR="00796B9C" w:rsidRPr="00E4727A">
        <w:rPr>
          <w:rFonts w:cstheme="minorHAnsi"/>
        </w:rPr>
        <w:t xml:space="preserve">ersement de la prime </w:t>
      </w:r>
      <w:r w:rsidRPr="00E4727A">
        <w:rPr>
          <w:rFonts w:cstheme="minorHAnsi"/>
        </w:rPr>
        <w:t xml:space="preserve">se fera </w:t>
      </w:r>
      <w:r w:rsidR="00D11C8A">
        <w:rPr>
          <w:rFonts w:cstheme="minorHAnsi"/>
        </w:rPr>
        <w:t>en</w:t>
      </w:r>
      <w:r w:rsidR="00E4727A" w:rsidRPr="00D11C8A">
        <w:rPr>
          <w:rFonts w:cstheme="minorHAnsi"/>
        </w:rPr>
        <w:t xml:space="preserve"> décembre 2022</w:t>
      </w:r>
      <w:r w:rsidR="00796B9C" w:rsidRPr="00D11C8A">
        <w:rPr>
          <w:rFonts w:cstheme="minorHAnsi"/>
        </w:rPr>
        <w:t>.</w:t>
      </w:r>
    </w:p>
    <w:p w14:paraId="34C9B607" w14:textId="22219095" w:rsidP="00EA14A0" w:rsidR="00E4727A" w:rsidRDefault="006F36E7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Conformément à la législation en vigueur</w:t>
      </w:r>
      <w:r w:rsidR="005B05FD">
        <w:rPr>
          <w:rFonts w:cstheme="minorHAnsi"/>
        </w:rPr>
        <w:t xml:space="preserve"> (loi n°2022-1158 du 16 août 2022)</w:t>
      </w:r>
      <w:r>
        <w:rPr>
          <w:rFonts w:cstheme="minorHAnsi"/>
        </w:rPr>
        <w:t>, le régime social et fiscal de cette prime est le suivant :</w:t>
      </w:r>
    </w:p>
    <w:p w14:paraId="0437A3D7" w14:textId="77777777" w:rsidP="00EA14A0" w:rsidR="006F36E7" w:rsidRDefault="006F36E7">
      <w:pPr>
        <w:pStyle w:val="Sansinterligne"/>
        <w:spacing w:before="40"/>
        <w:jc w:val="both"/>
        <w:rPr>
          <w:rFonts w:cstheme="minorHAnsi"/>
        </w:rPr>
      </w:pPr>
    </w:p>
    <w:tbl>
      <w:tblPr>
        <w:tblW w:type="dxa" w:w="850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4260"/>
        <w:gridCol w:w="4240"/>
      </w:tblGrid>
      <w:tr w14:paraId="223AE6A0" w14:textId="77777777" w:rsidR="006F36E7" w:rsidRPr="006F36E7" w:rsidTr="00D11C8A">
        <w:trPr>
          <w:trHeight w:val="688"/>
        </w:trPr>
        <w:tc>
          <w:tcPr>
            <w:tcW w:type="dxa" w:w="42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431019A" w14:textId="08DE72BF" w:rsidP="006F36E7" w:rsidR="006F36E7" w:rsidRDefault="006F36E7" w:rsidRPr="006F36E7">
            <w:pPr>
              <w:spacing w:after="0" w:line="240" w:lineRule="auto"/>
              <w:rPr>
                <w:rFonts w:ascii="Calibri" w:cs="Calibri" w:eastAsia="Times New Roman" w:hAnsi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Calibri" w:cs="Calibri" w:eastAsia="Times New Roman" w:hAnsi="Calibri"/>
                <w:b/>
                <w:bCs/>
                <w:color w:val="000000"/>
                <w:sz w:val="18"/>
                <w:szCs w:val="18"/>
                <w:lang w:eastAsia="fr-FR"/>
              </w:rPr>
              <w:t xml:space="preserve">Salariés dont la rémunération annuelle est inférieure à 3 fois le SMIC annuel (58 695,21 €) </w:t>
            </w:r>
          </w:p>
        </w:tc>
        <w:tc>
          <w:tcPr>
            <w:tcW w:type="dxa" w:w="424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07174190" w14:textId="58E4B2D2" w:rsidP="006F36E7" w:rsidR="006F36E7" w:rsidRDefault="006F36E7" w:rsidRPr="006F36E7">
            <w:pPr>
              <w:spacing w:after="0" w:line="240" w:lineRule="auto"/>
              <w:rPr>
                <w:rFonts w:ascii="Calibri" w:cs="Calibri" w:eastAsia="Times New Roman" w:hAnsi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Calibri" w:cs="Calibri" w:eastAsia="Times New Roman" w:hAnsi="Calibri"/>
                <w:b/>
                <w:bCs/>
                <w:color w:val="000000"/>
                <w:sz w:val="18"/>
                <w:szCs w:val="18"/>
                <w:lang w:eastAsia="fr-FR"/>
              </w:rPr>
              <w:t xml:space="preserve">Salariés dont la rémunération annuelle est au moins égale à 3 fois le SMIC annuel (58 695,21 €) </w:t>
            </w:r>
          </w:p>
        </w:tc>
      </w:tr>
      <w:tr w14:paraId="1F5D307A" w14:textId="77777777" w:rsidR="006F36E7" w:rsidRPr="006F36E7" w:rsidTr="006F36E7">
        <w:trPr>
          <w:trHeight w:val="480"/>
        </w:trPr>
        <w:tc>
          <w:tcPr>
            <w:tcW w:type="dxa" w:w="42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8AE57E3" w14:textId="77777777" w:rsidP="006F36E7" w:rsidR="006F36E7" w:rsidRDefault="006F36E7" w:rsidRPr="006F36E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  <w:t xml:space="preserve">• </w:t>
            </w:r>
            <w:r w:rsidRPr="006F36E7">
              <w:rPr>
                <w:rFonts w:ascii="Calibri" w:cs="Calibri" w:eastAsia="Times New Roman" w:hAnsi="Calibri"/>
                <w:color w:val="000000"/>
                <w:sz w:val="18"/>
                <w:szCs w:val="18"/>
                <w:lang w:eastAsia="fr-FR"/>
              </w:rPr>
              <w:t xml:space="preserve">Exonération de toutes les cotisations et contributions sociales salariales </w:t>
            </w:r>
          </w:p>
        </w:tc>
        <w:tc>
          <w:tcPr>
            <w:tcW w:type="dxa" w:w="4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36E73CB" w14:textId="77777777" w:rsidP="006F36E7" w:rsidR="006F36E7" w:rsidRDefault="006F36E7" w:rsidRPr="006F36E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  <w:t xml:space="preserve">• </w:t>
            </w:r>
            <w:r w:rsidRPr="006F36E7">
              <w:rPr>
                <w:rFonts w:ascii="Calibri" w:cs="Calibri" w:eastAsia="Times New Roman" w:hAnsi="Calibri"/>
                <w:color w:val="000000"/>
                <w:sz w:val="18"/>
                <w:szCs w:val="18"/>
                <w:lang w:eastAsia="fr-FR"/>
              </w:rPr>
              <w:t xml:space="preserve">Exonération de toutes les cotisations et contributions sociales salariales </w:t>
            </w:r>
          </w:p>
        </w:tc>
      </w:tr>
      <w:tr w14:paraId="383FBBA8" w14:textId="77777777" w:rsidR="006F36E7" w:rsidRPr="006F36E7" w:rsidTr="006F36E7">
        <w:trPr>
          <w:trHeight w:val="368"/>
        </w:trPr>
        <w:tc>
          <w:tcPr>
            <w:tcW w:type="dxa" w:w="42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5198A37" w14:textId="77777777" w:rsidP="006F36E7" w:rsidR="006F36E7" w:rsidRDefault="006F36E7" w:rsidRPr="006F36E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  <w:t xml:space="preserve">• </w:t>
            </w:r>
            <w:r w:rsidRPr="006F36E7">
              <w:rPr>
                <w:rFonts w:ascii="Calibri" w:cs="Calibri" w:eastAsia="Times New Roman" w:hAnsi="Calibri"/>
                <w:color w:val="000000"/>
                <w:sz w:val="18"/>
                <w:szCs w:val="18"/>
                <w:lang w:eastAsia="fr-FR"/>
              </w:rPr>
              <w:t xml:space="preserve">Exonération de CSG et CRDS </w:t>
            </w:r>
          </w:p>
        </w:tc>
        <w:tc>
          <w:tcPr>
            <w:tcW w:type="dxa" w:w="4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FD84E46" w14:textId="77777777" w:rsidP="006F36E7" w:rsidR="006F36E7" w:rsidRDefault="006F36E7" w:rsidRPr="006F36E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  <w:t xml:space="preserve">• </w:t>
            </w:r>
            <w:r w:rsidRPr="006F36E7">
              <w:rPr>
                <w:rFonts w:ascii="Calibri" w:cs="Calibri" w:eastAsia="Times New Roman" w:hAnsi="Calibri"/>
                <w:color w:val="000000"/>
                <w:sz w:val="18"/>
                <w:szCs w:val="18"/>
                <w:lang w:eastAsia="fr-FR"/>
              </w:rPr>
              <w:t xml:space="preserve">Assujettissement à la CSG et CRDS </w:t>
            </w:r>
          </w:p>
        </w:tc>
      </w:tr>
      <w:tr w14:paraId="33E4ACE2" w14:textId="77777777" w:rsidR="006F36E7" w:rsidRPr="006F36E7" w:rsidTr="006F36E7">
        <w:trPr>
          <w:trHeight w:val="401"/>
        </w:trPr>
        <w:tc>
          <w:tcPr>
            <w:tcW w:type="dxa" w:w="42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000EE8E9" w14:textId="77777777" w:rsidP="006F36E7" w:rsidR="006F36E7" w:rsidRDefault="006F36E7" w:rsidRPr="006F36E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  <w:t xml:space="preserve">• </w:t>
            </w:r>
            <w:r w:rsidRPr="006F36E7">
              <w:rPr>
                <w:rFonts w:ascii="Calibri" w:cs="Calibri" w:eastAsia="Times New Roman" w:hAnsi="Calibri"/>
                <w:color w:val="000000"/>
                <w:sz w:val="18"/>
                <w:szCs w:val="18"/>
                <w:lang w:eastAsia="fr-FR"/>
              </w:rPr>
              <w:t xml:space="preserve">Exonéré d’impôt sur le revenu </w:t>
            </w:r>
          </w:p>
        </w:tc>
        <w:tc>
          <w:tcPr>
            <w:tcW w:type="dxa" w:w="4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709F40E" w14:textId="77777777" w:rsidP="006F36E7" w:rsidR="006F36E7" w:rsidRDefault="006F36E7" w:rsidRPr="006F36E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</w:pPr>
            <w:r w:rsidRPr="006F36E7">
              <w:rPr>
                <w:rFonts w:ascii="Arial" w:cs="Arial" w:eastAsia="Times New Roman" w:hAnsi="Arial"/>
                <w:color w:val="000000"/>
                <w:sz w:val="18"/>
                <w:szCs w:val="18"/>
                <w:lang w:eastAsia="fr-FR"/>
              </w:rPr>
              <w:t xml:space="preserve">• </w:t>
            </w:r>
            <w:r w:rsidRPr="006F36E7">
              <w:rPr>
                <w:rFonts w:ascii="Calibri" w:cs="Calibri" w:eastAsia="Times New Roman" w:hAnsi="Calibri"/>
                <w:color w:val="000000"/>
                <w:sz w:val="18"/>
                <w:szCs w:val="18"/>
                <w:lang w:eastAsia="fr-FR"/>
              </w:rPr>
              <w:t xml:space="preserve">Soumis à impôt sur le revenu </w:t>
            </w:r>
          </w:p>
        </w:tc>
      </w:tr>
    </w:tbl>
    <w:p w14:paraId="0F091BFD" w14:textId="77777777" w:rsidP="00EA14A0" w:rsidR="006C3CC8" w:rsidRDefault="006C3CC8">
      <w:pPr>
        <w:pStyle w:val="Sansinterligne"/>
        <w:spacing w:before="40"/>
        <w:jc w:val="both"/>
        <w:rPr>
          <w:rFonts w:cstheme="minorHAnsi"/>
        </w:rPr>
      </w:pPr>
    </w:p>
    <w:p w14:paraId="26B6FCD5" w14:textId="5CC30D3C" w:rsidP="006E34B5" w:rsidR="005965E9" w:rsidRDefault="005965E9" w:rsidRPr="006E34B5">
      <w:pPr>
        <w:pStyle w:val="Titre1"/>
      </w:pPr>
      <w:bookmarkStart w:id="11" w:name="_Toc118876773"/>
      <w:r>
        <w:t>ARTICLE 5 – EVOLUTION DE l’INFLATIO</w:t>
      </w:r>
      <w:r w:rsidR="006E34B5">
        <w:t>N</w:t>
      </w:r>
      <w:bookmarkEnd w:id="11"/>
    </w:p>
    <w:p w14:paraId="2DF34112" w14:textId="01BAC0F8" w:rsidP="00103456" w:rsidR="005965E9" w:rsidRDefault="00103456">
      <w:pPr>
        <w:pStyle w:val="Sansinterligne"/>
        <w:spacing w:before="40"/>
        <w:jc w:val="both"/>
        <w:rPr>
          <w:rFonts w:cstheme="minorHAnsi"/>
        </w:rPr>
      </w:pPr>
      <w:r w:rsidRPr="00103456">
        <w:rPr>
          <w:rFonts w:cstheme="minorHAnsi"/>
        </w:rPr>
        <w:t>Les parties conviennent d’inscrire u</w:t>
      </w:r>
      <w:r w:rsidR="005965E9" w:rsidRPr="00103456">
        <w:rPr>
          <w:rFonts w:cstheme="minorHAnsi"/>
        </w:rPr>
        <w:t>n point sur l’évolution de l’inflation</w:t>
      </w:r>
      <w:r w:rsidR="0083326E">
        <w:rPr>
          <w:rFonts w:cstheme="minorHAnsi"/>
        </w:rPr>
        <w:t xml:space="preserve"> et ses conséquences</w:t>
      </w:r>
      <w:r w:rsidR="005965E9" w:rsidRPr="00103456">
        <w:rPr>
          <w:rFonts w:cstheme="minorHAnsi"/>
        </w:rPr>
        <w:t xml:space="preserve"> à l’ordre du jour du CSEC de juin 2023.</w:t>
      </w:r>
    </w:p>
    <w:p w14:paraId="77BD77BC" w14:textId="3AA74EA0" w:rsidP="00103456" w:rsidR="00D11C8A" w:rsidRDefault="00D11C8A">
      <w:pPr>
        <w:pStyle w:val="Sansinterligne"/>
        <w:spacing w:before="40"/>
        <w:jc w:val="both"/>
        <w:rPr>
          <w:rFonts w:cstheme="minorHAnsi"/>
        </w:rPr>
      </w:pPr>
    </w:p>
    <w:p w14:paraId="15FE1757" w14:textId="7E3EA80C" w:rsidP="00D7366C" w:rsidR="00D7366C" w:rsidRDefault="00D7366C" w:rsidRPr="00677318">
      <w:pPr>
        <w:pStyle w:val="Titre1"/>
      </w:pPr>
      <w:bookmarkStart w:id="12" w:name="_Toc118876774"/>
      <w:r w:rsidRPr="00677318">
        <w:t xml:space="preserve">ARTICLE </w:t>
      </w:r>
      <w:r w:rsidR="00F82A55">
        <w:t>6</w:t>
      </w:r>
      <w:r w:rsidR="006F18A5" w:rsidRPr="00677318">
        <w:t xml:space="preserve"> </w:t>
      </w:r>
      <w:r w:rsidRPr="00677318">
        <w:t xml:space="preserve">– </w:t>
      </w:r>
      <w:r w:rsidR="002A3128" w:rsidRPr="00677318">
        <w:t xml:space="preserve">AUTRES THEMES QUI </w:t>
      </w:r>
      <w:r w:rsidR="000573FE" w:rsidRPr="00677318">
        <w:t>FERONT</w:t>
      </w:r>
      <w:r w:rsidR="002A3128" w:rsidRPr="00677318">
        <w:t xml:space="preserve"> L’OBJET D’ECHANGES AU COURS DE L’ANNEE 20</w:t>
      </w:r>
      <w:r w:rsidR="005A09CA" w:rsidRPr="00677318">
        <w:t>23</w:t>
      </w:r>
      <w:bookmarkEnd w:id="12"/>
    </w:p>
    <w:p w14:paraId="4FD214C9" w14:textId="4DB02BEF" w:rsidP="00D7366C" w:rsidR="00D7366C" w:rsidRDefault="002A3128" w:rsidRPr="00677318">
      <w:pPr>
        <w:pStyle w:val="Sansinterligne"/>
        <w:spacing w:before="40"/>
        <w:jc w:val="both"/>
        <w:rPr>
          <w:rFonts w:cstheme="minorHAnsi"/>
        </w:rPr>
      </w:pPr>
      <w:r w:rsidRPr="00677318">
        <w:rPr>
          <w:rFonts w:cstheme="minorHAnsi"/>
        </w:rPr>
        <w:t>Les parties conviennent notamment </w:t>
      </w:r>
      <w:r w:rsidR="000573FE" w:rsidRPr="00677318">
        <w:rPr>
          <w:rFonts w:cstheme="minorHAnsi"/>
        </w:rPr>
        <w:t xml:space="preserve">d’ouvrir le débat sur </w:t>
      </w:r>
      <w:r w:rsidRPr="00677318">
        <w:rPr>
          <w:rFonts w:cstheme="minorHAnsi"/>
        </w:rPr>
        <w:t>:</w:t>
      </w:r>
    </w:p>
    <w:p w14:paraId="49656409" w14:textId="693556AE" w:rsidP="002A3128" w:rsidR="000573FE" w:rsidRDefault="000573FE" w:rsidRPr="00677318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677318">
        <w:rPr>
          <w:rFonts w:cstheme="minorHAnsi"/>
        </w:rPr>
        <w:t>Le handicap</w:t>
      </w:r>
    </w:p>
    <w:p w14:paraId="497434FE" w14:textId="0A60CFE7" w:rsidP="003446BD" w:rsidR="00D7366C" w:rsidRDefault="006F36E7" w:rsidRPr="00677318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677318">
        <w:rPr>
          <w:rFonts w:cstheme="minorHAnsi"/>
        </w:rPr>
        <w:t>La QVT / télétravail</w:t>
      </w:r>
    </w:p>
    <w:p w14:paraId="532ACC71" w14:textId="77777777" w:rsidP="008D3FC0" w:rsidR="006F36E7" w:rsidRDefault="006F36E7" w:rsidRPr="00677318">
      <w:pPr>
        <w:pStyle w:val="Sansinterligne"/>
        <w:spacing w:before="40"/>
        <w:jc w:val="both"/>
        <w:rPr>
          <w:rFonts w:cstheme="minorHAnsi"/>
        </w:rPr>
      </w:pPr>
    </w:p>
    <w:p w14:paraId="09BA0274" w14:textId="5BDEE03B" w:rsidP="006F18A5" w:rsidR="006F18A5" w:rsidRDefault="006F18A5" w:rsidRPr="00677318">
      <w:pPr>
        <w:pStyle w:val="Titre1"/>
      </w:pPr>
      <w:bookmarkStart w:id="13" w:name="_Toc118876775"/>
      <w:r w:rsidRPr="00677318">
        <w:t xml:space="preserve">ARTICLE </w:t>
      </w:r>
      <w:r w:rsidR="00F82A55">
        <w:t>7</w:t>
      </w:r>
      <w:r w:rsidRPr="00677318">
        <w:t xml:space="preserve"> – REGLEMENT DES DIFFERENDS</w:t>
      </w:r>
      <w:bookmarkEnd w:id="13"/>
    </w:p>
    <w:p w14:paraId="0A21C32D" w14:textId="7EBD3235" w:rsidP="008D3FC0" w:rsidR="00D7366C" w:rsidRDefault="006F18A5" w:rsidRPr="00677318">
      <w:pPr>
        <w:pStyle w:val="Sansinterligne"/>
        <w:spacing w:before="40"/>
        <w:jc w:val="both"/>
        <w:rPr>
          <w:rFonts w:cstheme="minorHAnsi"/>
        </w:rPr>
      </w:pPr>
      <w:r w:rsidRPr="00677318">
        <w:rPr>
          <w:rFonts w:cstheme="minorHAnsi"/>
        </w:rPr>
        <w:t>En cas de différend survenant à l'occasion de l'application du présent accord, les parties signataires s'engagent à rechercher une solution amiable. Si une solution amiable ne peut être trouvée, les parties concernées pourront saisir les juridictions compétentes.</w:t>
      </w:r>
    </w:p>
    <w:p w14:paraId="3B3C23A0" w14:textId="77777777" w:rsidP="008D3FC0" w:rsidR="006F18A5" w:rsidRDefault="006F18A5" w:rsidRPr="00677318">
      <w:pPr>
        <w:pStyle w:val="Sansinterligne"/>
        <w:spacing w:before="40"/>
        <w:jc w:val="both"/>
        <w:rPr>
          <w:rFonts w:cstheme="minorHAnsi"/>
        </w:rPr>
      </w:pPr>
    </w:p>
    <w:p w14:paraId="4C495317" w14:textId="77A51BB6" w:rsidP="00A52448" w:rsidR="0004025E" w:rsidRDefault="0004025E" w:rsidRPr="00677318">
      <w:pPr>
        <w:pStyle w:val="Titre1"/>
      </w:pPr>
      <w:bookmarkStart w:id="14" w:name="_Toc118876776"/>
      <w:r w:rsidRPr="00677318">
        <w:t xml:space="preserve">ARTICLE </w:t>
      </w:r>
      <w:r w:rsidR="00F82A55">
        <w:t>8</w:t>
      </w:r>
      <w:r w:rsidRPr="00677318">
        <w:t xml:space="preserve"> </w:t>
      </w:r>
      <w:r w:rsidR="00D7366C" w:rsidRPr="00677318">
        <w:t>–</w:t>
      </w:r>
      <w:r w:rsidRPr="00677318">
        <w:t xml:space="preserve"> DÉPÔT</w:t>
      </w:r>
      <w:r w:rsidR="00D7366C" w:rsidRPr="00677318">
        <w:t xml:space="preserve"> ET PUBLICITE</w:t>
      </w:r>
      <w:bookmarkEnd w:id="14"/>
    </w:p>
    <w:p w14:paraId="3405669C" w14:textId="638538BC" w:rsidP="008D3FC0" w:rsidR="00F41127" w:rsidRDefault="0004025E">
      <w:pPr>
        <w:pStyle w:val="Sansinterligne"/>
        <w:spacing w:before="40"/>
        <w:jc w:val="both"/>
        <w:rPr>
          <w:rFonts w:cstheme="minorHAnsi"/>
        </w:rPr>
      </w:pPr>
      <w:r w:rsidRPr="00677318">
        <w:rPr>
          <w:rFonts w:cstheme="minorHAnsi"/>
        </w:rPr>
        <w:t xml:space="preserve">Conformément aux articles L.2231-6 et D.2231-2 et suivants du Code du travail, </w:t>
      </w:r>
      <w:r w:rsidR="00F41127" w:rsidRPr="00677318">
        <w:rPr>
          <w:rFonts w:cstheme="minorHAnsi"/>
        </w:rPr>
        <w:t xml:space="preserve">deux exemplaires </w:t>
      </w:r>
      <w:r w:rsidRPr="00677318">
        <w:rPr>
          <w:rFonts w:cstheme="minorHAnsi"/>
        </w:rPr>
        <w:t xml:space="preserve">du présent accord seront déposés </w:t>
      </w:r>
      <w:r w:rsidR="00F41127" w:rsidRPr="00677318">
        <w:rPr>
          <w:rFonts w:cstheme="minorHAnsi"/>
        </w:rPr>
        <w:t>auprès de la D</w:t>
      </w:r>
      <w:r w:rsidR="00827D3B">
        <w:rPr>
          <w:rFonts w:cstheme="minorHAnsi"/>
        </w:rPr>
        <w:t>RIEETS</w:t>
      </w:r>
      <w:r w:rsidR="00F41127" w:rsidRPr="00677318">
        <w:rPr>
          <w:rFonts w:cstheme="minorHAnsi"/>
        </w:rPr>
        <w:t xml:space="preserve"> des Hauts-de-Seine à Nanterre, dont une version sur support électronique signée des parties, et une version sur support électronique anonyme. Un exemplaire sera également remis au secrétariat-greffe du Conseil de prud'hommes de Nanterre. En outre, un exemplaire original sera établi</w:t>
      </w:r>
      <w:r w:rsidR="00F41127" w:rsidRPr="00F41127">
        <w:rPr>
          <w:rFonts w:cstheme="minorHAnsi"/>
        </w:rPr>
        <w:t xml:space="preserve"> pour chaque partie.</w:t>
      </w:r>
    </w:p>
    <w:p w14:paraId="4E3E2C90" w14:textId="77777777" w:rsidP="008D3FC0" w:rsidR="00F41127" w:rsidRDefault="00F41127">
      <w:pPr>
        <w:pStyle w:val="Sansinterligne"/>
        <w:spacing w:before="40"/>
        <w:jc w:val="both"/>
        <w:rPr>
          <w:rFonts w:cstheme="minorHAnsi"/>
        </w:rPr>
      </w:pPr>
    </w:p>
    <w:p w14:paraId="3C68E983" w14:textId="3CA4A735" w:rsidP="008D3FC0" w:rsidR="00F41127" w:rsidRDefault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Fait, en 6 exemplaires, à Levallois-Perret, </w:t>
      </w:r>
      <w:r w:rsidRPr="000573FE">
        <w:rPr>
          <w:rFonts w:cstheme="minorHAnsi"/>
        </w:rPr>
        <w:t xml:space="preserve">le </w:t>
      </w:r>
      <w:r w:rsidR="00677318">
        <w:rPr>
          <w:rFonts w:cstheme="minorHAnsi"/>
        </w:rPr>
        <w:t>9</w:t>
      </w:r>
      <w:r w:rsidRPr="000573FE">
        <w:rPr>
          <w:rFonts w:cstheme="minorHAnsi"/>
        </w:rPr>
        <w:t xml:space="preserve"> </w:t>
      </w:r>
      <w:r w:rsidR="00E90678">
        <w:rPr>
          <w:rFonts w:cstheme="minorHAnsi"/>
        </w:rPr>
        <w:t>novembre</w:t>
      </w:r>
      <w:r w:rsidR="00FF60B6">
        <w:rPr>
          <w:rFonts w:cstheme="minorHAnsi"/>
        </w:rPr>
        <w:t xml:space="preserve"> 20</w:t>
      </w:r>
      <w:r w:rsidR="00E90678">
        <w:rPr>
          <w:rFonts w:cstheme="minorHAnsi"/>
        </w:rPr>
        <w:t>22</w:t>
      </w:r>
      <w:r w:rsidR="00297B19">
        <w:rPr>
          <w:rFonts w:cstheme="minorHAnsi"/>
        </w:rPr>
        <w:t>,</w:t>
      </w:r>
    </w:p>
    <w:p w14:paraId="05E56E40" w14:textId="77777777" w:rsidP="008D3FC0" w:rsidR="00103456" w:rsidRDefault="00103456" w:rsidRPr="00F41127">
      <w:pPr>
        <w:pStyle w:val="Sansinterligne"/>
        <w:spacing w:before="40"/>
        <w:jc w:val="both"/>
        <w:rPr>
          <w:rFonts w:cstheme="minorHAnsi"/>
        </w:rPr>
      </w:pPr>
    </w:p>
    <w:p w14:paraId="1FD32287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Pour </w:t>
      </w:r>
      <w:proofErr w:type="spellStart"/>
      <w:r w:rsidRPr="00F41127">
        <w:rPr>
          <w:rFonts w:cstheme="minorHAnsi"/>
        </w:rPr>
        <w:t>Saft</w:t>
      </w:r>
      <w:proofErr w:type="spellEnd"/>
      <w:r w:rsidRPr="00F41127">
        <w:rPr>
          <w:rFonts w:cstheme="minorHAnsi"/>
        </w:rPr>
        <w:t xml:space="preserve"> SAS</w:t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  <w:t xml:space="preserve">Pour la CFDT, </w:t>
      </w:r>
    </w:p>
    <w:p w14:paraId="01E06A04" w14:textId="381EDBDC" w:rsidP="008D3FC0" w:rsidR="00F41127" w:rsidRDefault="00827F7E" w:rsidRPr="00F41127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XXXX</w:t>
      </w:r>
      <w:r w:rsidR="00E90678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>
        <w:rPr>
          <w:rFonts w:cstheme="minorHAnsi"/>
        </w:rPr>
        <w:tab/>
      </w:r>
      <w:r w:rsidR="00F41127" w:rsidRPr="00F41127">
        <w:rPr>
          <w:rFonts w:cstheme="minorHAnsi"/>
        </w:rPr>
        <w:tab/>
      </w:r>
      <w:proofErr w:type="spellStart"/>
      <w:r>
        <w:rPr>
          <w:rFonts w:cstheme="minorHAnsi"/>
        </w:rPr>
        <w:t>XXXX</w:t>
      </w:r>
      <w:proofErr w:type="spellEnd"/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</w:p>
    <w:p w14:paraId="414B0474" w14:textId="77777777" w:rsidP="008D3FC0" w:rsidR="00811ED2" w:rsidRDefault="00811ED2" w:rsidRPr="00F41127">
      <w:pPr>
        <w:pStyle w:val="Sansinterligne"/>
        <w:spacing w:before="40"/>
        <w:jc w:val="both"/>
        <w:rPr>
          <w:rFonts w:cstheme="minorHAnsi"/>
        </w:rPr>
      </w:pPr>
    </w:p>
    <w:p w14:paraId="25A5936E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  <w:t>Pour la CFE-CGC</w:t>
      </w:r>
    </w:p>
    <w:p w14:paraId="5C15AFD6" w14:textId="04311C51" w:rsidP="008D3FC0" w:rsidR="00F41127" w:rsidRDefault="00827F7E" w:rsidRPr="00F41127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XXXX</w:t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XXXX</w:t>
      </w:r>
      <w:proofErr w:type="spellEnd"/>
    </w:p>
    <w:p w14:paraId="47078C85" w14:textId="75F6C09C" w:rsidP="008D3FC0" w:rsidR="00F41127" w:rsidRDefault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</w:p>
    <w:p w14:paraId="16482526" w14:textId="77777777" w:rsidP="008D3FC0" w:rsidR="00811ED2" w:rsidRDefault="00811ED2" w:rsidRPr="00F41127">
      <w:pPr>
        <w:pStyle w:val="Sansinterligne"/>
        <w:spacing w:before="40"/>
        <w:jc w:val="both"/>
        <w:rPr>
          <w:rFonts w:cstheme="minorHAnsi"/>
        </w:rPr>
      </w:pPr>
    </w:p>
    <w:p w14:paraId="07A693C0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</w:p>
    <w:p w14:paraId="1C7EE087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  <w:t>Pour la CGT</w:t>
      </w:r>
    </w:p>
    <w:p w14:paraId="075D13FB" w14:textId="137366BF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="00827F7E">
        <w:rPr>
          <w:rFonts w:cstheme="minorHAnsi"/>
        </w:rPr>
        <w:t>XXXX</w:t>
      </w:r>
    </w:p>
    <w:sectPr w:rsidR="00F41127" w:rsidRPr="00F41127" w:rsidSect="00A77FA3"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BFE8" w14:textId="77777777" w:rsidR="00105369" w:rsidRDefault="00105369" w:rsidP="00105369">
      <w:pPr>
        <w:spacing w:after="0" w:line="240" w:lineRule="auto"/>
      </w:pPr>
      <w:r>
        <w:separator/>
      </w:r>
    </w:p>
  </w:endnote>
  <w:endnote w:type="continuationSeparator" w:id="0">
    <w:p w14:paraId="207458A6" w14:textId="77777777" w:rsidR="00105369" w:rsidRDefault="00105369" w:rsidP="0010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sz w:val="20"/>
      </w:rPr>
      <w:id w:val="47233845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CE93FE" w14:textId="47EEE40E" w:rsidP="00105369" w:rsidR="00105369" w:rsidRDefault="00105369" w:rsidRPr="00105369">
            <w:pPr>
              <w:pStyle w:val="Pieddepage"/>
              <w:jc w:val="center"/>
              <w:rPr>
                <w:sz w:val="16"/>
                <w:szCs w:val="16"/>
              </w:rPr>
            </w:pPr>
            <w:r w:rsidRPr="00105369">
              <w:rPr>
                <w:sz w:val="16"/>
                <w:szCs w:val="16"/>
              </w:rPr>
              <w:t xml:space="preserve">Accord </w:t>
            </w:r>
            <w:r w:rsidR="00592BB0">
              <w:rPr>
                <w:sz w:val="16"/>
                <w:szCs w:val="16"/>
              </w:rPr>
              <w:t>salarial 20</w:t>
            </w:r>
            <w:r w:rsidR="006F36E7">
              <w:rPr>
                <w:sz w:val="16"/>
                <w:szCs w:val="16"/>
              </w:rPr>
              <w:t>23</w:t>
            </w:r>
            <w:r w:rsidRPr="00105369">
              <w:rPr>
                <w:sz w:val="16"/>
                <w:szCs w:val="16"/>
              </w:rPr>
              <w:t xml:space="preserve"> – </w:t>
            </w:r>
            <w:proofErr w:type="spellStart"/>
            <w:r w:rsidRPr="00105369">
              <w:rPr>
                <w:sz w:val="16"/>
                <w:szCs w:val="16"/>
              </w:rPr>
              <w:t>Saft</w:t>
            </w:r>
            <w:proofErr w:type="spellEnd"/>
            <w:r w:rsidRPr="00105369">
              <w:rPr>
                <w:sz w:val="16"/>
                <w:szCs w:val="16"/>
              </w:rPr>
              <w:t xml:space="preserve"> SAS</w:t>
            </w:r>
          </w:p>
          <w:p w14:paraId="311034DE" w14:textId="77777777" w:rsidR="00105369" w:rsidRDefault="00105369" w:rsidRPr="00105369">
            <w:pPr>
              <w:pStyle w:val="Pieddepage"/>
              <w:jc w:val="right"/>
              <w:rPr>
                <w:sz w:val="20"/>
              </w:rPr>
            </w:pPr>
            <w:r w:rsidRPr="00105369">
              <w:rPr>
                <w:sz w:val="16"/>
                <w:szCs w:val="18"/>
              </w:rPr>
              <w:t xml:space="preserve">Page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PAGE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2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  <w:r w:rsidRPr="00105369">
              <w:rPr>
                <w:sz w:val="16"/>
                <w:szCs w:val="18"/>
              </w:rPr>
              <w:t xml:space="preserve"> sur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NUMPAGES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2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sz w:val="20"/>
      </w:rPr>
      <w:id w:val="927776440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85470742"/>
          <w:docPartObj>
            <w:docPartGallery w:val="Page Numbers (Top of Page)"/>
            <w:docPartUnique/>
          </w:docPartObj>
        </w:sdtPr>
        <w:sdtEndPr/>
        <w:sdtContent>
          <w:p w14:paraId="668C0843" w14:textId="16390A2A" w:rsidP="009F25F4" w:rsidR="009F25F4" w:rsidRDefault="009F25F4" w:rsidRPr="00105369">
            <w:pPr>
              <w:pStyle w:val="Pieddepage"/>
              <w:jc w:val="center"/>
              <w:rPr>
                <w:sz w:val="16"/>
                <w:szCs w:val="16"/>
              </w:rPr>
            </w:pPr>
            <w:r w:rsidRPr="00105369">
              <w:rPr>
                <w:sz w:val="16"/>
                <w:szCs w:val="16"/>
              </w:rPr>
              <w:t xml:space="preserve">Accord </w:t>
            </w:r>
            <w:r w:rsidR="00592BB0">
              <w:rPr>
                <w:sz w:val="16"/>
                <w:szCs w:val="16"/>
              </w:rPr>
              <w:t>salarial 20</w:t>
            </w:r>
            <w:r w:rsidR="008F64DD">
              <w:rPr>
                <w:sz w:val="16"/>
                <w:szCs w:val="16"/>
              </w:rPr>
              <w:t>23</w:t>
            </w:r>
            <w:r w:rsidRPr="00105369">
              <w:rPr>
                <w:sz w:val="16"/>
                <w:szCs w:val="16"/>
              </w:rPr>
              <w:t xml:space="preserve"> – </w:t>
            </w:r>
            <w:proofErr w:type="spellStart"/>
            <w:r w:rsidRPr="00105369">
              <w:rPr>
                <w:sz w:val="16"/>
                <w:szCs w:val="16"/>
              </w:rPr>
              <w:t>Saft</w:t>
            </w:r>
            <w:proofErr w:type="spellEnd"/>
            <w:r w:rsidRPr="00105369">
              <w:rPr>
                <w:sz w:val="16"/>
                <w:szCs w:val="16"/>
              </w:rPr>
              <w:t xml:space="preserve"> SAS</w:t>
            </w:r>
          </w:p>
          <w:p w14:paraId="2525D120" w14:textId="77777777" w:rsidP="009F25F4" w:rsidR="009F25F4" w:rsidRDefault="009F25F4" w:rsidRPr="009F25F4">
            <w:pPr>
              <w:pStyle w:val="Pieddepage"/>
              <w:jc w:val="right"/>
              <w:rPr>
                <w:sz w:val="20"/>
              </w:rPr>
            </w:pPr>
            <w:r w:rsidRPr="00105369">
              <w:rPr>
                <w:sz w:val="16"/>
                <w:szCs w:val="18"/>
              </w:rPr>
              <w:t xml:space="preserve">Page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PAGE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1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  <w:r w:rsidRPr="00105369">
              <w:rPr>
                <w:sz w:val="16"/>
                <w:szCs w:val="18"/>
              </w:rPr>
              <w:t xml:space="preserve"> sur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NUMPAGES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2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A4C5299" w14:textId="77777777" w:rsidP="00105369" w:rsidR="00105369" w:rsidRDefault="00105369">
      <w:pPr>
        <w:spacing w:after="0" w:line="240" w:lineRule="auto"/>
      </w:pPr>
      <w:r>
        <w:separator/>
      </w:r>
    </w:p>
  </w:footnote>
  <w:footnote w:id="0" w:type="continuationSeparator">
    <w:p w14:paraId="6DA4CCE3" w14:textId="77777777" w:rsidP="00105369" w:rsidR="00105369" w:rsidRDefault="00105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77B4DE" w14:textId="01E95932" w:rsidR="00A77FA3" w:rsidRDefault="001F4DA4">
    <w:pPr>
      <w:pStyle w:val="En-tte"/>
    </w:pPr>
    <w:r w:rsidRPr="001F4DA4">
      <w:rPr>
        <w:noProof/>
      </w:rPr>
      <w:drawing>
        <wp:inline distB="0" distL="0" distR="0" distT="0" wp14:anchorId="6304D5E1" wp14:editId="4B8E089B">
          <wp:extent cx="1424940" cy="478432"/>
          <wp:effectExtent b="0" l="0" r="3810" t="0"/>
          <wp:docPr descr="\\FR-POI-GED\Vol1\DRH\17_DRH France\Communication RH France\Images logos\Logos\saft plat logo.jpg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\\FR-POI-GED\Vol1\DRH\17_DRH France\Communication RH France\Images logos\Logos\saft plat logo.jp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179" cy="487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A11D18"/>
    <w:multiLevelType w:val="hybridMultilevel"/>
    <w:tmpl w:val="77CAE404"/>
    <w:lvl w:ilvl="0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020A5908"/>
    <w:multiLevelType w:val="multilevel"/>
    <w:tmpl w:val="B810DE54"/>
    <w:lvl w:ilvl="0">
      <w:start w:val="3"/>
      <w:numFmt w:val="decimal"/>
      <w:lvlText w:val="%1"/>
      <w:lvlJc w:val="left"/>
      <w:pPr>
        <w:ind w:hanging="360" w:left="360"/>
      </w:pPr>
      <w:rPr>
        <w:rFonts w:cstheme="minorBidi" w:hint="default"/>
        <w:i/>
      </w:rPr>
    </w:lvl>
    <w:lvl w:ilvl="1">
      <w:start w:val="5"/>
      <w:numFmt w:val="decimal"/>
      <w:lvlText w:val="%1.%2"/>
      <w:lvlJc w:val="left"/>
      <w:pPr>
        <w:ind w:hanging="360" w:left="1788"/>
      </w:pPr>
      <w:rPr>
        <w:rFonts w:cstheme="minorBidi" w:hint="default"/>
        <w:i/>
      </w:rPr>
    </w:lvl>
    <w:lvl w:ilvl="2">
      <w:start w:val="1"/>
      <w:numFmt w:val="decimal"/>
      <w:lvlText w:val="%1.%2.%3"/>
      <w:lvlJc w:val="left"/>
      <w:pPr>
        <w:ind w:hanging="720" w:left="3576"/>
      </w:pPr>
      <w:rPr>
        <w:rFonts w:cstheme="minorBidi" w:hint="default"/>
        <w:i/>
      </w:rPr>
    </w:lvl>
    <w:lvl w:ilvl="3">
      <w:start w:val="1"/>
      <w:numFmt w:val="decimal"/>
      <w:lvlText w:val="%1.%2.%3.%4"/>
      <w:lvlJc w:val="left"/>
      <w:pPr>
        <w:ind w:hanging="720" w:left="5004"/>
      </w:pPr>
      <w:rPr>
        <w:rFonts w:cstheme="minorBidi" w:hint="default"/>
        <w:i/>
      </w:rPr>
    </w:lvl>
    <w:lvl w:ilvl="4">
      <w:start w:val="1"/>
      <w:numFmt w:val="decimal"/>
      <w:lvlText w:val="%1.%2.%3.%4.%5"/>
      <w:lvlJc w:val="left"/>
      <w:pPr>
        <w:ind w:hanging="1080" w:left="6792"/>
      </w:pPr>
      <w:rPr>
        <w:rFonts w:cstheme="minorBidi" w:hint="default"/>
        <w:i/>
      </w:rPr>
    </w:lvl>
    <w:lvl w:ilvl="5">
      <w:start w:val="1"/>
      <w:numFmt w:val="decimal"/>
      <w:lvlText w:val="%1.%2.%3.%4.%5.%6"/>
      <w:lvlJc w:val="left"/>
      <w:pPr>
        <w:ind w:hanging="1080" w:left="8220"/>
      </w:pPr>
      <w:rPr>
        <w:rFonts w:cstheme="minorBidi" w:hint="default"/>
        <w:i/>
      </w:rPr>
    </w:lvl>
    <w:lvl w:ilvl="6">
      <w:start w:val="1"/>
      <w:numFmt w:val="decimal"/>
      <w:lvlText w:val="%1.%2.%3.%4.%5.%6.%7"/>
      <w:lvlJc w:val="left"/>
      <w:pPr>
        <w:ind w:hanging="1440" w:left="10008"/>
      </w:pPr>
      <w:rPr>
        <w:rFonts w:cstheme="minorBidi" w:hint="default"/>
        <w:i/>
      </w:rPr>
    </w:lvl>
    <w:lvl w:ilvl="7">
      <w:start w:val="1"/>
      <w:numFmt w:val="decimal"/>
      <w:lvlText w:val="%1.%2.%3.%4.%5.%6.%7.%8"/>
      <w:lvlJc w:val="left"/>
      <w:pPr>
        <w:ind w:hanging="1440" w:left="11436"/>
      </w:pPr>
      <w:rPr>
        <w:rFonts w:cstheme="minorBidi" w:hint="default"/>
        <w:i/>
      </w:rPr>
    </w:lvl>
    <w:lvl w:ilvl="8">
      <w:start w:val="1"/>
      <w:numFmt w:val="decimal"/>
      <w:lvlText w:val="%1.%2.%3.%4.%5.%6.%7.%8.%9"/>
      <w:lvlJc w:val="left"/>
      <w:pPr>
        <w:ind w:hanging="1440" w:left="12864"/>
      </w:pPr>
      <w:rPr>
        <w:rFonts w:cstheme="minorBidi" w:hint="default"/>
        <w:i/>
      </w:rPr>
    </w:lvl>
  </w:abstractNum>
  <w:abstractNum w15:restartNumberingAfterBreak="0" w:abstractNumId="2">
    <w:nsid w:val="04C05F54"/>
    <w:multiLevelType w:val="multilevel"/>
    <w:tmpl w:val="F8742DD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abstractNum w15:restartNumberingAfterBreak="0" w:abstractNumId="3">
    <w:nsid w:val="060C17A2"/>
    <w:multiLevelType w:val="multilevel"/>
    <w:tmpl w:val="65F4A8F4"/>
    <w:lvl w:ilvl="0">
      <w:start w:val="4"/>
      <w:numFmt w:val="decimal"/>
      <w:lvlText w:val="%1"/>
      <w:lvlJc w:val="left"/>
      <w:pPr>
        <w:ind w:hanging="360" w:left="360"/>
      </w:pPr>
      <w:rPr>
        <w:rFonts w:cstheme="minorBidi" w:hint="default"/>
        <w:i/>
      </w:rPr>
    </w:lvl>
    <w:lvl w:ilvl="1">
      <w:start w:val="1"/>
      <w:numFmt w:val="decimal"/>
      <w:lvlText w:val="%1.%2"/>
      <w:lvlJc w:val="left"/>
      <w:pPr>
        <w:ind w:hanging="360" w:left="1068"/>
      </w:pPr>
      <w:rPr>
        <w:rFonts w:cstheme="minorBidi" w:hint="default"/>
        <w:i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cstheme="minorBidi" w:hint="default"/>
        <w:i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cstheme="minorBidi" w:hint="default"/>
        <w:i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cstheme="minorBidi" w:hint="default"/>
        <w:i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cstheme="minorBidi" w:hint="default"/>
        <w:i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cstheme="minorBidi" w:hint="default"/>
        <w:i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cstheme="minorBidi" w:hint="default"/>
        <w:i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cstheme="minorBidi" w:hint="default"/>
        <w:i/>
      </w:rPr>
    </w:lvl>
  </w:abstractNum>
  <w:abstractNum w15:restartNumberingAfterBreak="0" w:abstractNumId="4">
    <w:nsid w:val="0969248C"/>
    <w:multiLevelType w:val="hybridMultilevel"/>
    <w:tmpl w:val="A9605510"/>
    <w:lvl w:ilvl="0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1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8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7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4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04"/>
      </w:pPr>
      <w:rPr>
        <w:rFonts w:ascii="Wingdings" w:hAnsi="Wingdings" w:hint="default"/>
      </w:rPr>
    </w:lvl>
  </w:abstractNum>
  <w:abstractNum w15:restartNumberingAfterBreak="0" w:abstractNumId="5">
    <w:nsid w:val="0F154C1F"/>
    <w:multiLevelType w:val="hybridMultilevel"/>
    <w:tmpl w:val="A7421822"/>
    <w:lvl w:ilvl="0" w:tplc="5B10E7BC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F6F6239"/>
    <w:multiLevelType w:val="hybridMultilevel"/>
    <w:tmpl w:val="EE6AE86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462E3"/>
    <w:multiLevelType w:val="hybridMultilevel"/>
    <w:tmpl w:val="B3FA1C2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5C21DB3"/>
    <w:multiLevelType w:val="hybridMultilevel"/>
    <w:tmpl w:val="321CE7C4"/>
    <w:lvl w:ilvl="0" w:tplc="040C000B">
      <w:start w:val="1"/>
      <w:numFmt w:val="bullet"/>
      <w:lvlText w:val=""/>
      <w:lvlJc w:val="left"/>
      <w:pPr>
        <w:ind w:hanging="360" w:left="644"/>
      </w:pPr>
      <w:rPr>
        <w:rFonts w:ascii="Wingdings" w:hAnsi="Wingdings" w:hint="default"/>
        <w:b/>
        <w:bCs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79E607F"/>
    <w:multiLevelType w:val="multilevel"/>
    <w:tmpl w:val="7EBA177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1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8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39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53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6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78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89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9984"/>
      </w:pPr>
      <w:rPr>
        <w:rFonts w:hint="default"/>
      </w:rPr>
    </w:lvl>
  </w:abstractNum>
  <w:abstractNum w15:restartNumberingAfterBreak="0" w:abstractNumId="10">
    <w:nsid w:val="44D735D4"/>
    <w:multiLevelType w:val="hybridMultilevel"/>
    <w:tmpl w:val="A9D28D3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C4F4908"/>
    <w:multiLevelType w:val="multilevel"/>
    <w:tmpl w:val="14E854C6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abstractNum w15:restartNumberingAfterBreak="0" w:abstractNumId="12">
    <w:nsid w:val="4CF769D6"/>
    <w:multiLevelType w:val="hybridMultilevel"/>
    <w:tmpl w:val="FC5863E0"/>
    <w:lvl w:ilvl="0" w:tplc="8746F52A">
      <w:numFmt w:val="bullet"/>
      <w:lvlText w:val="•"/>
      <w:lvlJc w:val="left"/>
      <w:pPr>
        <w:ind w:hanging="708" w:left="1068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F2E598C"/>
    <w:multiLevelType w:val="multilevel"/>
    <w:tmpl w:val="BE3484F0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num w16cid:durableId="1010454185" w:numId="1">
    <w:abstractNumId w:val="11"/>
  </w:num>
  <w:num w16cid:durableId="537934984" w:numId="2">
    <w:abstractNumId w:val="2"/>
  </w:num>
  <w:num w16cid:durableId="1125124794" w:numId="3">
    <w:abstractNumId w:val="10"/>
  </w:num>
  <w:num w16cid:durableId="502361986" w:numId="4">
    <w:abstractNumId w:val="12"/>
  </w:num>
  <w:num w16cid:durableId="442304826" w:numId="5">
    <w:abstractNumId w:val="0"/>
  </w:num>
  <w:num w16cid:durableId="1341618491" w:numId="6">
    <w:abstractNumId w:val="13"/>
  </w:num>
  <w:num w16cid:durableId="45448157" w:numId="7">
    <w:abstractNumId w:val="3"/>
  </w:num>
  <w:num w16cid:durableId="2137722554" w:numId="8">
    <w:abstractNumId w:val="6"/>
  </w:num>
  <w:num w16cid:durableId="2036693771" w:numId="9">
    <w:abstractNumId w:val="5"/>
  </w:num>
  <w:num w16cid:durableId="1777208983" w:numId="10">
    <w:abstractNumId w:val="8"/>
  </w:num>
  <w:num w16cid:durableId="5980472" w:numId="11">
    <w:abstractNumId w:val="7"/>
  </w:num>
  <w:num w16cid:durableId="1118060740" w:numId="12">
    <w:abstractNumId w:val="4"/>
  </w:num>
  <w:num w16cid:durableId="414328570" w:numId="13">
    <w:abstractNumId w:val="9"/>
  </w:num>
  <w:num w16cid:durableId="95516309" w:numId="14">
    <w:abstractNumId w:val="11"/>
  </w:num>
  <w:num w16cid:durableId="205529225" w:numId="15">
    <w:abstractNumId w:val="11"/>
  </w:num>
  <w:num w16cid:durableId="1845700719" w:numId="16">
    <w:abstractNumId w:val="11"/>
  </w:num>
  <w:num w16cid:durableId="1906839847" w:numId="17">
    <w:abstractNumId w:val="11"/>
  </w:num>
  <w:num w16cid:durableId="1792434857" w:numId="18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4710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3D"/>
    <w:rsid w:val="00015A52"/>
    <w:rsid w:val="0004025E"/>
    <w:rsid w:val="000573FE"/>
    <w:rsid w:val="00092B9A"/>
    <w:rsid w:val="000E4746"/>
    <w:rsid w:val="00103456"/>
    <w:rsid w:val="00105369"/>
    <w:rsid w:val="001409DF"/>
    <w:rsid w:val="00147AC1"/>
    <w:rsid w:val="001558B8"/>
    <w:rsid w:val="001C6A19"/>
    <w:rsid w:val="001E0D09"/>
    <w:rsid w:val="001F02DC"/>
    <w:rsid w:val="001F4DA4"/>
    <w:rsid w:val="00252ACC"/>
    <w:rsid w:val="00297B19"/>
    <w:rsid w:val="002A228F"/>
    <w:rsid w:val="002A3128"/>
    <w:rsid w:val="002B089E"/>
    <w:rsid w:val="002E3261"/>
    <w:rsid w:val="002E4730"/>
    <w:rsid w:val="00331FA0"/>
    <w:rsid w:val="00345E39"/>
    <w:rsid w:val="00361875"/>
    <w:rsid w:val="003948F3"/>
    <w:rsid w:val="0047699D"/>
    <w:rsid w:val="004D1E75"/>
    <w:rsid w:val="004F091D"/>
    <w:rsid w:val="0052264C"/>
    <w:rsid w:val="00574805"/>
    <w:rsid w:val="00592BB0"/>
    <w:rsid w:val="005965E9"/>
    <w:rsid w:val="005A09CA"/>
    <w:rsid w:val="005B05FD"/>
    <w:rsid w:val="005B3AEF"/>
    <w:rsid w:val="005B6AA9"/>
    <w:rsid w:val="005C2BC6"/>
    <w:rsid w:val="005D0DED"/>
    <w:rsid w:val="005F2A96"/>
    <w:rsid w:val="00601DEE"/>
    <w:rsid w:val="00614257"/>
    <w:rsid w:val="0061476E"/>
    <w:rsid w:val="0063285F"/>
    <w:rsid w:val="0063675A"/>
    <w:rsid w:val="0066289E"/>
    <w:rsid w:val="00677318"/>
    <w:rsid w:val="006C3CC8"/>
    <w:rsid w:val="006C753D"/>
    <w:rsid w:val="006E34B5"/>
    <w:rsid w:val="006F18A5"/>
    <w:rsid w:val="006F2B3B"/>
    <w:rsid w:val="006F36E7"/>
    <w:rsid w:val="006F3F87"/>
    <w:rsid w:val="007173AC"/>
    <w:rsid w:val="00720F2E"/>
    <w:rsid w:val="007255AF"/>
    <w:rsid w:val="007557A1"/>
    <w:rsid w:val="0078771A"/>
    <w:rsid w:val="00796B9C"/>
    <w:rsid w:val="00811ED2"/>
    <w:rsid w:val="00827D3B"/>
    <w:rsid w:val="00827F7E"/>
    <w:rsid w:val="0083326E"/>
    <w:rsid w:val="00871E06"/>
    <w:rsid w:val="0089269F"/>
    <w:rsid w:val="008C4DFD"/>
    <w:rsid w:val="008C6CA3"/>
    <w:rsid w:val="008D3FC0"/>
    <w:rsid w:val="008F64DD"/>
    <w:rsid w:val="00980CA7"/>
    <w:rsid w:val="009C303D"/>
    <w:rsid w:val="009F25F4"/>
    <w:rsid w:val="009F7931"/>
    <w:rsid w:val="00A00C44"/>
    <w:rsid w:val="00A36F5A"/>
    <w:rsid w:val="00A3740C"/>
    <w:rsid w:val="00A52448"/>
    <w:rsid w:val="00A77FA3"/>
    <w:rsid w:val="00A912E4"/>
    <w:rsid w:val="00A969F6"/>
    <w:rsid w:val="00AD4813"/>
    <w:rsid w:val="00B52E29"/>
    <w:rsid w:val="00B73CC3"/>
    <w:rsid w:val="00B874F7"/>
    <w:rsid w:val="00B9061E"/>
    <w:rsid w:val="00B948AF"/>
    <w:rsid w:val="00BB2E49"/>
    <w:rsid w:val="00BF4BB0"/>
    <w:rsid w:val="00C10920"/>
    <w:rsid w:val="00C156EB"/>
    <w:rsid w:val="00C34685"/>
    <w:rsid w:val="00C4246D"/>
    <w:rsid w:val="00C4443F"/>
    <w:rsid w:val="00CC6977"/>
    <w:rsid w:val="00CC772B"/>
    <w:rsid w:val="00CC7916"/>
    <w:rsid w:val="00CF4121"/>
    <w:rsid w:val="00D11C8A"/>
    <w:rsid w:val="00D72CBC"/>
    <w:rsid w:val="00D7366C"/>
    <w:rsid w:val="00D811DD"/>
    <w:rsid w:val="00DE62F4"/>
    <w:rsid w:val="00E15C40"/>
    <w:rsid w:val="00E4727A"/>
    <w:rsid w:val="00E50773"/>
    <w:rsid w:val="00E90678"/>
    <w:rsid w:val="00E90EAF"/>
    <w:rsid w:val="00EA14A0"/>
    <w:rsid w:val="00F41127"/>
    <w:rsid w:val="00F57E0F"/>
    <w:rsid w:val="00F779C4"/>
    <w:rsid w:val="00F80F0D"/>
    <w:rsid w:val="00F82A55"/>
    <w:rsid w:val="00F87F74"/>
    <w:rsid w:val="00FD51FD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7105" v:ext="edit"/>
    <o:shapelayout v:ext="edit">
      <o:idmap data="1" v:ext="edit"/>
    </o:shapelayout>
  </w:shapeDefaults>
  <w:decimalSymbol w:val=","/>
  <w:listSeparator w:val=";"/>
  <w14:docId w14:val="79A8E2EE"/>
  <w15:chartTrackingRefBased/>
  <w15:docId w15:val="{04DE158F-0A90-4E70-87F9-36ABB496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Sous-titre"/>
    <w:next w:val="Normal"/>
    <w:link w:val="Titre1Car"/>
    <w:uiPriority w:val="9"/>
    <w:qFormat/>
    <w:rsid w:val="00F57E0F"/>
    <w:pPr>
      <w:outlineLvl w:val="0"/>
    </w:pPr>
  </w:style>
  <w:style w:styleId="Titre2" w:type="paragraph">
    <w:name w:val="heading 2"/>
    <w:basedOn w:val="Sansinterligne"/>
    <w:next w:val="Normal"/>
    <w:link w:val="Titre2Car"/>
    <w:uiPriority w:val="9"/>
    <w:unhideWhenUsed/>
    <w:qFormat/>
    <w:rsid w:val="00F57E0F"/>
    <w:pPr>
      <w:numPr>
        <w:ilvl w:val="1"/>
        <w:numId w:val="1"/>
      </w:numPr>
      <w:spacing w:before="40"/>
      <w:jc w:val="both"/>
      <w:outlineLvl w:val="1"/>
    </w:pPr>
    <w:rPr>
      <w:rFonts w:asciiTheme="majorHAnsi" w:hAnsiTheme="majorHAnsi"/>
      <w:i/>
      <w:color w:val="C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ansinterligne" w:type="paragraph">
    <w:name w:val="No Spacing"/>
    <w:uiPriority w:val="1"/>
    <w:qFormat/>
    <w:rsid w:val="00A3740C"/>
    <w:pPr>
      <w:spacing w:after="0" w:line="240" w:lineRule="auto"/>
    </w:pPr>
  </w:style>
  <w:style w:styleId="Sous-titre" w:type="paragraph">
    <w:name w:val="Subtitle"/>
    <w:aliases w:val="ARTICLE"/>
    <w:basedOn w:val="Sansinterligne"/>
    <w:next w:val="Normal"/>
    <w:link w:val="Sous-titreCar"/>
    <w:uiPriority w:val="11"/>
    <w:qFormat/>
    <w:rsid w:val="00C34685"/>
    <w:pPr>
      <w:spacing w:before="40"/>
      <w:jc w:val="both"/>
    </w:pPr>
    <w:rPr>
      <w:rFonts w:asciiTheme="majorHAnsi" w:cstheme="majorHAnsi" w:hAnsiTheme="majorHAnsi"/>
      <w:b/>
      <w:noProof/>
      <w:color w:val="C00000"/>
    </w:rPr>
  </w:style>
  <w:style w:customStyle="1" w:styleId="Sous-titreCar" w:type="character">
    <w:name w:val="Sous-titre Car"/>
    <w:aliases w:val="ARTICLE Car"/>
    <w:basedOn w:val="Policepardfaut"/>
    <w:link w:val="Sous-titre"/>
    <w:uiPriority w:val="11"/>
    <w:rsid w:val="00C34685"/>
    <w:rPr>
      <w:rFonts w:asciiTheme="majorHAnsi" w:cstheme="majorHAnsi" w:hAnsiTheme="majorHAnsi"/>
      <w:b/>
      <w:noProof/>
      <w:color w:val="C00000"/>
    </w:rPr>
  </w:style>
  <w:style w:styleId="Titre" w:type="paragraph">
    <w:name w:val="Title"/>
    <w:basedOn w:val="Normal"/>
    <w:next w:val="Normal"/>
    <w:link w:val="TitreCar"/>
    <w:uiPriority w:val="10"/>
    <w:qFormat/>
    <w:rsid w:val="005F2A96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b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5F2A96"/>
    <w:rPr>
      <w:rFonts w:asciiTheme="majorHAnsi" w:cstheme="majorBidi" w:eastAsiaTheme="majorEastAsia" w:hAnsiTheme="majorHAnsi"/>
      <w:b/>
      <w:spacing w:val="-10"/>
      <w:kern w:val="28"/>
      <w:sz w:val="56"/>
      <w:szCs w:val="56"/>
    </w:rPr>
  </w:style>
  <w:style w:styleId="Accentuationintense" w:type="character">
    <w:name w:val="Intense Emphasis"/>
    <w:aliases w:val="SOUS-TITRE"/>
    <w:basedOn w:val="Policepardfaut"/>
    <w:uiPriority w:val="21"/>
    <w:qFormat/>
    <w:rsid w:val="00C34685"/>
    <w:rPr>
      <w:rFonts w:asciiTheme="majorHAnsi" w:cstheme="majorHAnsi" w:hAnsiTheme="majorHAnsi"/>
      <w:i/>
      <w:iCs/>
      <w:color w:val="C00000"/>
    </w:rPr>
  </w:style>
  <w:style w:customStyle="1" w:styleId="Titre1Car" w:type="character">
    <w:name w:val="Titre 1 Car"/>
    <w:basedOn w:val="Policepardfaut"/>
    <w:link w:val="Titre1"/>
    <w:uiPriority w:val="9"/>
    <w:rsid w:val="00F57E0F"/>
    <w:rPr>
      <w:rFonts w:asciiTheme="majorHAnsi" w:cstheme="majorHAnsi" w:hAnsiTheme="majorHAnsi"/>
      <w:b/>
      <w:noProof/>
      <w:color w:val="C00000"/>
    </w:rPr>
  </w:style>
  <w:style w:customStyle="1" w:styleId="Titre2Car" w:type="character">
    <w:name w:val="Titre 2 Car"/>
    <w:basedOn w:val="Policepardfaut"/>
    <w:link w:val="Titre2"/>
    <w:uiPriority w:val="9"/>
    <w:rsid w:val="00F57E0F"/>
    <w:rPr>
      <w:rFonts w:asciiTheme="majorHAnsi" w:hAnsiTheme="majorHAnsi"/>
      <w:i/>
      <w:color w:val="C00000"/>
    </w:rPr>
  </w:style>
  <w:style w:styleId="En-tte" w:type="paragraph">
    <w:name w:val="header"/>
    <w:basedOn w:val="Normal"/>
    <w:link w:val="En-tteCar"/>
    <w:uiPriority w:val="99"/>
    <w:unhideWhenUsed/>
    <w:rsid w:val="0010536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05369"/>
  </w:style>
  <w:style w:styleId="Pieddepage" w:type="paragraph">
    <w:name w:val="footer"/>
    <w:basedOn w:val="Normal"/>
    <w:link w:val="PieddepageCar"/>
    <w:uiPriority w:val="99"/>
    <w:unhideWhenUsed/>
    <w:rsid w:val="0010536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05369"/>
  </w:style>
  <w:style w:styleId="En-ttedetabledesmatires" w:type="paragraph">
    <w:name w:val="TOC Heading"/>
    <w:basedOn w:val="Titre1"/>
    <w:next w:val="Normal"/>
    <w:uiPriority w:val="39"/>
    <w:unhideWhenUsed/>
    <w:qFormat/>
    <w:rsid w:val="001F02DC"/>
    <w:pPr>
      <w:keepNext/>
      <w:keepLines/>
      <w:spacing w:before="240" w:line="259" w:lineRule="auto"/>
      <w:jc w:val="left"/>
      <w:outlineLvl w:val="9"/>
    </w:pPr>
    <w:rPr>
      <w:rFonts w:cstheme="majorBidi" w:eastAsiaTheme="majorEastAsia"/>
      <w:b w:val="0"/>
      <w:noProof w:val="0"/>
      <w:color w:themeColor="accent1" w:themeShade="BF" w:val="2F5496"/>
      <w:sz w:val="32"/>
      <w:szCs w:val="32"/>
      <w:lang w:eastAsia="fr-FR"/>
    </w:rPr>
  </w:style>
  <w:style w:styleId="TM1" w:type="paragraph">
    <w:name w:val="toc 1"/>
    <w:basedOn w:val="Normal"/>
    <w:next w:val="Normal"/>
    <w:autoRedefine/>
    <w:uiPriority w:val="39"/>
    <w:unhideWhenUsed/>
    <w:rsid w:val="001F02DC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1F02DC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1F02DC"/>
    <w:rPr>
      <w:color w:themeColor="hyperlink" w:val="0563C1"/>
      <w:u w:val="single"/>
    </w:rPr>
  </w:style>
  <w:style w:styleId="Marquedecommentaire" w:type="character">
    <w:name w:val="annotation reference"/>
    <w:basedOn w:val="Policepardfaut"/>
    <w:uiPriority w:val="99"/>
    <w:semiHidden/>
    <w:unhideWhenUsed/>
    <w:rsid w:val="00BF4BB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BF4BB0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BF4BB0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BF4BB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BF4BB0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F4B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F4BB0"/>
    <w:rPr>
      <w:rFonts w:ascii="Segoe UI" w:cs="Segoe UI" w:hAnsi="Segoe UI"/>
      <w:sz w:val="18"/>
      <w:szCs w:val="18"/>
    </w:rPr>
  </w:style>
  <w:style w:customStyle="1" w:styleId="Default" w:type="paragraph">
    <w:name w:val="Default"/>
    <w:rsid w:val="00E4727A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5965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389E2-1531-464F-A8BF-B4731657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1388</Words>
  <Characters>7636</Characters>
  <Application>Microsoft Office Word</Application>
  <DocSecurity>0</DocSecurity>
  <Lines>63</Lines>
  <Paragraphs>18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2022-11-18T08:04:00Z</dcterms:created>
  <cp:lastPrinted>2022-11-09T09:47:00Z</cp:lastPrinted>
  <dcterms:modified xsi:type="dcterms:W3CDTF">2022-11-18T08:09:00Z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4bda4e3e-e7ea-4b6a-b18b-1c998cd174c2_Enabled" pid="2">
    <vt:lpwstr>true</vt:lpwstr>
  </property>
  <property fmtid="{D5CDD505-2E9C-101B-9397-08002B2CF9AE}" name="MSIP_Label_4bda4e3e-e7ea-4b6a-b18b-1c998cd174c2_SetDate" pid="3">
    <vt:lpwstr>2022-08-27T17:40:37Z</vt:lpwstr>
  </property>
  <property fmtid="{D5CDD505-2E9C-101B-9397-08002B2CF9AE}" name="MSIP_Label_4bda4e3e-e7ea-4b6a-b18b-1c998cd174c2_Method" pid="4">
    <vt:lpwstr>Standard</vt:lpwstr>
  </property>
  <property fmtid="{D5CDD505-2E9C-101B-9397-08002B2CF9AE}" name="MSIP_Label_4bda4e3e-e7ea-4b6a-b18b-1c998cd174c2_Name" pid="5">
    <vt:lpwstr>C0 - Historical</vt:lpwstr>
  </property>
  <property fmtid="{D5CDD505-2E9C-101B-9397-08002B2CF9AE}" name="MSIP_Label_4bda4e3e-e7ea-4b6a-b18b-1c998cd174c2_SiteId" pid="6">
    <vt:lpwstr>0f111499-fe47-4d09-9cbe-6a59b98c9107</vt:lpwstr>
  </property>
  <property fmtid="{D5CDD505-2E9C-101B-9397-08002B2CF9AE}" name="MSIP_Label_4bda4e3e-e7ea-4b6a-b18b-1c998cd174c2_ActionId" pid="7">
    <vt:lpwstr>a6016231-cc31-4928-bf17-0000e24fa874</vt:lpwstr>
  </property>
  <property fmtid="{D5CDD505-2E9C-101B-9397-08002B2CF9AE}" name="MSIP_Label_4bda4e3e-e7ea-4b6a-b18b-1c998cd174c2_ContentBits" pid="8">
    <vt:lpwstr>0</vt:lpwstr>
  </property>
</Properties>
</file>