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7F5FE19C" w14:textId="77777777" w:rsidP="00077A96" w:rsidR="00077A96" w:rsidRDefault="00077A96">
      <w:pPr>
        <w:pStyle w:val="TDtitredocument"/>
        <w:pBdr>
          <w:top w:color="auto" w:space="1" w:sz="4" w:val="single"/>
          <w:left w:color="auto" w:space="4" w:sz="4" w:val="single"/>
          <w:bottom w:color="auto" w:space="1" w:sz="4" w:val="single"/>
          <w:right w:color="auto" w:space="4" w:sz="4" w:val="single"/>
        </w:pBdr>
        <w:spacing w:after="0" w:before="720" w:line="480" w:lineRule="exact"/>
        <w:ind w:left="708"/>
      </w:pPr>
      <w:r>
        <w:t>ACCORD COLLECTIF RELATIF A LA NEGOCIATION ANNUELLE OBLIGATOIRE 2023</w:t>
      </w:r>
    </w:p>
    <w:p w14:paraId="1C5F0D9E" w14:textId="77777777" w:rsidP="00077A96" w:rsidR="00077A96" w:rsidRDefault="00077A96">
      <w:pPr>
        <w:pStyle w:val="lititreprincipal"/>
      </w:pPr>
      <w:r>
        <w:t>ENTRE LES SOUSSIGNEES :</w:t>
      </w:r>
    </w:p>
    <w:p w14:paraId="059A2844" w14:textId="77777777" w:rsidP="00077A96" w:rsidR="00077A96" w:rsidRDefault="00077A96" w:rsidRPr="003C0482">
      <w:pPr>
        <w:jc w:val="both"/>
        <w:rPr>
          <w:rFonts w:asciiTheme="minorHAnsi" w:cs="Arial" w:hAnsiTheme="minorHAnsi"/>
          <w:sz w:val="22"/>
          <w:szCs w:val="22"/>
        </w:rPr>
      </w:pPr>
      <w:r w:rsidRPr="003C0482">
        <w:rPr>
          <w:rFonts w:asciiTheme="minorHAnsi" w:hAnsiTheme="minorHAnsi"/>
          <w:b/>
          <w:sz w:val="22"/>
          <w:szCs w:val="22"/>
        </w:rPr>
        <w:t>La Société BOURSORAMA SA</w:t>
      </w:r>
      <w:r w:rsidRPr="003C0482">
        <w:rPr>
          <w:rFonts w:asciiTheme="minorHAnsi" w:hAnsiTheme="minorHAnsi"/>
          <w:sz w:val="22"/>
          <w:szCs w:val="22"/>
        </w:rPr>
        <w:t xml:space="preserve"> </w:t>
      </w:r>
      <w:r w:rsidRPr="003C0482">
        <w:rPr>
          <w:rFonts w:asciiTheme="minorHAnsi" w:cs="Arial" w:hAnsiTheme="minorHAnsi"/>
          <w:sz w:val="22"/>
          <w:szCs w:val="22"/>
        </w:rPr>
        <w:t xml:space="preserve">dont le siège social est situé 44 rue Traversière 92772 BOULOGNE BILLANCOURT Cedex, immatriculée au RCS de NANTERRE sous le numéro 351 058 151, représentée par </w:t>
      </w:r>
      <w:r>
        <w:rPr>
          <w:rFonts w:asciiTheme="minorHAnsi" w:cs="Arial" w:hAnsiTheme="minorHAnsi"/>
          <w:sz w:val="22"/>
          <w:szCs w:val="22"/>
        </w:rPr>
        <w:t>XXX</w:t>
      </w:r>
      <w:r w:rsidRPr="003C0482">
        <w:rPr>
          <w:rFonts w:asciiTheme="minorHAnsi" w:cs="Arial" w:hAnsiTheme="minorHAnsi"/>
          <w:sz w:val="22"/>
          <w:szCs w:val="22"/>
        </w:rPr>
        <w:t>, en sa qualité de Directrice des Ressources Humaines</w:t>
      </w:r>
    </w:p>
    <w:p w14:paraId="06075F38" w14:textId="77777777" w:rsidP="00077A96" w:rsidR="00077A96" w:rsidRDefault="00077A96">
      <w:pPr>
        <w:jc w:val="both"/>
        <w:rPr>
          <w:rFonts w:ascii="Cambria" w:cs="Arial" w:hAnsi="Cambria"/>
          <w:sz w:val="22"/>
          <w:szCs w:val="22"/>
        </w:rPr>
      </w:pPr>
    </w:p>
    <w:p w14:paraId="63DCA8C1" w14:textId="77777777" w:rsidP="00077A96" w:rsidR="00077A96" w:rsidRDefault="00077A96">
      <w:pPr>
        <w:jc w:val="both"/>
      </w:pPr>
    </w:p>
    <w:p w14:paraId="2342E3E9" w14:textId="77777777" w:rsidP="00077A96" w:rsidR="00077A96" w:rsidRDefault="00077A96">
      <w:pPr>
        <w:pStyle w:val="PAParagrapheavocat"/>
        <w:ind w:left="0"/>
        <w:rPr>
          <w:sz w:val="24"/>
        </w:rPr>
      </w:pPr>
      <w:r>
        <w:rPr>
          <w:sz w:val="24"/>
        </w:rPr>
        <w:t>D’une part,</w:t>
      </w:r>
    </w:p>
    <w:p w14:paraId="582E156B" w14:textId="77777777" w:rsidP="00077A96" w:rsidR="00077A96" w:rsidRDefault="00077A96">
      <w:pPr>
        <w:pStyle w:val="lititreprincipal"/>
      </w:pPr>
      <w:r>
        <w:t>ET :</w:t>
      </w:r>
    </w:p>
    <w:p w14:paraId="7AF8976A" w14:textId="77777777" w:rsidP="00077A96" w:rsidR="00077A96" w:rsidRDefault="00077A96" w:rsidRPr="003C0482">
      <w:pPr>
        <w:pStyle w:val="paragstand"/>
        <w:spacing w:before="0"/>
        <w:ind w:left="0"/>
        <w:rPr>
          <w:rFonts w:asciiTheme="minorHAnsi" w:hAnsiTheme="minorHAnsi"/>
          <w:b/>
          <w:sz w:val="22"/>
          <w:szCs w:val="22"/>
        </w:rPr>
      </w:pPr>
      <w:r w:rsidRPr="003C0482">
        <w:rPr>
          <w:rFonts w:asciiTheme="minorHAnsi" w:hAnsiTheme="minorHAnsi"/>
          <w:b/>
          <w:sz w:val="22"/>
          <w:szCs w:val="22"/>
        </w:rPr>
        <w:t>Les organisations syndicales représentatives au sein de l’Entreprise :</w:t>
      </w:r>
    </w:p>
    <w:p w14:paraId="2DD5ACC7" w14:textId="77777777" w:rsidP="00077A96" w:rsidR="00077A96" w:rsidRDefault="00077A96" w:rsidRPr="003C0482">
      <w:pPr>
        <w:pStyle w:val="En-tte"/>
        <w:tabs>
          <w:tab w:pos="4536" w:val="clear"/>
          <w:tab w:pos="9072" w:val="clear"/>
        </w:tabs>
        <w:rPr>
          <w:rFonts w:asciiTheme="minorHAnsi" w:hAnsiTheme="minorHAnsi"/>
          <w:sz w:val="22"/>
          <w:szCs w:val="22"/>
        </w:rPr>
      </w:pPr>
    </w:p>
    <w:p w14:paraId="79521E17" w14:textId="77777777" w:rsidP="00077A96" w:rsidR="00077A96" w:rsidRDefault="00077A96" w:rsidRPr="003C0482">
      <w:pPr>
        <w:rPr>
          <w:rFonts w:asciiTheme="minorHAnsi" w:hAnsiTheme="minorHAnsi"/>
          <w:sz w:val="22"/>
          <w:szCs w:val="22"/>
        </w:rPr>
      </w:pPr>
    </w:p>
    <w:p w14:paraId="5E59435A" w14:textId="77777777" w:rsidP="00077A96" w:rsidR="00077A96" w:rsidRDefault="00077A96" w:rsidRPr="003C0482">
      <w:pPr>
        <w:numPr>
          <w:ilvl w:val="0"/>
          <w:numId w:val="1"/>
        </w:numPr>
        <w:tabs>
          <w:tab w:pos="8931" w:val="left"/>
        </w:tabs>
        <w:jc w:val="both"/>
        <w:rPr>
          <w:rFonts w:asciiTheme="minorHAnsi" w:hAnsiTheme="minorHAnsi"/>
          <w:sz w:val="22"/>
          <w:szCs w:val="22"/>
        </w:rPr>
      </w:pPr>
      <w:r>
        <w:rPr>
          <w:rFonts w:asciiTheme="minorHAnsi" w:hAnsiTheme="minorHAnsi"/>
          <w:sz w:val="22"/>
          <w:szCs w:val="22"/>
        </w:rPr>
        <w:t>Pour la</w:t>
      </w:r>
      <w:r w:rsidRPr="003C0482">
        <w:rPr>
          <w:rFonts w:asciiTheme="minorHAnsi" w:hAnsiTheme="minorHAnsi"/>
          <w:sz w:val="22"/>
          <w:szCs w:val="22"/>
        </w:rPr>
        <w:t xml:space="preserve"> CFDT, représenté</w:t>
      </w:r>
      <w:r>
        <w:rPr>
          <w:rFonts w:asciiTheme="minorHAnsi" w:hAnsiTheme="minorHAnsi"/>
          <w:sz w:val="22"/>
          <w:szCs w:val="22"/>
        </w:rPr>
        <w:t>e</w:t>
      </w:r>
      <w:r w:rsidRPr="003C0482">
        <w:rPr>
          <w:rFonts w:asciiTheme="minorHAnsi" w:hAnsiTheme="minorHAnsi"/>
          <w:sz w:val="22"/>
          <w:szCs w:val="22"/>
        </w:rPr>
        <w:t xml:space="preserve"> par </w:t>
      </w:r>
      <w:r>
        <w:rPr>
          <w:rFonts w:asciiTheme="minorHAnsi" w:hAnsiTheme="minorHAnsi"/>
          <w:sz w:val="22"/>
          <w:szCs w:val="22"/>
        </w:rPr>
        <w:t>XXX</w:t>
      </w:r>
      <w:r w:rsidRPr="003C0482">
        <w:rPr>
          <w:rFonts w:asciiTheme="minorHAnsi" w:hAnsiTheme="minorHAnsi"/>
          <w:sz w:val="22"/>
          <w:szCs w:val="22"/>
        </w:rPr>
        <w:t xml:space="preserve"> et </w:t>
      </w:r>
      <w:r>
        <w:rPr>
          <w:rFonts w:asciiTheme="minorHAnsi" w:hAnsiTheme="minorHAnsi"/>
          <w:sz w:val="22"/>
          <w:szCs w:val="22"/>
        </w:rPr>
        <w:t>XXX</w:t>
      </w:r>
      <w:r w:rsidRPr="003C0482">
        <w:rPr>
          <w:rFonts w:asciiTheme="minorHAnsi" w:hAnsiTheme="minorHAnsi"/>
          <w:sz w:val="22"/>
          <w:szCs w:val="22"/>
        </w:rPr>
        <w:t xml:space="preserve"> délégués syndicaux  </w:t>
      </w:r>
    </w:p>
    <w:p w14:paraId="2179BC39" w14:textId="77777777" w:rsidP="00077A96" w:rsidR="00077A96" w:rsidRDefault="00077A96" w:rsidRPr="003C0482">
      <w:pPr>
        <w:tabs>
          <w:tab w:pos="8931" w:val="left"/>
        </w:tabs>
        <w:jc w:val="both"/>
        <w:rPr>
          <w:rFonts w:asciiTheme="minorHAnsi" w:hAnsiTheme="minorHAnsi"/>
          <w:sz w:val="22"/>
          <w:szCs w:val="22"/>
        </w:rPr>
      </w:pPr>
    </w:p>
    <w:p w14:paraId="56369918" w14:textId="77777777" w:rsidP="00077A96" w:rsidR="00077A96" w:rsidRDefault="00077A96" w:rsidRPr="003C0482">
      <w:pPr>
        <w:tabs>
          <w:tab w:pos="8931" w:val="left"/>
        </w:tabs>
        <w:jc w:val="both"/>
        <w:rPr>
          <w:rFonts w:asciiTheme="minorHAnsi" w:hAnsiTheme="minorHAnsi"/>
          <w:sz w:val="22"/>
          <w:szCs w:val="22"/>
        </w:rPr>
      </w:pPr>
    </w:p>
    <w:p w14:paraId="079C0504" w14:textId="77777777" w:rsidP="00077A96" w:rsidR="00077A96" w:rsidRDefault="00077A96"/>
    <w:p w14:paraId="07790F06" w14:textId="77777777" w:rsidP="00077A96" w:rsidR="00077A96" w:rsidRDefault="00077A96"/>
    <w:p w14:paraId="4A41FEDE" w14:textId="77777777" w:rsidP="00077A96" w:rsidR="00077A96" w:rsidRDefault="00077A96"/>
    <w:p w14:paraId="60DB727F" w14:textId="77777777" w:rsidP="00077A96" w:rsidR="00077A96" w:rsidRDefault="00077A96"/>
    <w:p w14:paraId="5DC468E6" w14:textId="77777777" w:rsidP="00077A96" w:rsidR="00077A96" w:rsidRDefault="00077A96">
      <w:r>
        <w:tab/>
      </w:r>
      <w:r>
        <w:tab/>
      </w:r>
      <w:r>
        <w:tab/>
      </w:r>
      <w:r>
        <w:tab/>
      </w:r>
      <w:r>
        <w:tab/>
      </w:r>
      <w:r>
        <w:tab/>
      </w:r>
      <w:r>
        <w:tab/>
      </w:r>
      <w:r>
        <w:tab/>
      </w:r>
      <w:r>
        <w:tab/>
      </w:r>
      <w:r>
        <w:tab/>
      </w:r>
      <w:r>
        <w:tab/>
      </w:r>
      <w:r>
        <w:tab/>
      </w:r>
      <w:r>
        <w:tab/>
        <w:t>D’autre part,</w:t>
      </w:r>
    </w:p>
    <w:p w14:paraId="52F91592" w14:textId="77777777" w:rsidP="00077A96" w:rsidR="00077A96" w:rsidRDefault="00077A96"/>
    <w:p w14:paraId="38BD6FF6" w14:textId="77777777" w:rsidP="00077A96" w:rsidR="00077A96" w:rsidRDefault="00077A96"/>
    <w:p w14:paraId="567CF5C0" w14:textId="77777777" w:rsidP="00077A96" w:rsidR="00077A96" w:rsidRDefault="00077A96"/>
    <w:p w14:paraId="12ECA83C" w14:textId="77777777" w:rsidP="00077A96" w:rsidR="00077A96" w:rsidRDefault="00077A96"/>
    <w:p w14:paraId="1BFEC557" w14:textId="77777777" w:rsidP="00077A96" w:rsidR="00077A96" w:rsidRDefault="00077A96"/>
    <w:p w14:paraId="17E54F48" w14:textId="77777777" w:rsidP="00077A96" w:rsidR="00077A96" w:rsidRDefault="00077A96"/>
    <w:p w14:paraId="531F4B3B" w14:textId="77777777" w:rsidP="00077A96" w:rsidR="00077A96" w:rsidRDefault="00077A96"/>
    <w:p w14:paraId="7295FA9C" w14:textId="77777777" w:rsidP="00077A96" w:rsidR="00077A96" w:rsidRDefault="00077A96"/>
    <w:p w14:paraId="7EBC2D40" w14:textId="77777777" w:rsidP="00077A96" w:rsidR="00077A96" w:rsidRDefault="00077A96"/>
    <w:p w14:paraId="1420F6C0" w14:textId="77777777" w:rsidP="00077A96" w:rsidR="00077A96" w:rsidRDefault="00077A96"/>
    <w:p w14:paraId="4FA6D906" w14:textId="77777777" w:rsidP="00077A96" w:rsidR="00077A96" w:rsidRDefault="00077A96"/>
    <w:p w14:paraId="4EE09AA3" w14:textId="77777777" w:rsidP="00077A96" w:rsidR="00077A96" w:rsidRDefault="00077A96"/>
    <w:p w14:paraId="199948CB" w14:textId="77777777" w:rsidP="00077A96" w:rsidR="00077A96" w:rsidRDefault="00077A96"/>
    <w:p w14:paraId="288A449A" w14:textId="77777777" w:rsidP="00077A96" w:rsidR="00077A96" w:rsidRDefault="00077A96"/>
    <w:p w14:paraId="5B768BE7" w14:textId="77777777" w:rsidP="00077A96" w:rsidR="00077A96" w:rsidRDefault="00077A96"/>
    <w:p w14:paraId="6DE21374" w14:textId="77777777" w:rsidP="00077A96" w:rsidR="00077A96" w:rsidRDefault="00077A96" w:rsidRPr="003C0482">
      <w:pPr>
        <w:keepLines/>
        <w:pBdr>
          <w:bottom w:color="auto" w:space="1" w:sz="4" w:val="single"/>
        </w:pBdr>
        <w:spacing w:before="120" w:line="280" w:lineRule="atLeast"/>
        <w:jc w:val="both"/>
        <w:rPr>
          <w:rFonts w:asciiTheme="minorHAnsi" w:cs="Arial" w:hAnsiTheme="minorHAnsi"/>
          <w:b/>
          <w:sz w:val="22"/>
          <w:szCs w:val="22"/>
        </w:rPr>
      </w:pPr>
      <w:r w:rsidRPr="003C0482">
        <w:rPr>
          <w:rFonts w:asciiTheme="minorHAnsi" w:cs="Arial" w:hAnsiTheme="minorHAnsi"/>
          <w:b/>
          <w:sz w:val="22"/>
          <w:szCs w:val="22"/>
        </w:rPr>
        <w:lastRenderedPageBreak/>
        <w:t>PREAMBULE</w:t>
      </w:r>
    </w:p>
    <w:p w14:paraId="1511309F" w14:textId="77777777" w:rsidP="00077A96" w:rsidR="00077A96" w:rsidRDefault="00077A96" w:rsidRPr="003C0482">
      <w:pPr>
        <w:rPr>
          <w:rFonts w:asciiTheme="minorHAnsi" w:hAnsiTheme="minorHAnsi"/>
          <w:sz w:val="22"/>
          <w:szCs w:val="22"/>
        </w:rPr>
      </w:pPr>
    </w:p>
    <w:p w14:paraId="4F82F164" w14:textId="77777777" w:rsidP="00077A96" w:rsidR="00077A96" w:rsidRDefault="00077A96" w:rsidRPr="00467004">
      <w:pPr>
        <w:jc w:val="both"/>
        <w:rPr>
          <w:rFonts w:asciiTheme="minorHAnsi" w:cstheme="minorHAnsi" w:hAnsiTheme="minorHAnsi"/>
          <w:sz w:val="22"/>
          <w:szCs w:val="22"/>
        </w:rPr>
      </w:pPr>
      <w:r w:rsidRPr="00467004">
        <w:rPr>
          <w:rFonts w:asciiTheme="minorHAnsi" w:cstheme="minorHAnsi" w:hAnsiTheme="minorHAnsi"/>
          <w:sz w:val="22"/>
          <w:szCs w:val="22"/>
        </w:rPr>
        <w:t xml:space="preserve">Les partenaires sociaux et la Direction se sont réunis les </w:t>
      </w:r>
      <w:r>
        <w:rPr>
          <w:rFonts w:asciiTheme="minorHAnsi" w:cstheme="minorHAnsi" w:hAnsiTheme="minorHAnsi"/>
          <w:sz w:val="22"/>
          <w:szCs w:val="22"/>
        </w:rPr>
        <w:t>08/11/2022 et 17/11/2022</w:t>
      </w:r>
      <w:r w:rsidRPr="00467004">
        <w:rPr>
          <w:rFonts w:asciiTheme="minorHAnsi" w:cstheme="minorHAnsi" w:hAnsiTheme="minorHAnsi"/>
          <w:sz w:val="22"/>
          <w:szCs w:val="22"/>
        </w:rPr>
        <w:t>.</w:t>
      </w:r>
    </w:p>
    <w:p w14:paraId="6D737AEB" w14:textId="77777777" w:rsidP="00077A96" w:rsidR="00077A96" w:rsidRDefault="00077A96" w:rsidRPr="007B6FE9">
      <w:pPr>
        <w:jc w:val="both"/>
        <w:rPr>
          <w:rFonts w:asciiTheme="minorHAnsi" w:cstheme="minorHAnsi" w:hAnsiTheme="minorHAnsi"/>
        </w:rPr>
      </w:pPr>
    </w:p>
    <w:p w14:paraId="023F714D"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 xml:space="preserve">La Direction a remis aux Délégués syndicaux les informations suivantes relatives à l’analyse des rémunérations au sein de Boursorama et disponibles au moment des négociations, à savoir : </w:t>
      </w:r>
    </w:p>
    <w:p w14:paraId="56EA480D" w14:textId="77777777" w:rsidP="00077A96" w:rsidR="00077A96" w:rsidRDefault="00077A96" w:rsidRPr="00062246">
      <w:pPr>
        <w:jc w:val="both"/>
        <w:rPr>
          <w:rFonts w:asciiTheme="minorHAnsi" w:hAnsiTheme="minorHAnsi"/>
          <w:sz w:val="22"/>
          <w:szCs w:val="22"/>
        </w:rPr>
      </w:pPr>
    </w:p>
    <w:p w14:paraId="74DAF396"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1- les effectifs par statut en distinguant les femmes et les hommes au 30/09/2022 et par classification en distinguant les femmes et les hommes au 30/09/2022</w:t>
      </w:r>
    </w:p>
    <w:p w14:paraId="0EBFC2AC" w14:textId="77777777" w:rsidP="00077A96" w:rsidR="00077A96" w:rsidRDefault="00077A96" w:rsidRPr="00062246">
      <w:pPr>
        <w:rPr>
          <w:rFonts w:asciiTheme="minorHAnsi" w:hAnsiTheme="minorHAnsi"/>
          <w:sz w:val="22"/>
          <w:szCs w:val="22"/>
        </w:rPr>
      </w:pPr>
      <w:r w:rsidRPr="00062246">
        <w:rPr>
          <w:rFonts w:asciiTheme="minorHAnsi" w:hAnsiTheme="minorHAnsi"/>
          <w:sz w:val="22"/>
          <w:szCs w:val="22"/>
        </w:rPr>
        <w:t>2- l’ancienneté moyenne des CDI/CDD au 30/09/2022</w:t>
      </w:r>
    </w:p>
    <w:p w14:paraId="6D9BF9A7"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3- la part des TMB et cadres par sexe dans la population totale</w:t>
      </w:r>
    </w:p>
    <w:p w14:paraId="13C56C37"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4- la moyenne d’âge par catégorie et classification en distinguant les femmes et les hommes ;</w:t>
      </w:r>
    </w:p>
    <w:p w14:paraId="17D526DE"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5- la pyramide des âges en 2022</w:t>
      </w:r>
    </w:p>
    <w:p w14:paraId="6740BE8E"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6- la rémunération fixe annuelle moyenne des salariés présents au 30/09/2022 par classification en distinguant les femmes et les hommes et moyenne d’âge</w:t>
      </w:r>
    </w:p>
    <w:p w14:paraId="39DB385C"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7- les augmentations de fixe, les pourcentages moyens et le taux de distribution des augmentations de salaire par classification en distinguant les femmes et les hommes des salariés présents au 30/09/2022 ayant 1 an d’ancienneté (hors absents sur l’année 2022)</w:t>
      </w:r>
    </w:p>
    <w:p w14:paraId="2A0DF50B"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 xml:space="preserve">8- les rémunérations médianes et par quartile 2022 par classification en distinguant les femmes et les hommes </w:t>
      </w:r>
    </w:p>
    <w:p w14:paraId="747E75BE"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11- le montant global et moyen de la prime d’intéressement et de participation pour 2022 au titre de l’exercice 2021 par catégorie</w:t>
      </w:r>
    </w:p>
    <w:p w14:paraId="3277F68E" w14:textId="77777777" w:rsidP="00077A96" w:rsidR="00077A96" w:rsidRDefault="00077A96" w:rsidRPr="00062246">
      <w:pPr>
        <w:jc w:val="both"/>
        <w:rPr>
          <w:rFonts w:asciiTheme="minorHAnsi" w:hAnsiTheme="minorHAnsi"/>
          <w:sz w:val="22"/>
          <w:szCs w:val="22"/>
        </w:rPr>
      </w:pPr>
      <w:r w:rsidRPr="00062246">
        <w:rPr>
          <w:rFonts w:asciiTheme="minorHAnsi" w:hAnsiTheme="minorHAnsi"/>
          <w:sz w:val="22"/>
          <w:szCs w:val="22"/>
        </w:rPr>
        <w:t>12- le montant global du supplément d’intéressement versé en 2022</w:t>
      </w:r>
    </w:p>
    <w:p w14:paraId="3F3A7B3B" w14:textId="77777777" w:rsidP="00077A96" w:rsidR="00077A96" w:rsidRDefault="00077A96" w:rsidRPr="003C0482">
      <w:pPr>
        <w:jc w:val="both"/>
        <w:rPr>
          <w:rFonts w:asciiTheme="minorHAnsi" w:hAnsiTheme="minorHAnsi"/>
          <w:sz w:val="22"/>
          <w:szCs w:val="22"/>
        </w:rPr>
      </w:pPr>
      <w:r w:rsidRPr="00062246">
        <w:rPr>
          <w:rFonts w:asciiTheme="minorHAnsi" w:hAnsiTheme="minorHAnsi"/>
          <w:sz w:val="22"/>
          <w:szCs w:val="22"/>
        </w:rPr>
        <w:t>13- les compléments de salaire versés aux salariés avec l’indemnité télétravail, le travail le samedi, les interventions exceptionnelles, les interventions de nuit et les heures supplémentaires en 2022</w:t>
      </w:r>
    </w:p>
    <w:p w14:paraId="41965183" w14:textId="77777777" w:rsidP="00077A96" w:rsidR="00077A96" w:rsidRDefault="00077A96">
      <w:pPr>
        <w:jc w:val="both"/>
        <w:rPr>
          <w:rFonts w:asciiTheme="minorHAnsi" w:hAnsiTheme="minorHAnsi"/>
          <w:sz w:val="22"/>
          <w:szCs w:val="22"/>
        </w:rPr>
      </w:pPr>
    </w:p>
    <w:p w14:paraId="3EC1E894" w14:textId="77777777" w:rsidP="00077A96" w:rsidR="00077A96" w:rsidRDefault="00077A96">
      <w:pPr>
        <w:jc w:val="both"/>
        <w:rPr>
          <w:rFonts w:asciiTheme="minorHAnsi" w:hAnsiTheme="minorHAnsi"/>
          <w:sz w:val="22"/>
          <w:szCs w:val="22"/>
        </w:rPr>
      </w:pPr>
      <w:r w:rsidRPr="003C0482">
        <w:rPr>
          <w:rFonts w:asciiTheme="minorHAnsi" w:hAnsiTheme="minorHAnsi"/>
          <w:sz w:val="22"/>
          <w:szCs w:val="22"/>
        </w:rPr>
        <w:t>Lors de ces réunions tenues dans le cadre des négociations annuelles obligatoires, les partenaires sociaux ont abordé l’ensemble des thèmes prévus aux dispositions de l’article L.2242-15 du Code du Travail.</w:t>
      </w:r>
    </w:p>
    <w:p w14:paraId="30045560" w14:textId="77777777" w:rsidP="00077A96" w:rsidR="00077A96" w:rsidRDefault="00077A96">
      <w:pPr>
        <w:jc w:val="both"/>
        <w:rPr>
          <w:rFonts w:asciiTheme="minorHAnsi" w:hAnsiTheme="minorHAnsi"/>
          <w:sz w:val="22"/>
          <w:szCs w:val="22"/>
        </w:rPr>
      </w:pPr>
    </w:p>
    <w:p w14:paraId="314C1506" w14:textId="77777777" w:rsidP="00077A96" w:rsidR="00077A96" w:rsidRDefault="00077A96" w:rsidRPr="004C17F8">
      <w:pPr>
        <w:jc w:val="both"/>
        <w:rPr>
          <w:rFonts w:asciiTheme="minorHAnsi" w:cstheme="minorHAnsi" w:hAnsiTheme="minorHAnsi"/>
          <w:sz w:val="20"/>
          <w:szCs w:val="20"/>
        </w:rPr>
      </w:pPr>
      <w:r w:rsidRPr="00A7148E">
        <w:rPr>
          <w:rFonts w:asciiTheme="minorHAnsi" w:hAnsiTheme="minorHAnsi"/>
          <w:sz w:val="22"/>
          <w:szCs w:val="22"/>
        </w:rPr>
        <w:t>Après un état des lieux et des échanges sur l’ensemble des points ouverts à la négociation annuelle, les principaux thèmes abordés ont été la rémunération</w:t>
      </w:r>
      <w:r w:rsidRPr="003149C1">
        <w:rPr>
          <w:rFonts w:asciiTheme="minorHAnsi" w:hAnsiTheme="minorHAnsi"/>
          <w:sz w:val="22"/>
          <w:szCs w:val="22"/>
        </w:rPr>
        <w:t>, la mobilité durable et</w:t>
      </w:r>
      <w:r w:rsidRPr="00A7148E">
        <w:rPr>
          <w:rFonts w:asciiTheme="minorHAnsi" w:hAnsiTheme="minorHAnsi"/>
          <w:sz w:val="22"/>
          <w:szCs w:val="22"/>
        </w:rPr>
        <w:t xml:space="preserve"> l'organisation du temps de travail.</w:t>
      </w:r>
    </w:p>
    <w:p w14:paraId="4ECF5627" w14:textId="77777777" w:rsidP="00077A96" w:rsidR="00077A96" w:rsidRDefault="00077A96">
      <w:pPr>
        <w:pStyle w:val="NormalWeb"/>
        <w:jc w:val="both"/>
        <w:rPr>
          <w:rFonts w:asciiTheme="minorHAnsi" w:cstheme="minorHAnsi" w:hAnsiTheme="minorHAnsi"/>
          <w:sz w:val="22"/>
        </w:rPr>
      </w:pPr>
      <w:r w:rsidRPr="00136BC8">
        <w:rPr>
          <w:rFonts w:asciiTheme="minorHAnsi" w:cstheme="minorHAnsi" w:hAnsiTheme="minorHAnsi"/>
          <w:sz w:val="22"/>
        </w:rPr>
        <w:t xml:space="preserve">En application de l’article L.2242-6 du Code du Travail </w:t>
      </w:r>
      <w:r w:rsidRPr="00136BC8">
        <w:rPr>
          <w:rFonts w:asciiTheme="minorHAnsi" w:cstheme="minorHAnsi" w:hAnsiTheme="minorHAnsi"/>
          <w:bCs/>
          <w:sz w:val="22"/>
        </w:rPr>
        <w:t>est repris en annexe le</w:t>
      </w:r>
      <w:r w:rsidRPr="00136BC8">
        <w:rPr>
          <w:rFonts w:asciiTheme="minorHAnsi" w:cstheme="minorHAnsi" w:hAnsiTheme="minorHAnsi"/>
          <w:sz w:val="22"/>
        </w:rPr>
        <w:t xml:space="preserve"> procès-verbal d'ouverture des négociations portant sur </w:t>
      </w:r>
      <w:r>
        <w:rPr>
          <w:rFonts w:asciiTheme="minorHAnsi" w:cstheme="minorHAnsi" w:hAnsiTheme="minorHAnsi"/>
          <w:sz w:val="22"/>
        </w:rPr>
        <w:t xml:space="preserve">l’égalité professionnelle et </w:t>
      </w:r>
      <w:r w:rsidRPr="00136BC8">
        <w:rPr>
          <w:rFonts w:asciiTheme="minorHAnsi" w:cstheme="minorHAnsi" w:hAnsiTheme="minorHAnsi"/>
          <w:sz w:val="22"/>
        </w:rPr>
        <w:t xml:space="preserve">les écarts de rémunération entre les femmes et les </w:t>
      </w:r>
      <w:r w:rsidRPr="00A7148E">
        <w:rPr>
          <w:rFonts w:asciiTheme="minorHAnsi" w:cstheme="minorHAnsi" w:hAnsiTheme="minorHAnsi"/>
          <w:sz w:val="22"/>
        </w:rPr>
        <w:t xml:space="preserve">hommes, </w:t>
      </w:r>
      <w:r w:rsidRPr="00136BC8">
        <w:rPr>
          <w:rFonts w:asciiTheme="minorHAnsi" w:cstheme="minorHAnsi" w:hAnsiTheme="minorHAnsi"/>
          <w:sz w:val="22"/>
        </w:rPr>
        <w:t xml:space="preserve">attestant de l’engagement sérieux et loyal des négociations par Boursorama. </w:t>
      </w:r>
    </w:p>
    <w:p w14:paraId="0329013F" w14:textId="77777777" w:rsidP="00077A96" w:rsidR="00077A96" w:rsidRDefault="00077A96">
      <w:pPr>
        <w:pStyle w:val="NormalWeb"/>
        <w:jc w:val="both"/>
        <w:rPr>
          <w:rFonts w:asciiTheme="minorHAnsi" w:cstheme="minorHAnsi" w:hAnsiTheme="minorHAnsi"/>
          <w:sz w:val="22"/>
        </w:rPr>
      </w:pPr>
      <w:r w:rsidRPr="00136BC8">
        <w:rPr>
          <w:rFonts w:asciiTheme="minorHAnsi" w:cstheme="minorHAnsi" w:hAnsiTheme="minorHAnsi"/>
          <w:bCs/>
          <w:sz w:val="22"/>
        </w:rPr>
        <w:t xml:space="preserve">Pour rappel, </w:t>
      </w:r>
      <w:r w:rsidRPr="00136BC8">
        <w:rPr>
          <w:rFonts w:asciiTheme="minorHAnsi" w:cstheme="minorHAnsi" w:hAnsiTheme="minorHAnsi"/>
          <w:sz w:val="22"/>
        </w:rPr>
        <w:t xml:space="preserve">la mise en œuvre des mesures visant à supprimer les écarts de rémunération et les différences de déroulement de carrière entre les femmes et les hommes prises dans le cadre de l’accord du </w:t>
      </w:r>
      <w:r>
        <w:rPr>
          <w:rFonts w:asciiTheme="minorHAnsi" w:cstheme="minorHAnsi" w:hAnsiTheme="minorHAnsi"/>
          <w:sz w:val="22"/>
        </w:rPr>
        <w:t xml:space="preserve">16 juin 2020 </w:t>
      </w:r>
      <w:r w:rsidRPr="00136BC8">
        <w:rPr>
          <w:rFonts w:asciiTheme="minorHAnsi" w:cstheme="minorHAnsi" w:hAnsiTheme="minorHAnsi"/>
          <w:bCs/>
          <w:sz w:val="22"/>
        </w:rPr>
        <w:t xml:space="preserve">sur l’égalité professionnelle entre les femmes et les hommes, fixant une périodicité de négociation </w:t>
      </w:r>
      <w:r>
        <w:rPr>
          <w:rFonts w:asciiTheme="minorHAnsi" w:cstheme="minorHAnsi" w:hAnsiTheme="minorHAnsi"/>
          <w:bCs/>
          <w:sz w:val="22"/>
        </w:rPr>
        <w:t>à 4 ans</w:t>
      </w:r>
      <w:r w:rsidRPr="00136BC8">
        <w:rPr>
          <w:rFonts w:asciiTheme="minorHAnsi" w:cstheme="minorHAnsi" w:hAnsiTheme="minorHAnsi"/>
          <w:bCs/>
          <w:sz w:val="22"/>
        </w:rPr>
        <w:t xml:space="preserve">, </w:t>
      </w:r>
      <w:r>
        <w:rPr>
          <w:rFonts w:asciiTheme="minorHAnsi" w:cstheme="minorHAnsi" w:hAnsiTheme="minorHAnsi"/>
          <w:bCs/>
          <w:sz w:val="22"/>
        </w:rPr>
        <w:t>a</w:t>
      </w:r>
      <w:r>
        <w:rPr>
          <w:rFonts w:asciiTheme="minorHAnsi" w:cstheme="minorHAnsi" w:hAnsiTheme="minorHAnsi"/>
          <w:sz w:val="22"/>
        </w:rPr>
        <w:t xml:space="preserve"> été</w:t>
      </w:r>
      <w:r w:rsidRPr="00136BC8">
        <w:rPr>
          <w:rFonts w:asciiTheme="minorHAnsi" w:cstheme="minorHAnsi" w:hAnsiTheme="minorHAnsi"/>
          <w:sz w:val="22"/>
        </w:rPr>
        <w:t xml:space="preserve"> suivie dans le cadre de la présente négociation annuelle obligatoire</w:t>
      </w:r>
      <w:r>
        <w:rPr>
          <w:rFonts w:asciiTheme="minorHAnsi" w:cstheme="minorHAnsi" w:hAnsiTheme="minorHAnsi"/>
          <w:sz w:val="22"/>
        </w:rPr>
        <w:t>.</w:t>
      </w:r>
    </w:p>
    <w:p w14:paraId="572170A7" w14:textId="77777777" w:rsidP="00077A96" w:rsidR="00077A96" w:rsidRDefault="00077A96">
      <w:pPr>
        <w:pStyle w:val="NormalWeb"/>
        <w:jc w:val="both"/>
        <w:rPr>
          <w:rFonts w:asciiTheme="minorHAnsi" w:cstheme="minorHAnsi" w:hAnsiTheme="minorHAnsi"/>
          <w:bCs/>
          <w:sz w:val="22"/>
        </w:rPr>
      </w:pPr>
      <w:r w:rsidRPr="00A7148E">
        <w:rPr>
          <w:rFonts w:asciiTheme="minorHAnsi" w:cstheme="minorHAnsi" w:hAnsiTheme="minorHAnsi"/>
          <w:sz w:val="22"/>
        </w:rPr>
        <w:t xml:space="preserve">Par ailleurs, l’index égalité Homme/Femme </w:t>
      </w:r>
      <w:r w:rsidRPr="007E4422">
        <w:rPr>
          <w:rFonts w:asciiTheme="minorHAnsi" w:cstheme="minorHAnsi" w:hAnsiTheme="minorHAnsi"/>
          <w:sz w:val="22"/>
        </w:rPr>
        <w:t>pour l’année 202</w:t>
      </w:r>
      <w:r>
        <w:rPr>
          <w:rFonts w:asciiTheme="minorHAnsi" w:cstheme="minorHAnsi" w:hAnsiTheme="minorHAnsi"/>
          <w:sz w:val="22"/>
        </w:rPr>
        <w:t>1</w:t>
      </w:r>
      <w:r w:rsidRPr="007E4422">
        <w:rPr>
          <w:rFonts w:asciiTheme="minorHAnsi" w:cstheme="minorHAnsi" w:hAnsiTheme="minorHAnsi"/>
          <w:sz w:val="22"/>
        </w:rPr>
        <w:t xml:space="preserve"> et publié en 202</w:t>
      </w:r>
      <w:r>
        <w:rPr>
          <w:rFonts w:asciiTheme="minorHAnsi" w:cstheme="minorHAnsi" w:hAnsiTheme="minorHAnsi"/>
          <w:sz w:val="22"/>
        </w:rPr>
        <w:t>2</w:t>
      </w:r>
      <w:r w:rsidRPr="007E4422">
        <w:rPr>
          <w:rFonts w:asciiTheme="minorHAnsi" w:cstheme="minorHAnsi" w:hAnsiTheme="minorHAnsi"/>
          <w:sz w:val="22"/>
        </w:rPr>
        <w:t xml:space="preserve"> fait état d’un score de 93 points sur 100</w:t>
      </w:r>
      <w:r w:rsidRPr="007E4422">
        <w:rPr>
          <w:rFonts w:asciiTheme="minorHAnsi" w:cstheme="minorHAnsi" w:hAnsiTheme="minorHAnsi"/>
          <w:bCs/>
          <w:sz w:val="22"/>
        </w:rPr>
        <w:t>.</w:t>
      </w:r>
      <w:r>
        <w:rPr>
          <w:rFonts w:asciiTheme="minorHAnsi" w:cstheme="minorHAnsi" w:hAnsiTheme="minorHAnsi"/>
          <w:bCs/>
          <w:sz w:val="22"/>
        </w:rPr>
        <w:t xml:space="preserve"> </w:t>
      </w:r>
    </w:p>
    <w:p w14:paraId="38EB9B4D" w14:textId="77777777" w:rsidP="00077A96" w:rsidR="00077A96" w:rsidRDefault="00077A96">
      <w:pPr>
        <w:pStyle w:val="NormalWeb"/>
        <w:jc w:val="both"/>
        <w:rPr>
          <w:rFonts w:asciiTheme="minorHAnsi" w:cstheme="minorHAnsi" w:hAnsiTheme="minorHAnsi"/>
          <w:bCs/>
          <w:sz w:val="22"/>
        </w:rPr>
      </w:pPr>
      <w:r w:rsidRPr="003149C1">
        <w:rPr>
          <w:rFonts w:asciiTheme="minorHAnsi" w:cstheme="minorHAnsi" w:hAnsiTheme="minorHAnsi"/>
          <w:bCs/>
          <w:sz w:val="22"/>
        </w:rPr>
        <w:t>Sur la mobilité durable, les échanges entre les Parties ont été nourris. Il ressort que Boursorama œuvre depuis plusieurs années pour encourager la mobilité durable. Avec la mise en place du Télétravail, les trajets domicile – lieu de travail ont été fortement réduits. De plus, une flotte de vélos et trottinettes électriques, ainsi que des places de parking avec recharge électrique sont à disposition des collaborateurs. Le dispositif mis en place par Boursorama est conforme à la structure et aux attentes des collaborateurs, et il n’a vocation à être revu à date.</w:t>
      </w:r>
      <w:r>
        <w:rPr>
          <w:rFonts w:asciiTheme="minorHAnsi" w:cstheme="minorHAnsi" w:hAnsiTheme="minorHAnsi"/>
          <w:bCs/>
          <w:sz w:val="22"/>
        </w:rPr>
        <w:t xml:space="preserve"> </w:t>
      </w:r>
    </w:p>
    <w:p w14:paraId="41B1A147" w14:textId="77777777" w:rsidP="00077A96" w:rsidR="00077A96" w:rsidRDefault="00077A96" w:rsidRPr="007F2E97">
      <w:pPr>
        <w:jc w:val="both"/>
        <w:rPr>
          <w:rFonts w:asciiTheme="minorHAnsi" w:cstheme="minorHAnsi" w:hAnsiTheme="minorHAnsi"/>
          <w:bCs/>
          <w:sz w:val="22"/>
        </w:rPr>
      </w:pPr>
      <w:r w:rsidRPr="007F2E97">
        <w:rPr>
          <w:rFonts w:asciiTheme="minorHAnsi" w:cstheme="minorHAnsi" w:hAnsiTheme="minorHAnsi"/>
          <w:bCs/>
          <w:sz w:val="22"/>
        </w:rPr>
        <w:t xml:space="preserve">La politique de rémunération mise en place au sein de Boursorama a permis de préserver le pouvoir d’achat des collaborateurs malgré un contexte inflationniste. </w:t>
      </w:r>
    </w:p>
    <w:p w14:paraId="5685057F" w14:textId="77777777" w:rsidP="00077A96" w:rsidR="00077A96" w:rsidRDefault="00077A96" w:rsidRPr="007F2E97">
      <w:pPr>
        <w:jc w:val="both"/>
        <w:rPr>
          <w:rFonts w:asciiTheme="minorHAnsi" w:cstheme="minorHAnsi" w:hAnsiTheme="minorHAnsi"/>
          <w:bCs/>
          <w:sz w:val="22"/>
        </w:rPr>
      </w:pPr>
    </w:p>
    <w:p w14:paraId="4830B7C5" w14:textId="77777777" w:rsidP="00077A96" w:rsidR="00077A96" w:rsidRDefault="00077A96" w:rsidRPr="007F2E97">
      <w:pPr>
        <w:jc w:val="both"/>
        <w:rPr>
          <w:rFonts w:asciiTheme="minorHAnsi" w:cstheme="minorHAnsi" w:hAnsiTheme="minorHAnsi"/>
          <w:bCs/>
          <w:sz w:val="22"/>
        </w:rPr>
      </w:pPr>
      <w:r w:rsidRPr="007F2E97">
        <w:rPr>
          <w:rFonts w:asciiTheme="minorHAnsi" w:cstheme="minorHAnsi" w:hAnsiTheme="minorHAnsi"/>
          <w:bCs/>
          <w:sz w:val="22"/>
        </w:rPr>
        <w:t xml:space="preserve">Les mesures liées à la rémunération des collaborateurs en 2022 ont été les suivantes : </w:t>
      </w:r>
    </w:p>
    <w:p w14:paraId="1006EA38" w14:textId="77777777" w:rsidP="00077A96" w:rsidR="00077A96" w:rsidRDefault="00077A96" w:rsidRPr="007F2E97">
      <w:pPr>
        <w:jc w:val="both"/>
        <w:rPr>
          <w:rFonts w:asciiTheme="minorHAnsi" w:cstheme="minorHAnsi" w:hAnsiTheme="minorHAnsi"/>
          <w:bCs/>
          <w:sz w:val="22"/>
        </w:rPr>
      </w:pPr>
    </w:p>
    <w:p w14:paraId="74541E2A" w14:textId="77777777" w:rsidP="00077A96" w:rsidR="00077A96" w:rsidRDefault="00077A96" w:rsidRPr="007F2E97">
      <w:pPr>
        <w:pStyle w:val="Paragraphedeliste"/>
        <w:numPr>
          <w:ilvl w:val="0"/>
          <w:numId w:val="2"/>
        </w:numPr>
        <w:jc w:val="both"/>
        <w:rPr>
          <w:rFonts w:asciiTheme="minorHAnsi" w:cstheme="minorHAnsi" w:hAnsiTheme="minorHAnsi"/>
          <w:bCs/>
          <w:sz w:val="22"/>
        </w:rPr>
      </w:pPr>
      <w:r w:rsidRPr="007F2E97">
        <w:rPr>
          <w:rFonts w:asciiTheme="minorHAnsi" w:cstheme="minorHAnsi" w:hAnsiTheme="minorHAnsi"/>
          <w:bCs/>
          <w:sz w:val="22"/>
        </w:rPr>
        <w:lastRenderedPageBreak/>
        <w:t>Un budget de 3% de</w:t>
      </w:r>
      <w:r>
        <w:rPr>
          <w:rFonts w:asciiTheme="minorHAnsi" w:cstheme="minorHAnsi" w:hAnsiTheme="minorHAnsi"/>
          <w:bCs/>
          <w:sz w:val="22"/>
        </w:rPr>
        <w:t>s</w:t>
      </w:r>
      <w:r w:rsidRPr="007F2E97">
        <w:rPr>
          <w:rFonts w:asciiTheme="minorHAnsi" w:cstheme="minorHAnsi" w:hAnsiTheme="minorHAnsi"/>
          <w:bCs/>
          <w:sz w:val="22"/>
        </w:rPr>
        <w:t xml:space="preserve"> rémunérations fixes pour accompagner les évolutions professionnelles individuelles en s’assurant de l’égalité entre les femmes et les hommes via notamment la revalorisation de la rémunération fixe au retour du congé maternité comme prévu dans l’accord égalité hommes/femmes en vigueur.</w:t>
      </w:r>
    </w:p>
    <w:p w14:paraId="5A161775" w14:textId="77777777" w:rsidP="00077A96" w:rsidR="00077A96" w:rsidRDefault="00077A96" w:rsidRPr="007F2E97">
      <w:pPr>
        <w:pStyle w:val="Paragraphedeliste"/>
        <w:ind w:left="360"/>
        <w:jc w:val="both"/>
        <w:rPr>
          <w:rFonts w:asciiTheme="minorHAnsi" w:cstheme="minorHAnsi" w:hAnsiTheme="minorHAnsi"/>
          <w:bCs/>
          <w:sz w:val="22"/>
        </w:rPr>
      </w:pPr>
    </w:p>
    <w:p w14:paraId="1C8EDA6B" w14:textId="77777777" w:rsidP="00077A96" w:rsidR="00077A96" w:rsidRDefault="00077A96" w:rsidRPr="007F2E97">
      <w:pPr>
        <w:pStyle w:val="Paragraphedeliste"/>
        <w:numPr>
          <w:ilvl w:val="0"/>
          <w:numId w:val="2"/>
        </w:numPr>
        <w:rPr>
          <w:rFonts w:ascii="Cambria" w:cs="Arial" w:hAnsi="Cambria"/>
          <w:b/>
          <w:szCs w:val="22"/>
        </w:rPr>
      </w:pPr>
      <w:r w:rsidRPr="007F2E97">
        <w:rPr>
          <w:rFonts w:asciiTheme="minorHAnsi" w:cstheme="minorHAnsi" w:hAnsiTheme="minorHAnsi"/>
          <w:bCs/>
          <w:sz w:val="22"/>
        </w:rPr>
        <w:t>Une enveloppe de 15% distribuée au titre de l’intéressement vs 12% en 2021, soit une augmentation du montant moyen perçu par collaborateur de 28</w:t>
      </w:r>
      <w:r>
        <w:rPr>
          <w:rFonts w:asciiTheme="minorHAnsi" w:cstheme="minorHAnsi" w:hAnsiTheme="minorHAnsi"/>
          <w:bCs/>
          <w:sz w:val="22"/>
        </w:rPr>
        <w:t>,</w:t>
      </w:r>
      <w:r w:rsidRPr="007F2E97">
        <w:rPr>
          <w:rFonts w:asciiTheme="minorHAnsi" w:cstheme="minorHAnsi" w:hAnsiTheme="minorHAnsi"/>
          <w:bCs/>
          <w:sz w:val="22"/>
        </w:rPr>
        <w:t xml:space="preserve">6%. </w:t>
      </w:r>
    </w:p>
    <w:p w14:paraId="2F5DF877" w14:textId="77777777" w:rsidP="00077A96" w:rsidR="00077A96" w:rsidRDefault="00077A96" w:rsidRPr="007F2E97">
      <w:pPr>
        <w:jc w:val="both"/>
        <w:rPr>
          <w:rFonts w:asciiTheme="minorHAnsi" w:cstheme="minorHAnsi" w:hAnsiTheme="minorHAnsi"/>
          <w:bCs/>
          <w:sz w:val="22"/>
        </w:rPr>
      </w:pPr>
    </w:p>
    <w:p w14:paraId="4311AC8C" w14:textId="77777777" w:rsidP="00077A96" w:rsidR="00077A96" w:rsidRDefault="00077A96">
      <w:pPr>
        <w:jc w:val="both"/>
        <w:rPr>
          <w:rFonts w:asciiTheme="minorHAnsi" w:hAnsiTheme="minorHAnsi"/>
          <w:sz w:val="22"/>
          <w:szCs w:val="22"/>
        </w:rPr>
      </w:pPr>
      <w:r w:rsidRPr="007F2E97">
        <w:rPr>
          <w:rFonts w:asciiTheme="minorHAnsi" w:hAnsiTheme="minorHAnsi"/>
          <w:sz w:val="22"/>
          <w:szCs w:val="22"/>
        </w:rPr>
        <w:t xml:space="preserve">Lors des réunions de négociation, les Parties ont exposé leurs propositions et positions. </w:t>
      </w:r>
    </w:p>
    <w:p w14:paraId="18153CFF" w14:textId="77777777" w:rsidP="00077A96" w:rsidR="00077A96" w:rsidRDefault="00077A96" w:rsidRPr="007F2E97">
      <w:pPr>
        <w:jc w:val="both"/>
        <w:rPr>
          <w:rFonts w:asciiTheme="minorHAnsi" w:hAnsiTheme="minorHAnsi"/>
          <w:sz w:val="22"/>
          <w:szCs w:val="22"/>
        </w:rPr>
      </w:pPr>
    </w:p>
    <w:p w14:paraId="01D1B6B7" w14:textId="77777777" w:rsidP="00077A96" w:rsidR="00077A96" w:rsidRDefault="00077A96" w:rsidRPr="007F2E97">
      <w:pPr>
        <w:jc w:val="both"/>
        <w:rPr>
          <w:rFonts w:asciiTheme="minorHAnsi" w:hAnsiTheme="minorHAnsi"/>
          <w:b/>
          <w:sz w:val="22"/>
          <w:szCs w:val="22"/>
        </w:rPr>
      </w:pPr>
      <w:r w:rsidRPr="007F2E97">
        <w:rPr>
          <w:rFonts w:asciiTheme="minorHAnsi" w:hAnsiTheme="minorHAnsi"/>
          <w:b/>
          <w:sz w:val="22"/>
          <w:szCs w:val="22"/>
        </w:rPr>
        <w:t xml:space="preserve">Pour la CFDT : </w:t>
      </w:r>
    </w:p>
    <w:p w14:paraId="655B472C" w14:textId="77777777" w:rsidP="00077A96" w:rsidR="00077A96" w:rsidRDefault="00077A96" w:rsidRPr="007F2E97">
      <w:pPr>
        <w:jc w:val="both"/>
        <w:rPr>
          <w:rFonts w:asciiTheme="minorHAnsi" w:hAnsiTheme="minorHAnsi"/>
          <w:sz w:val="22"/>
          <w:szCs w:val="22"/>
        </w:rPr>
      </w:pPr>
    </w:p>
    <w:p w14:paraId="79C641C5" w14:textId="77777777" w:rsidP="00077A96" w:rsidR="00077A96" w:rsidRDefault="00077A96" w:rsidRPr="007F2E97">
      <w:pPr>
        <w:pStyle w:val="Paragraphedeliste"/>
        <w:numPr>
          <w:ilvl w:val="0"/>
          <w:numId w:val="3"/>
        </w:numPr>
        <w:jc w:val="both"/>
        <w:rPr>
          <w:rFonts w:asciiTheme="minorHAnsi" w:hAnsiTheme="minorHAnsi"/>
          <w:sz w:val="22"/>
          <w:szCs w:val="22"/>
        </w:rPr>
      </w:pPr>
      <w:r w:rsidRPr="007F2E97">
        <w:rPr>
          <w:rFonts w:asciiTheme="minorHAnsi" w:hAnsiTheme="minorHAnsi"/>
          <w:sz w:val="22"/>
          <w:szCs w:val="22"/>
        </w:rPr>
        <w:t xml:space="preserve">Compte tenu de l’inflation actuelle et prévisionnelle pour 2023, demande d’une augmentation collective : </w:t>
      </w:r>
    </w:p>
    <w:p w14:paraId="45D60ACB"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2500 € jusqu’à 100k€ de rémunération fixe annuelle brute</w:t>
      </w:r>
    </w:p>
    <w:p w14:paraId="3F68DAB3" w14:textId="77777777" w:rsidP="00077A96" w:rsidR="00077A96" w:rsidRDefault="00077A96" w:rsidRPr="007F2E97">
      <w:pPr>
        <w:pStyle w:val="Paragraphedeliste"/>
        <w:ind w:left="1440"/>
        <w:jc w:val="both"/>
        <w:rPr>
          <w:rFonts w:asciiTheme="minorHAnsi" w:hAnsiTheme="minorHAnsi"/>
          <w:sz w:val="22"/>
          <w:szCs w:val="22"/>
        </w:rPr>
      </w:pPr>
    </w:p>
    <w:p w14:paraId="349ACD69" w14:textId="77777777" w:rsidP="00077A96" w:rsidR="00077A96" w:rsidRDefault="00077A96" w:rsidRPr="007F2E97">
      <w:pPr>
        <w:pStyle w:val="Paragraphedeliste"/>
        <w:numPr>
          <w:ilvl w:val="0"/>
          <w:numId w:val="3"/>
        </w:numPr>
        <w:jc w:val="both"/>
        <w:rPr>
          <w:rFonts w:asciiTheme="minorHAnsi" w:hAnsiTheme="minorHAnsi"/>
          <w:sz w:val="22"/>
          <w:szCs w:val="22"/>
        </w:rPr>
      </w:pPr>
      <w:r w:rsidRPr="007F2E97">
        <w:rPr>
          <w:rFonts w:asciiTheme="minorHAnsi" w:hAnsiTheme="minorHAnsi"/>
          <w:sz w:val="22"/>
          <w:szCs w:val="22"/>
        </w:rPr>
        <w:t xml:space="preserve">Prime de Partage de la Valeur (PPV) : </w:t>
      </w:r>
    </w:p>
    <w:p w14:paraId="31C6FA74"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2000€ jusqu’à 100k€ de rémunération fixe annuelle brute</w:t>
      </w:r>
    </w:p>
    <w:p w14:paraId="39830EA8"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Attribuée au prorata de la présence sur l’année 2022</w:t>
      </w:r>
    </w:p>
    <w:p w14:paraId="73D606B0" w14:textId="77777777" w:rsidP="00077A96" w:rsidR="00077A96" w:rsidRDefault="00077A96" w:rsidRPr="007F2E97">
      <w:pPr>
        <w:jc w:val="both"/>
        <w:rPr>
          <w:rFonts w:asciiTheme="minorHAnsi" w:hAnsiTheme="minorHAnsi"/>
          <w:sz w:val="22"/>
          <w:szCs w:val="22"/>
        </w:rPr>
      </w:pPr>
    </w:p>
    <w:p w14:paraId="74CB8EF6" w14:textId="77777777" w:rsidP="00077A96" w:rsidR="00077A96" w:rsidRDefault="00077A96" w:rsidRPr="007F2E97">
      <w:pPr>
        <w:pStyle w:val="Paragraphedeliste"/>
        <w:numPr>
          <w:ilvl w:val="0"/>
          <w:numId w:val="3"/>
        </w:numPr>
        <w:jc w:val="both"/>
        <w:rPr>
          <w:rFonts w:asciiTheme="minorHAnsi" w:hAnsiTheme="minorHAnsi"/>
          <w:sz w:val="22"/>
          <w:szCs w:val="22"/>
        </w:rPr>
      </w:pPr>
      <w:r w:rsidRPr="007F2E97">
        <w:rPr>
          <w:rFonts w:asciiTheme="minorHAnsi" w:hAnsiTheme="minorHAnsi"/>
          <w:sz w:val="22"/>
          <w:szCs w:val="22"/>
        </w:rPr>
        <w:t>Indemnité Télétravail :</w:t>
      </w:r>
    </w:p>
    <w:p w14:paraId="40386B7A"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Pour les 90/10 : +2€ par jour télétravaillé</w:t>
      </w:r>
    </w:p>
    <w:p w14:paraId="4F8007C1"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Pour les 40/60 : +1,5€ par jour télétravaillé</w:t>
      </w:r>
    </w:p>
    <w:p w14:paraId="7DB6482F" w14:textId="77777777" w:rsidP="00077A96" w:rsidR="00077A96" w:rsidRDefault="00077A96" w:rsidRPr="007F2E97">
      <w:pPr>
        <w:pStyle w:val="Paragraphedeliste"/>
        <w:jc w:val="both"/>
        <w:rPr>
          <w:rFonts w:asciiTheme="minorHAnsi" w:hAnsiTheme="minorHAnsi"/>
          <w:sz w:val="22"/>
          <w:szCs w:val="22"/>
        </w:rPr>
      </w:pPr>
    </w:p>
    <w:p w14:paraId="54FC2171" w14:textId="77777777" w:rsidP="00077A96" w:rsidR="00077A96" w:rsidRDefault="00077A96" w:rsidRPr="007F2E97">
      <w:pPr>
        <w:pStyle w:val="Paragraphedeliste"/>
        <w:numPr>
          <w:ilvl w:val="0"/>
          <w:numId w:val="3"/>
        </w:numPr>
        <w:rPr>
          <w:rFonts w:asciiTheme="minorHAnsi" w:hAnsiTheme="minorHAnsi"/>
          <w:sz w:val="22"/>
          <w:szCs w:val="22"/>
        </w:rPr>
      </w:pPr>
      <w:r w:rsidRPr="007F2E97">
        <w:rPr>
          <w:rFonts w:asciiTheme="minorHAnsi" w:hAnsiTheme="minorHAnsi"/>
          <w:sz w:val="22"/>
          <w:szCs w:val="22"/>
        </w:rPr>
        <w:t>Epargne salariale : reconduction des mécanismes d’abondement</w:t>
      </w:r>
    </w:p>
    <w:p w14:paraId="679BDB51" w14:textId="77777777" w:rsidP="00077A96" w:rsidR="00077A96" w:rsidRDefault="00077A96" w:rsidRPr="007F2E97">
      <w:pPr>
        <w:rPr>
          <w:rFonts w:asciiTheme="minorHAnsi" w:hAnsiTheme="minorHAnsi"/>
          <w:sz w:val="22"/>
          <w:szCs w:val="22"/>
        </w:rPr>
      </w:pPr>
    </w:p>
    <w:p w14:paraId="6139A883" w14:textId="77777777" w:rsidP="00077A96" w:rsidR="00077A96" w:rsidRDefault="00077A96" w:rsidRPr="007F2E97">
      <w:pPr>
        <w:pStyle w:val="Paragraphedeliste"/>
        <w:numPr>
          <w:ilvl w:val="0"/>
          <w:numId w:val="3"/>
        </w:numPr>
        <w:jc w:val="both"/>
        <w:rPr>
          <w:rFonts w:asciiTheme="minorHAnsi" w:hAnsiTheme="minorHAnsi"/>
          <w:sz w:val="22"/>
          <w:szCs w:val="22"/>
        </w:rPr>
      </w:pPr>
      <w:r w:rsidRPr="007F2E97">
        <w:rPr>
          <w:rFonts w:asciiTheme="minorHAnsi" w:hAnsiTheme="minorHAnsi"/>
          <w:sz w:val="22"/>
          <w:szCs w:val="22"/>
        </w:rPr>
        <w:t xml:space="preserve">Mobilité durable : </w:t>
      </w:r>
    </w:p>
    <w:p w14:paraId="7C028D9E"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Augmentation du remboursement par l’employeur de l’abonnement de transport pour l’année 2023</w:t>
      </w:r>
    </w:p>
    <w:p w14:paraId="08FFD30C" w14:textId="77777777" w:rsidP="00077A96" w:rsidR="00077A96" w:rsidRDefault="00077A96" w:rsidRPr="007F2E97">
      <w:pPr>
        <w:pStyle w:val="Paragraphedeliste"/>
        <w:numPr>
          <w:ilvl w:val="1"/>
          <w:numId w:val="3"/>
        </w:numPr>
        <w:jc w:val="both"/>
        <w:rPr>
          <w:rFonts w:asciiTheme="minorHAnsi" w:hAnsiTheme="minorHAnsi"/>
          <w:sz w:val="22"/>
          <w:szCs w:val="22"/>
        </w:rPr>
      </w:pPr>
      <w:r w:rsidRPr="007F2E97">
        <w:rPr>
          <w:rFonts w:asciiTheme="minorHAnsi" w:hAnsiTheme="minorHAnsi"/>
          <w:sz w:val="22"/>
          <w:szCs w:val="22"/>
        </w:rPr>
        <w:t>Réflexion à mener sur l’éventuelle mise en place d’un forfait mobilité durable</w:t>
      </w:r>
    </w:p>
    <w:p w14:paraId="59503585" w14:textId="77777777" w:rsidP="00077A96" w:rsidR="00077A96" w:rsidRDefault="00077A96" w:rsidRPr="007F2E97">
      <w:pPr>
        <w:rPr>
          <w:rFonts w:asciiTheme="minorHAnsi" w:hAnsiTheme="minorHAnsi"/>
          <w:sz w:val="22"/>
          <w:szCs w:val="22"/>
        </w:rPr>
      </w:pPr>
    </w:p>
    <w:p w14:paraId="75221810" w14:textId="77777777" w:rsidP="00077A96" w:rsidR="00077A96" w:rsidRDefault="00077A96">
      <w:pPr>
        <w:pStyle w:val="Paragraphedeliste"/>
        <w:numPr>
          <w:ilvl w:val="0"/>
          <w:numId w:val="3"/>
        </w:numPr>
        <w:rPr>
          <w:rFonts w:asciiTheme="minorHAnsi" w:hAnsiTheme="minorHAnsi"/>
          <w:sz w:val="22"/>
          <w:szCs w:val="22"/>
        </w:rPr>
      </w:pPr>
      <w:r w:rsidRPr="007F2E97">
        <w:rPr>
          <w:rFonts w:asciiTheme="minorHAnsi" w:hAnsiTheme="minorHAnsi"/>
          <w:sz w:val="22"/>
          <w:szCs w:val="22"/>
        </w:rPr>
        <w:t>Un RTT employeur : 19 mai 2022</w:t>
      </w:r>
    </w:p>
    <w:p w14:paraId="38021B78" w14:textId="77777777" w:rsidP="00077A96" w:rsidR="00077A96" w:rsidRDefault="00077A96">
      <w:pPr>
        <w:rPr>
          <w:rFonts w:asciiTheme="minorHAnsi" w:hAnsiTheme="minorHAnsi"/>
          <w:sz w:val="22"/>
          <w:szCs w:val="22"/>
        </w:rPr>
      </w:pPr>
    </w:p>
    <w:p w14:paraId="43E49599" w14:textId="77777777" w:rsidP="00077A96" w:rsidR="00077A96" w:rsidRDefault="00077A96" w:rsidRPr="00015AB0">
      <w:pPr>
        <w:jc w:val="both"/>
        <w:rPr>
          <w:rFonts w:asciiTheme="minorHAnsi" w:hAnsiTheme="minorHAnsi"/>
          <w:b/>
          <w:bCs/>
          <w:sz w:val="22"/>
          <w:szCs w:val="22"/>
        </w:rPr>
      </w:pPr>
      <w:r w:rsidRPr="00015AB0">
        <w:rPr>
          <w:rFonts w:asciiTheme="minorHAnsi" w:hAnsiTheme="minorHAnsi"/>
          <w:b/>
          <w:bCs/>
          <w:sz w:val="22"/>
          <w:szCs w:val="22"/>
        </w:rPr>
        <w:t>Pour la Direction :</w:t>
      </w:r>
    </w:p>
    <w:p w14:paraId="334BE19B" w14:textId="77777777" w:rsidP="00077A96" w:rsidR="00077A96" w:rsidRDefault="00077A96" w:rsidRPr="00015AB0">
      <w:pPr>
        <w:jc w:val="both"/>
        <w:rPr>
          <w:rFonts w:asciiTheme="minorHAnsi" w:hAnsiTheme="minorHAnsi"/>
          <w:sz w:val="22"/>
          <w:szCs w:val="22"/>
        </w:rPr>
      </w:pPr>
    </w:p>
    <w:p w14:paraId="011AB4AE" w14:textId="77777777" w:rsidP="00077A96" w:rsidR="00077A96" w:rsidRDefault="00077A96" w:rsidRPr="007F2E97">
      <w:pPr>
        <w:jc w:val="both"/>
        <w:rPr>
          <w:rFonts w:asciiTheme="minorHAnsi" w:hAnsiTheme="minorHAnsi"/>
          <w:sz w:val="22"/>
          <w:szCs w:val="22"/>
        </w:rPr>
      </w:pPr>
      <w:r w:rsidRPr="00015AB0">
        <w:rPr>
          <w:rFonts w:asciiTheme="minorHAnsi" w:hAnsiTheme="minorHAnsi"/>
          <w:sz w:val="22"/>
          <w:szCs w:val="22"/>
        </w:rPr>
        <w:t>Face au contexte inflationniste, la Direction propose de mettre en place une Prime de partage de la valeur ainsi qu’une augmentation collective afin d’accompagner les collaborateurs de façon pérenne.</w:t>
      </w:r>
      <w:r>
        <w:rPr>
          <w:rFonts w:asciiTheme="minorHAnsi" w:hAnsiTheme="minorHAnsi"/>
          <w:sz w:val="22"/>
          <w:szCs w:val="22"/>
        </w:rPr>
        <w:t xml:space="preserve"> </w:t>
      </w:r>
    </w:p>
    <w:p w14:paraId="7892219E" w14:textId="77777777" w:rsidP="00077A96" w:rsidR="00077A96" w:rsidRDefault="00077A96" w:rsidRPr="007F2E97">
      <w:pPr>
        <w:jc w:val="both"/>
        <w:rPr>
          <w:rFonts w:asciiTheme="minorHAnsi" w:hAnsiTheme="minorHAnsi"/>
          <w:sz w:val="22"/>
          <w:szCs w:val="22"/>
        </w:rPr>
      </w:pPr>
    </w:p>
    <w:p w14:paraId="1920A343" w14:textId="77777777" w:rsidP="00077A96" w:rsidR="00077A96" w:rsidRDefault="00077A96" w:rsidRPr="00AB6587">
      <w:pPr>
        <w:jc w:val="both"/>
        <w:rPr>
          <w:rFonts w:asciiTheme="minorHAnsi" w:hAnsiTheme="minorHAnsi"/>
          <w:sz w:val="22"/>
          <w:szCs w:val="22"/>
          <w:highlight w:val="yellow"/>
        </w:rPr>
      </w:pPr>
    </w:p>
    <w:p w14:paraId="1423FFE8" w14:textId="77777777" w:rsidP="00077A96" w:rsidR="00077A96" w:rsidRDefault="00077A96">
      <w:pPr>
        <w:jc w:val="both"/>
        <w:rPr>
          <w:rFonts w:asciiTheme="minorHAnsi" w:cstheme="minorHAnsi" w:hAnsiTheme="minorHAnsi"/>
          <w:bCs/>
          <w:sz w:val="22"/>
        </w:rPr>
      </w:pPr>
      <w:r>
        <w:rPr>
          <w:rFonts w:asciiTheme="minorHAnsi" w:cstheme="minorHAnsi" w:hAnsiTheme="minorHAnsi"/>
          <w:bCs/>
          <w:sz w:val="22"/>
        </w:rPr>
        <w:t xml:space="preserve">Il a été convenu ce qui suit : </w:t>
      </w:r>
    </w:p>
    <w:p w14:paraId="441D3475" w14:textId="77777777" w:rsidP="00077A96" w:rsidR="00077A96" w:rsidRDefault="00077A96">
      <w:pPr>
        <w:jc w:val="both"/>
        <w:rPr>
          <w:rFonts w:asciiTheme="minorHAnsi" w:hAnsiTheme="minorHAnsi"/>
          <w:sz w:val="22"/>
          <w:szCs w:val="22"/>
        </w:rPr>
      </w:pPr>
    </w:p>
    <w:p w14:paraId="2F7249CA" w14:textId="77777777" w:rsidP="00077A96" w:rsidR="00077A96" w:rsidRDefault="00077A96">
      <w:pPr>
        <w:pBdr>
          <w:bottom w:color="auto" w:space="1" w:sz="4" w:val="single"/>
        </w:pBdr>
        <w:spacing w:line="280" w:lineRule="atLeast"/>
        <w:rPr>
          <w:rFonts w:ascii="Cambria" w:cs="Arial" w:hAnsi="Cambria"/>
          <w:b/>
          <w:szCs w:val="22"/>
        </w:rPr>
      </w:pPr>
    </w:p>
    <w:p w14:paraId="4E85A9B1" w14:textId="77777777" w:rsidP="00077A96" w:rsidR="00077A96" w:rsidRDefault="00077A96" w:rsidRPr="003C0482">
      <w:pPr>
        <w:pBdr>
          <w:bottom w:color="auto" w:space="1" w:sz="4" w:val="single"/>
        </w:pBdr>
        <w:spacing w:line="280" w:lineRule="atLeast"/>
        <w:rPr>
          <w:rFonts w:ascii="Cambria" w:cs="Arial" w:hAnsi="Cambria"/>
          <w:b/>
          <w:szCs w:val="22"/>
        </w:rPr>
      </w:pPr>
      <w:r w:rsidRPr="003C0482">
        <w:rPr>
          <w:rFonts w:ascii="Cambria" w:cs="Arial" w:hAnsi="Cambria"/>
          <w:b/>
          <w:szCs w:val="22"/>
        </w:rPr>
        <w:t xml:space="preserve">Article </w:t>
      </w:r>
      <w:r>
        <w:rPr>
          <w:rFonts w:ascii="Cambria" w:cs="Arial" w:hAnsi="Cambria"/>
          <w:b/>
          <w:szCs w:val="22"/>
        </w:rPr>
        <w:t>1</w:t>
      </w:r>
    </w:p>
    <w:p w14:paraId="78CBC6EF" w14:textId="77777777" w:rsidP="00077A96" w:rsidR="00077A96" w:rsidRDefault="00077A96">
      <w:pPr>
        <w:spacing w:before="120" w:line="280" w:lineRule="atLeast"/>
        <w:rPr>
          <w:rFonts w:ascii="Cambria" w:cs="Arial" w:hAnsi="Cambria"/>
          <w:b/>
          <w:sz w:val="28"/>
          <w:szCs w:val="28"/>
        </w:rPr>
      </w:pPr>
      <w:r>
        <w:rPr>
          <w:rFonts w:ascii="Cambria" w:cs="Arial" w:hAnsi="Cambria"/>
          <w:b/>
          <w:sz w:val="28"/>
          <w:szCs w:val="28"/>
        </w:rPr>
        <w:t>Prime de Partage de la Valeur (PPV)</w:t>
      </w:r>
    </w:p>
    <w:p w14:paraId="3C9BC4A6" w14:textId="77777777" w:rsidP="00077A96" w:rsidR="00077A96" w:rsidRDefault="00077A96"/>
    <w:p w14:paraId="3ED3D7AA" w14:textId="77777777" w:rsidP="00077A96" w:rsidR="00077A96" w:rsidRDefault="00077A96" w:rsidRPr="0006028D">
      <w:pPr>
        <w:jc w:val="both"/>
        <w:rPr>
          <w:rFonts w:asciiTheme="minorHAnsi" w:cstheme="minorHAnsi" w:hAnsiTheme="minorHAnsi"/>
          <w:bCs/>
          <w:sz w:val="22"/>
          <w:u w:val="single"/>
        </w:rPr>
      </w:pPr>
      <w:r w:rsidRPr="0006028D">
        <w:rPr>
          <w:rFonts w:asciiTheme="minorHAnsi" w:cstheme="minorHAnsi" w:hAnsiTheme="minorHAnsi"/>
          <w:bCs/>
          <w:sz w:val="22"/>
          <w:u w:val="single"/>
        </w:rPr>
        <w:t xml:space="preserve">Bénéficiaires : </w:t>
      </w:r>
    </w:p>
    <w:p w14:paraId="600579E9" w14:textId="77777777" w:rsidP="00077A96" w:rsidR="00077A96" w:rsidRDefault="00077A96">
      <w:pPr>
        <w:jc w:val="both"/>
        <w:rPr>
          <w:rFonts w:asciiTheme="minorHAnsi" w:cstheme="minorHAnsi" w:hAnsiTheme="minorHAnsi"/>
          <w:bCs/>
          <w:sz w:val="22"/>
        </w:rPr>
      </w:pPr>
      <w:r>
        <w:rPr>
          <w:rFonts w:asciiTheme="minorHAnsi" w:cstheme="minorHAnsi" w:hAnsiTheme="minorHAnsi"/>
          <w:bCs/>
          <w:sz w:val="22"/>
        </w:rPr>
        <w:t xml:space="preserve">Les salariés liés à Boursorama par un contrat de travail au 30/11/2022, et dont le salaire annuel théorique contractuel au </w:t>
      </w:r>
      <w:r w:rsidRPr="00023626">
        <w:rPr>
          <w:rFonts w:asciiTheme="minorHAnsi" w:cstheme="minorHAnsi" w:hAnsiTheme="minorHAnsi"/>
          <w:bCs/>
          <w:sz w:val="22"/>
        </w:rPr>
        <w:t>30/11/2022</w:t>
      </w:r>
      <w:r>
        <w:rPr>
          <w:rFonts w:asciiTheme="minorHAnsi" w:cstheme="minorHAnsi" w:hAnsiTheme="minorHAnsi"/>
          <w:bCs/>
          <w:sz w:val="22"/>
        </w:rPr>
        <w:t xml:space="preserve"> est inférieur ou égal à 80 000 €, sont concernés par la présente mesure. </w:t>
      </w:r>
    </w:p>
    <w:p w14:paraId="4D22C1BA" w14:textId="77777777" w:rsidP="00077A96" w:rsidR="00077A96" w:rsidRDefault="00077A96">
      <w:pPr>
        <w:jc w:val="both"/>
        <w:rPr>
          <w:rFonts w:asciiTheme="minorHAnsi" w:cstheme="minorHAnsi" w:hAnsiTheme="minorHAnsi"/>
          <w:bCs/>
          <w:sz w:val="22"/>
        </w:rPr>
      </w:pPr>
    </w:p>
    <w:p w14:paraId="496ECD7E" w14:textId="77777777" w:rsidP="00077A96" w:rsidR="00077A96" w:rsidRDefault="00077A96" w:rsidRPr="0006028D">
      <w:pPr>
        <w:jc w:val="both"/>
        <w:rPr>
          <w:rFonts w:asciiTheme="minorHAnsi" w:cstheme="minorHAnsi" w:hAnsiTheme="minorHAnsi"/>
          <w:bCs/>
          <w:sz w:val="22"/>
          <w:u w:val="single"/>
        </w:rPr>
      </w:pPr>
      <w:r w:rsidRPr="0006028D">
        <w:rPr>
          <w:rFonts w:asciiTheme="minorHAnsi" w:cstheme="minorHAnsi" w:hAnsiTheme="minorHAnsi"/>
          <w:bCs/>
          <w:sz w:val="22"/>
          <w:u w:val="single"/>
        </w:rPr>
        <w:t xml:space="preserve">Montant : </w:t>
      </w:r>
    </w:p>
    <w:p w14:paraId="3ACE3B35" w14:textId="77777777" w:rsidP="00077A96" w:rsidR="00077A96" w:rsidRDefault="00077A96" w:rsidRPr="00880753">
      <w:pPr>
        <w:jc w:val="both"/>
        <w:rPr>
          <w:rFonts w:asciiTheme="minorHAnsi" w:cstheme="minorHAnsi" w:hAnsiTheme="minorHAnsi"/>
          <w:bCs/>
          <w:sz w:val="22"/>
        </w:rPr>
      </w:pPr>
      <w:r w:rsidRPr="00880753">
        <w:rPr>
          <w:rFonts w:asciiTheme="minorHAnsi" w:cstheme="minorHAnsi" w:hAnsiTheme="minorHAnsi"/>
          <w:bCs/>
          <w:sz w:val="22"/>
        </w:rPr>
        <w:t xml:space="preserve">Le montant de la prime est de 1700€ soumise aux prélèvements conformément à la loi. </w:t>
      </w:r>
    </w:p>
    <w:p w14:paraId="14C23154" w14:textId="77777777" w:rsidP="00077A96" w:rsidR="00077A96" w:rsidRDefault="00077A96" w:rsidRPr="00880753">
      <w:pPr>
        <w:jc w:val="both"/>
        <w:rPr>
          <w:rFonts w:asciiTheme="minorHAnsi" w:cstheme="minorHAnsi" w:hAnsiTheme="minorHAnsi"/>
          <w:bCs/>
          <w:sz w:val="22"/>
        </w:rPr>
      </w:pPr>
    </w:p>
    <w:p w14:paraId="78EB2B85" w14:textId="77777777" w:rsidP="00077A96" w:rsidR="00077A96" w:rsidRDefault="00077A96" w:rsidRPr="00880753">
      <w:pPr>
        <w:jc w:val="both"/>
        <w:rPr>
          <w:rFonts w:asciiTheme="minorHAnsi" w:cstheme="minorHAnsi" w:hAnsiTheme="minorHAnsi"/>
          <w:bCs/>
          <w:sz w:val="22"/>
          <w:u w:val="single"/>
        </w:rPr>
      </w:pPr>
      <w:r w:rsidRPr="00880753">
        <w:rPr>
          <w:rFonts w:asciiTheme="minorHAnsi" w:cstheme="minorHAnsi" w:hAnsiTheme="minorHAnsi"/>
          <w:bCs/>
          <w:sz w:val="22"/>
          <w:u w:val="single"/>
        </w:rPr>
        <w:t xml:space="preserve">Modulation de son montant : </w:t>
      </w:r>
    </w:p>
    <w:p w14:paraId="70F17C82" w14:textId="77777777" w:rsidP="00077A96" w:rsidR="00077A96" w:rsidRDefault="00077A96" w:rsidRPr="00880753">
      <w:pPr>
        <w:jc w:val="both"/>
        <w:rPr>
          <w:rFonts w:asciiTheme="minorHAnsi" w:cstheme="minorHAnsi" w:hAnsiTheme="minorHAnsi"/>
          <w:bCs/>
          <w:sz w:val="22"/>
        </w:rPr>
      </w:pPr>
      <w:r w:rsidRPr="00880753">
        <w:rPr>
          <w:rFonts w:asciiTheme="minorHAnsi" w:cstheme="minorHAnsi" w:hAnsiTheme="minorHAnsi"/>
          <w:bCs/>
          <w:sz w:val="22"/>
        </w:rPr>
        <w:t xml:space="preserve">Le montant individuel de la prime exceptionnelle est modulé en fonction de la durée de présence effective sur les 12 derniers mois précédents la date de versement.  </w:t>
      </w:r>
    </w:p>
    <w:p w14:paraId="7B427658" w14:textId="77777777" w:rsidP="00077A96" w:rsidR="00077A96" w:rsidRDefault="00077A96" w:rsidRPr="00880753">
      <w:pPr>
        <w:jc w:val="both"/>
        <w:rPr>
          <w:rFonts w:asciiTheme="minorHAnsi" w:cstheme="minorHAnsi" w:hAnsiTheme="minorHAnsi"/>
          <w:bCs/>
          <w:sz w:val="22"/>
        </w:rPr>
      </w:pPr>
    </w:p>
    <w:p w14:paraId="3FC2F632" w14:textId="77777777" w:rsidP="00077A96" w:rsidR="00077A96" w:rsidRDefault="00077A96" w:rsidRPr="00880753">
      <w:pPr>
        <w:jc w:val="both"/>
        <w:rPr>
          <w:rFonts w:asciiTheme="minorHAnsi" w:cstheme="minorHAnsi" w:hAnsiTheme="minorHAnsi"/>
          <w:bCs/>
          <w:sz w:val="22"/>
        </w:rPr>
      </w:pPr>
      <w:r w:rsidRPr="00880753">
        <w:rPr>
          <w:rFonts w:asciiTheme="minorHAnsi" w:cstheme="minorHAnsi" w:hAnsiTheme="minorHAnsi"/>
          <w:bCs/>
          <w:sz w:val="22"/>
        </w:rPr>
        <w:lastRenderedPageBreak/>
        <w:t xml:space="preserve">Pour la détermination de la durée de présence, sont prises en compte les périodes de présence effective ou assimilée telles que visées par la loi du 16 août 2022 : </w:t>
      </w:r>
    </w:p>
    <w:p w14:paraId="356BA91E"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congé</w:t>
      </w:r>
      <w:proofErr w:type="gramEnd"/>
      <w:r w:rsidRPr="00880753">
        <w:rPr>
          <w:rFonts w:asciiTheme="minorHAnsi" w:cstheme="minorHAnsi" w:hAnsiTheme="minorHAnsi"/>
          <w:bCs/>
          <w:sz w:val="22"/>
        </w:rPr>
        <w:t xml:space="preserve"> maternité</w:t>
      </w:r>
    </w:p>
    <w:p w14:paraId="7E43AC47"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congé</w:t>
      </w:r>
      <w:proofErr w:type="gramEnd"/>
      <w:r w:rsidRPr="00880753">
        <w:rPr>
          <w:rFonts w:asciiTheme="minorHAnsi" w:cstheme="minorHAnsi" w:hAnsiTheme="minorHAnsi"/>
          <w:bCs/>
          <w:sz w:val="22"/>
        </w:rPr>
        <w:t xml:space="preserve"> d’adoption </w:t>
      </w:r>
    </w:p>
    <w:p w14:paraId="05350B78"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congé</w:t>
      </w:r>
      <w:proofErr w:type="gramEnd"/>
      <w:r w:rsidRPr="00880753">
        <w:rPr>
          <w:rFonts w:asciiTheme="minorHAnsi" w:cstheme="minorHAnsi" w:hAnsiTheme="minorHAnsi"/>
          <w:bCs/>
          <w:sz w:val="22"/>
        </w:rPr>
        <w:t xml:space="preserve"> de paternité et d’accueil de l’enfant</w:t>
      </w:r>
    </w:p>
    <w:p w14:paraId="5F05AED1" w14:textId="77777777" w:rsidP="00077A96" w:rsidR="00077A96" w:rsidRDefault="00077A96">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congé</w:t>
      </w:r>
      <w:proofErr w:type="gramEnd"/>
      <w:r w:rsidRPr="00880753">
        <w:rPr>
          <w:rFonts w:asciiTheme="minorHAnsi" w:cstheme="minorHAnsi" w:hAnsiTheme="minorHAnsi"/>
          <w:bCs/>
          <w:sz w:val="22"/>
        </w:rPr>
        <w:t xml:space="preserve"> parental d’éducation</w:t>
      </w:r>
    </w:p>
    <w:p w14:paraId="781078EA"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Pr>
          <w:rFonts w:asciiTheme="minorHAnsi" w:cstheme="minorHAnsi" w:hAnsiTheme="minorHAnsi"/>
          <w:bCs/>
          <w:sz w:val="22"/>
        </w:rPr>
        <w:t>congé</w:t>
      </w:r>
      <w:proofErr w:type="gramEnd"/>
      <w:r>
        <w:rPr>
          <w:rFonts w:asciiTheme="minorHAnsi" w:cstheme="minorHAnsi" w:hAnsiTheme="minorHAnsi"/>
          <w:bCs/>
          <w:sz w:val="22"/>
        </w:rPr>
        <w:t xml:space="preserve"> pour enfant malade</w:t>
      </w:r>
      <w:r w:rsidRPr="00880753">
        <w:rPr>
          <w:rFonts w:asciiTheme="minorHAnsi" w:cstheme="minorHAnsi" w:hAnsiTheme="minorHAnsi"/>
          <w:bCs/>
          <w:sz w:val="22"/>
        </w:rPr>
        <w:t xml:space="preserve"> </w:t>
      </w:r>
    </w:p>
    <w:p w14:paraId="2AFBA5EA"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congé</w:t>
      </w:r>
      <w:proofErr w:type="gramEnd"/>
      <w:r w:rsidRPr="00880753">
        <w:rPr>
          <w:rFonts w:asciiTheme="minorHAnsi" w:cstheme="minorHAnsi" w:hAnsiTheme="minorHAnsi"/>
          <w:bCs/>
          <w:sz w:val="22"/>
        </w:rPr>
        <w:t xml:space="preserve"> de présence parentale</w:t>
      </w:r>
    </w:p>
    <w:p w14:paraId="1318D40F" w14:textId="77777777" w:rsidP="00077A96" w:rsidR="00077A96" w:rsidRDefault="00077A96" w:rsidRPr="00880753">
      <w:pPr>
        <w:pStyle w:val="Paragraphedeliste"/>
        <w:numPr>
          <w:ilvl w:val="0"/>
          <w:numId w:val="2"/>
        </w:numPr>
        <w:jc w:val="both"/>
        <w:rPr>
          <w:rFonts w:asciiTheme="minorHAnsi" w:cstheme="minorHAnsi" w:hAnsiTheme="minorHAnsi"/>
          <w:bCs/>
          <w:sz w:val="22"/>
        </w:rPr>
      </w:pPr>
      <w:proofErr w:type="gramStart"/>
      <w:r w:rsidRPr="00880753">
        <w:rPr>
          <w:rFonts w:asciiTheme="minorHAnsi" w:cstheme="minorHAnsi" w:hAnsiTheme="minorHAnsi"/>
          <w:bCs/>
          <w:sz w:val="22"/>
        </w:rPr>
        <w:t>absence</w:t>
      </w:r>
      <w:proofErr w:type="gramEnd"/>
      <w:r w:rsidRPr="00880753">
        <w:rPr>
          <w:rFonts w:asciiTheme="minorHAnsi" w:cstheme="minorHAnsi" w:hAnsiTheme="minorHAnsi"/>
          <w:bCs/>
          <w:sz w:val="22"/>
        </w:rPr>
        <w:t xml:space="preserve"> d’un salarié ayant bénéficié d’un don de jour de repos de la part d’un autre salarié</w:t>
      </w:r>
    </w:p>
    <w:p w14:paraId="3A8BF2F4" w14:textId="77777777" w:rsidP="00077A96" w:rsidR="00077A96" w:rsidRDefault="00077A96" w:rsidRPr="00880753">
      <w:pPr>
        <w:jc w:val="both"/>
        <w:rPr>
          <w:rFonts w:asciiTheme="minorHAnsi" w:cstheme="minorHAnsi" w:hAnsiTheme="minorHAnsi"/>
          <w:bCs/>
          <w:sz w:val="22"/>
        </w:rPr>
      </w:pPr>
    </w:p>
    <w:p w14:paraId="25F45AA0" w14:textId="77777777" w:rsidP="00077A96" w:rsidR="00077A96" w:rsidRDefault="00077A96" w:rsidRPr="00880753">
      <w:pPr>
        <w:jc w:val="both"/>
        <w:rPr>
          <w:rFonts w:asciiTheme="minorHAnsi" w:cstheme="minorHAnsi" w:hAnsiTheme="minorHAnsi"/>
          <w:bCs/>
          <w:sz w:val="22"/>
          <w:u w:val="single"/>
        </w:rPr>
      </w:pPr>
      <w:r w:rsidRPr="00880753">
        <w:rPr>
          <w:rFonts w:asciiTheme="minorHAnsi" w:cstheme="minorHAnsi" w:hAnsiTheme="minorHAnsi"/>
          <w:bCs/>
          <w:sz w:val="22"/>
          <w:u w:val="single"/>
        </w:rPr>
        <w:t xml:space="preserve">Date de versement : </w:t>
      </w:r>
    </w:p>
    <w:p w14:paraId="2A4579C1" w14:textId="77777777" w:rsidP="00077A96" w:rsidR="00077A96" w:rsidRDefault="00077A96" w:rsidRPr="00880753">
      <w:pPr>
        <w:jc w:val="both"/>
        <w:rPr>
          <w:rFonts w:asciiTheme="minorHAnsi" w:cstheme="minorHAnsi" w:hAnsiTheme="minorHAnsi"/>
          <w:bCs/>
          <w:sz w:val="22"/>
        </w:rPr>
      </w:pPr>
      <w:r w:rsidRPr="00880753">
        <w:rPr>
          <w:rFonts w:asciiTheme="minorHAnsi" w:cstheme="minorHAnsi" w:hAnsiTheme="minorHAnsi"/>
          <w:bCs/>
          <w:sz w:val="22"/>
        </w:rPr>
        <w:t xml:space="preserve">Le versement de la prime précitée sera effectué en une seule fois avec la paie du mois de décembre 2022 et s’inscrit dans le cadre de la loi du 16 août 2022. </w:t>
      </w:r>
    </w:p>
    <w:p w14:paraId="465C9B7B" w14:textId="77777777" w:rsidP="00077A96" w:rsidR="00077A96" w:rsidRDefault="00077A96" w:rsidRPr="00880753">
      <w:pPr>
        <w:jc w:val="both"/>
        <w:rPr>
          <w:rFonts w:asciiTheme="minorHAnsi" w:cstheme="minorHAnsi" w:hAnsiTheme="minorHAnsi"/>
          <w:bCs/>
          <w:sz w:val="22"/>
        </w:rPr>
      </w:pPr>
    </w:p>
    <w:p w14:paraId="69C5AAA1" w14:textId="77777777" w:rsidP="00077A96" w:rsidR="00077A96" w:rsidRDefault="00077A96" w:rsidRPr="00880753">
      <w:pPr>
        <w:pBdr>
          <w:bottom w:color="auto" w:space="1" w:sz="4" w:val="single"/>
        </w:pBdr>
        <w:spacing w:line="280" w:lineRule="atLeast"/>
        <w:rPr>
          <w:rFonts w:ascii="Cambria" w:cs="Arial" w:hAnsi="Cambria"/>
          <w:b/>
          <w:szCs w:val="22"/>
        </w:rPr>
      </w:pPr>
    </w:p>
    <w:p w14:paraId="5F2FC05F" w14:textId="77777777" w:rsidP="00077A96" w:rsidR="00077A96" w:rsidRDefault="00077A96" w:rsidRPr="00880753">
      <w:pPr>
        <w:pBdr>
          <w:bottom w:color="auto" w:space="1" w:sz="4" w:val="single"/>
        </w:pBdr>
        <w:spacing w:line="280" w:lineRule="atLeast"/>
        <w:rPr>
          <w:rFonts w:ascii="Cambria" w:cs="Arial" w:hAnsi="Cambria"/>
          <w:b/>
          <w:szCs w:val="22"/>
        </w:rPr>
      </w:pPr>
      <w:r w:rsidRPr="00880753">
        <w:rPr>
          <w:rFonts w:ascii="Cambria" w:cs="Arial" w:hAnsi="Cambria"/>
          <w:b/>
          <w:szCs w:val="22"/>
        </w:rPr>
        <w:t>Article 2</w:t>
      </w:r>
    </w:p>
    <w:p w14:paraId="45F3ED34" w14:textId="77777777" w:rsidP="00077A96" w:rsidR="00077A96" w:rsidRDefault="00077A96" w:rsidRPr="00880753">
      <w:pPr>
        <w:spacing w:before="120" w:line="280" w:lineRule="atLeast"/>
        <w:rPr>
          <w:rFonts w:ascii="Cambria" w:cs="Arial" w:hAnsi="Cambria"/>
          <w:b/>
          <w:sz w:val="28"/>
          <w:szCs w:val="28"/>
        </w:rPr>
      </w:pPr>
      <w:r w:rsidRPr="00880753">
        <w:rPr>
          <w:rFonts w:ascii="Cambria" w:cs="Arial" w:hAnsi="Cambria"/>
          <w:b/>
          <w:sz w:val="28"/>
          <w:szCs w:val="28"/>
        </w:rPr>
        <w:t>Augmentation collective</w:t>
      </w:r>
    </w:p>
    <w:p w14:paraId="39DFC4EC" w14:textId="77777777" w:rsidP="00077A96" w:rsidR="00077A96" w:rsidRDefault="00077A96" w:rsidRPr="00880753">
      <w:pPr>
        <w:jc w:val="both"/>
        <w:rPr>
          <w:rFonts w:asciiTheme="minorHAnsi" w:hAnsiTheme="minorHAnsi"/>
          <w:sz w:val="22"/>
          <w:szCs w:val="22"/>
        </w:rPr>
      </w:pPr>
    </w:p>
    <w:p w14:paraId="58927430" w14:textId="77777777" w:rsidP="00077A96" w:rsidR="00077A96" w:rsidRDefault="00077A96" w:rsidRPr="00880753">
      <w:pPr>
        <w:jc w:val="both"/>
        <w:rPr>
          <w:rFonts w:asciiTheme="minorHAnsi" w:hAnsiTheme="minorHAnsi"/>
          <w:sz w:val="22"/>
          <w:szCs w:val="22"/>
        </w:rPr>
      </w:pPr>
      <w:r w:rsidRPr="00880753">
        <w:rPr>
          <w:rFonts w:asciiTheme="minorHAnsi" w:hAnsiTheme="minorHAnsi"/>
          <w:sz w:val="22"/>
          <w:szCs w:val="22"/>
        </w:rPr>
        <w:t>Les salariés Boursorama en CDI</w:t>
      </w:r>
      <w:r>
        <w:rPr>
          <w:rFonts w:asciiTheme="minorHAnsi" w:hAnsiTheme="minorHAnsi"/>
          <w:sz w:val="22"/>
          <w:szCs w:val="22"/>
        </w:rPr>
        <w:t xml:space="preserve"> au 31/12/2022</w:t>
      </w:r>
      <w:r w:rsidRPr="00880753">
        <w:rPr>
          <w:rFonts w:asciiTheme="minorHAnsi" w:hAnsiTheme="minorHAnsi"/>
          <w:sz w:val="22"/>
          <w:szCs w:val="22"/>
        </w:rPr>
        <w:t xml:space="preserve">, </w:t>
      </w:r>
      <w:r w:rsidRPr="00E21CCE">
        <w:rPr>
          <w:rFonts w:asciiTheme="minorHAnsi" w:hAnsiTheme="minorHAnsi"/>
          <w:sz w:val="22"/>
          <w:szCs w:val="22"/>
        </w:rPr>
        <w:t xml:space="preserve">liés par un contrat de travail </w:t>
      </w:r>
      <w:r w:rsidRPr="00880753">
        <w:rPr>
          <w:rFonts w:asciiTheme="minorHAnsi" w:hAnsiTheme="minorHAnsi"/>
          <w:sz w:val="22"/>
          <w:szCs w:val="22"/>
        </w:rPr>
        <w:t>au 30/06/2022, bénéficieront d’une augmentation de leur salaire annuel théorique contractuel qui s’opérera en janvier 2023, sous réserve d’être rémunéré par Boursorama à solde entière ou à demi-solde.</w:t>
      </w:r>
    </w:p>
    <w:p w14:paraId="05804935" w14:textId="77777777" w:rsidP="00077A96" w:rsidR="00077A96" w:rsidRDefault="00077A96" w:rsidRPr="00880753">
      <w:pPr>
        <w:jc w:val="both"/>
        <w:rPr>
          <w:rFonts w:asciiTheme="minorHAnsi" w:hAnsiTheme="minorHAnsi"/>
          <w:sz w:val="22"/>
          <w:szCs w:val="22"/>
        </w:rPr>
      </w:pPr>
    </w:p>
    <w:p w14:paraId="25851BB8" w14:textId="77777777" w:rsidP="00077A96" w:rsidR="00077A96" w:rsidRDefault="00077A96" w:rsidRPr="00880753">
      <w:pPr>
        <w:jc w:val="both"/>
        <w:rPr>
          <w:rFonts w:asciiTheme="minorHAnsi" w:hAnsiTheme="minorHAnsi"/>
          <w:sz w:val="22"/>
          <w:szCs w:val="22"/>
        </w:rPr>
      </w:pPr>
      <w:r w:rsidRPr="00880753">
        <w:rPr>
          <w:rFonts w:asciiTheme="minorHAnsi" w:hAnsiTheme="minorHAnsi"/>
          <w:sz w:val="22"/>
          <w:szCs w:val="22"/>
        </w:rPr>
        <w:t xml:space="preserve">Le montant de cette augmentation se calculera comme suit : </w:t>
      </w:r>
    </w:p>
    <w:p w14:paraId="7E8534C9" w14:textId="77777777" w:rsidP="00077A96" w:rsidR="00077A96" w:rsidRDefault="00077A96" w:rsidRPr="00880753">
      <w:pPr>
        <w:pStyle w:val="Paragraphedeliste"/>
        <w:numPr>
          <w:ilvl w:val="0"/>
          <w:numId w:val="2"/>
        </w:numPr>
        <w:jc w:val="both"/>
        <w:rPr>
          <w:rFonts w:asciiTheme="minorHAnsi" w:hAnsiTheme="minorHAnsi"/>
          <w:sz w:val="22"/>
          <w:szCs w:val="22"/>
        </w:rPr>
      </w:pPr>
      <w:r w:rsidRPr="00880753">
        <w:rPr>
          <w:rFonts w:asciiTheme="minorHAnsi" w:hAnsiTheme="minorHAnsi"/>
          <w:sz w:val="22"/>
          <w:szCs w:val="22"/>
        </w:rPr>
        <w:t xml:space="preserve">Une augmentation de 3% </w:t>
      </w:r>
      <w:r w:rsidRPr="00A656EC">
        <w:rPr>
          <w:rFonts w:asciiTheme="minorHAnsi" w:hAnsiTheme="minorHAnsi"/>
          <w:sz w:val="22"/>
          <w:szCs w:val="22"/>
        </w:rPr>
        <w:t>d</w:t>
      </w:r>
      <w:r>
        <w:rPr>
          <w:rFonts w:asciiTheme="minorHAnsi" w:hAnsiTheme="minorHAnsi"/>
          <w:sz w:val="22"/>
          <w:szCs w:val="22"/>
        </w:rPr>
        <w:t xml:space="preserve">u </w:t>
      </w:r>
      <w:r w:rsidRPr="00A656EC">
        <w:rPr>
          <w:rFonts w:asciiTheme="minorHAnsi" w:hAnsiTheme="minorHAnsi"/>
          <w:sz w:val="22"/>
          <w:szCs w:val="22"/>
        </w:rPr>
        <w:t>salaire annuel</w:t>
      </w:r>
      <w:r w:rsidRPr="00880753">
        <w:rPr>
          <w:rFonts w:asciiTheme="minorHAnsi" w:hAnsiTheme="minorHAnsi"/>
          <w:sz w:val="22"/>
          <w:szCs w:val="22"/>
        </w:rPr>
        <w:t xml:space="preserve"> théorique contractuel apprécié au </w:t>
      </w:r>
      <w:r w:rsidRPr="000B3479">
        <w:rPr>
          <w:rFonts w:asciiTheme="minorHAnsi" w:hAnsiTheme="minorHAnsi"/>
          <w:sz w:val="22"/>
          <w:szCs w:val="22"/>
        </w:rPr>
        <w:t>31/12/2022</w:t>
      </w:r>
      <w:r w:rsidRPr="00880753">
        <w:rPr>
          <w:rFonts w:asciiTheme="minorHAnsi" w:hAnsiTheme="minorHAnsi"/>
          <w:sz w:val="22"/>
          <w:szCs w:val="22"/>
        </w:rPr>
        <w:t xml:space="preserve"> pour les salariés dont le </w:t>
      </w:r>
      <w:r w:rsidRPr="00880753">
        <w:rPr>
          <w:rFonts w:asciiTheme="minorHAnsi" w:cstheme="minorHAnsi" w:hAnsiTheme="minorHAnsi"/>
          <w:bCs/>
          <w:sz w:val="22"/>
        </w:rPr>
        <w:t xml:space="preserve">salaire annuel théorique contractuel </w:t>
      </w:r>
      <w:r w:rsidRPr="00880753">
        <w:rPr>
          <w:rFonts w:asciiTheme="minorHAnsi" w:hAnsiTheme="minorHAnsi"/>
          <w:sz w:val="22"/>
          <w:szCs w:val="22"/>
        </w:rPr>
        <w:t>est inférieur ou égal à 80 000€ brut ;</w:t>
      </w:r>
    </w:p>
    <w:p w14:paraId="57470625" w14:textId="77777777" w:rsidP="00077A96" w:rsidR="00077A96" w:rsidRDefault="00077A96" w:rsidRPr="00880753">
      <w:pPr>
        <w:pStyle w:val="Paragraphedeliste"/>
        <w:numPr>
          <w:ilvl w:val="0"/>
          <w:numId w:val="2"/>
        </w:numPr>
        <w:jc w:val="both"/>
        <w:rPr>
          <w:rFonts w:asciiTheme="minorHAnsi" w:hAnsiTheme="minorHAnsi"/>
          <w:sz w:val="22"/>
          <w:szCs w:val="22"/>
        </w:rPr>
      </w:pPr>
      <w:r w:rsidRPr="00880753">
        <w:rPr>
          <w:rFonts w:asciiTheme="minorHAnsi" w:hAnsiTheme="minorHAnsi"/>
          <w:sz w:val="22"/>
          <w:szCs w:val="22"/>
        </w:rPr>
        <w:t xml:space="preserve">Le montant plancher de cette augmentation est de 1200€ brut pour un salarié à temps plein. </w:t>
      </w:r>
    </w:p>
    <w:p w14:paraId="5AC38E7C" w14:textId="77777777" w:rsidP="00077A96" w:rsidR="00077A96" w:rsidRDefault="00077A96">
      <w:pPr>
        <w:pBdr>
          <w:bottom w:color="auto" w:space="1" w:sz="4" w:val="single"/>
        </w:pBdr>
        <w:spacing w:line="280" w:lineRule="atLeast"/>
        <w:rPr>
          <w:rFonts w:ascii="Cambria" w:cs="Arial" w:hAnsi="Cambria"/>
          <w:b/>
          <w:szCs w:val="22"/>
        </w:rPr>
      </w:pPr>
    </w:p>
    <w:p w14:paraId="1B3E0B1C" w14:textId="77777777" w:rsidP="00077A96" w:rsidR="00077A96" w:rsidRDefault="00077A96">
      <w:pPr>
        <w:pBdr>
          <w:bottom w:color="auto" w:space="1" w:sz="4" w:val="single"/>
        </w:pBdr>
        <w:spacing w:line="280" w:lineRule="atLeast"/>
        <w:rPr>
          <w:rFonts w:ascii="Cambria" w:cs="Arial" w:hAnsi="Cambria"/>
          <w:b/>
          <w:szCs w:val="22"/>
        </w:rPr>
      </w:pPr>
    </w:p>
    <w:p w14:paraId="363CDF67" w14:textId="77777777" w:rsidP="00077A96" w:rsidR="00077A96" w:rsidRDefault="00077A96" w:rsidRPr="003C0482">
      <w:pPr>
        <w:pBdr>
          <w:bottom w:color="auto" w:space="1" w:sz="4" w:val="single"/>
        </w:pBdr>
        <w:spacing w:line="280" w:lineRule="atLeast"/>
        <w:rPr>
          <w:rFonts w:ascii="Cambria" w:cs="Arial" w:hAnsi="Cambria"/>
          <w:b/>
          <w:szCs w:val="22"/>
        </w:rPr>
      </w:pPr>
      <w:r w:rsidRPr="003C0482">
        <w:rPr>
          <w:rFonts w:ascii="Cambria" w:cs="Arial" w:hAnsi="Cambria"/>
          <w:b/>
          <w:szCs w:val="22"/>
        </w:rPr>
        <w:t xml:space="preserve">Article </w:t>
      </w:r>
      <w:r>
        <w:rPr>
          <w:rFonts w:ascii="Cambria" w:cs="Arial" w:hAnsi="Cambria"/>
          <w:b/>
          <w:szCs w:val="22"/>
        </w:rPr>
        <w:t>3</w:t>
      </w:r>
    </w:p>
    <w:p w14:paraId="58534F07" w14:textId="77777777" w:rsidP="00077A96" w:rsidR="00077A96" w:rsidRDefault="00077A96">
      <w:pPr>
        <w:spacing w:before="120" w:line="280" w:lineRule="atLeast"/>
        <w:rPr>
          <w:rFonts w:ascii="Cambria" w:cs="Arial" w:hAnsi="Cambria"/>
          <w:b/>
          <w:sz w:val="28"/>
          <w:szCs w:val="28"/>
        </w:rPr>
      </w:pPr>
      <w:r>
        <w:rPr>
          <w:rFonts w:ascii="Cambria" w:cs="Arial" w:hAnsi="Cambria"/>
          <w:b/>
          <w:sz w:val="28"/>
          <w:szCs w:val="28"/>
        </w:rPr>
        <w:t>Rémunération et égalité professionnelle</w:t>
      </w:r>
    </w:p>
    <w:p w14:paraId="0F0BACDE" w14:textId="77777777" w:rsidP="00077A96" w:rsidR="00077A96" w:rsidRDefault="00077A96">
      <w:pPr>
        <w:jc w:val="both"/>
        <w:rPr>
          <w:rFonts w:asciiTheme="minorHAnsi" w:cstheme="minorHAnsi" w:hAnsiTheme="minorHAnsi"/>
          <w:bCs/>
          <w:sz w:val="22"/>
        </w:rPr>
      </w:pPr>
    </w:p>
    <w:p w14:paraId="4DF374A6" w14:textId="77777777" w:rsidP="00077A96" w:rsidR="00077A96" w:rsidRDefault="00077A96" w:rsidRPr="000B7F3E">
      <w:pPr>
        <w:pStyle w:val="Paragraphedeliste"/>
        <w:ind w:left="0"/>
        <w:jc w:val="both"/>
        <w:rPr>
          <w:rFonts w:asciiTheme="minorHAnsi" w:hAnsiTheme="minorHAnsi"/>
          <w:sz w:val="22"/>
          <w:szCs w:val="22"/>
        </w:rPr>
      </w:pPr>
      <w:r>
        <w:rPr>
          <w:rFonts w:asciiTheme="minorHAnsi" w:hAnsiTheme="minorHAnsi"/>
          <w:sz w:val="22"/>
          <w:szCs w:val="22"/>
        </w:rPr>
        <w:t>L</w:t>
      </w:r>
      <w:r w:rsidRPr="000B7F3E">
        <w:rPr>
          <w:rFonts w:asciiTheme="minorHAnsi" w:hAnsiTheme="minorHAnsi"/>
          <w:sz w:val="22"/>
          <w:szCs w:val="22"/>
        </w:rPr>
        <w:t>a Direction rappelle que, comme les années précédentes, des mesures individuelles et discrétionnaires seront appliquées et une attention particulière sera portée afin de continuer à respecter l’égalité entre les Femmes et les Hommes.</w:t>
      </w:r>
    </w:p>
    <w:p w14:paraId="0FCEE065" w14:textId="77777777" w:rsidP="00077A96" w:rsidR="00077A96" w:rsidRDefault="00077A96">
      <w:pPr>
        <w:jc w:val="both"/>
        <w:rPr>
          <w:rFonts w:asciiTheme="minorHAnsi" w:cstheme="minorHAnsi" w:hAnsiTheme="minorHAnsi"/>
          <w:bCs/>
          <w:sz w:val="22"/>
        </w:rPr>
      </w:pPr>
    </w:p>
    <w:p w14:paraId="0E833F3D" w14:textId="77777777" w:rsidP="00077A96" w:rsidR="00077A96" w:rsidRDefault="00077A96">
      <w:pPr>
        <w:jc w:val="both"/>
        <w:rPr>
          <w:rFonts w:asciiTheme="minorHAnsi" w:cstheme="minorHAnsi" w:hAnsiTheme="minorHAnsi"/>
          <w:bCs/>
          <w:sz w:val="22"/>
        </w:rPr>
      </w:pPr>
    </w:p>
    <w:p w14:paraId="5C1DB1A5" w14:textId="77777777" w:rsidP="00077A96" w:rsidR="00077A96" w:rsidRDefault="00077A96" w:rsidRPr="000B7F3E">
      <w:pPr>
        <w:jc w:val="both"/>
        <w:rPr>
          <w:rFonts w:asciiTheme="minorHAnsi" w:cstheme="minorHAnsi" w:hAnsiTheme="minorHAnsi"/>
          <w:bCs/>
          <w:sz w:val="22"/>
        </w:rPr>
      </w:pPr>
    </w:p>
    <w:p w14:paraId="7A34E067" w14:textId="77777777" w:rsidP="00077A96" w:rsidR="00077A96" w:rsidRDefault="00077A96">
      <w:pPr>
        <w:pBdr>
          <w:bottom w:color="auto" w:space="1" w:sz="4" w:val="single"/>
        </w:pBdr>
        <w:spacing w:line="280" w:lineRule="atLeast"/>
        <w:rPr>
          <w:rFonts w:ascii="Cambria" w:cs="Arial" w:hAnsi="Cambria"/>
          <w:b/>
          <w:sz w:val="22"/>
          <w:szCs w:val="22"/>
        </w:rPr>
      </w:pPr>
    </w:p>
    <w:p w14:paraId="5991CAF9" w14:textId="77777777" w:rsidP="00077A96" w:rsidR="00077A96" w:rsidRDefault="00077A96" w:rsidRPr="003C0482">
      <w:pPr>
        <w:pBdr>
          <w:bottom w:color="auto" w:space="1" w:sz="4" w:val="single"/>
        </w:pBdr>
        <w:spacing w:line="280" w:lineRule="atLeast"/>
        <w:rPr>
          <w:rFonts w:ascii="Cambria" w:cs="Arial" w:hAnsi="Cambria"/>
          <w:b/>
          <w:szCs w:val="22"/>
        </w:rPr>
      </w:pPr>
      <w:r w:rsidRPr="003C0482">
        <w:rPr>
          <w:rFonts w:ascii="Cambria" w:cs="Arial" w:hAnsi="Cambria"/>
          <w:b/>
          <w:szCs w:val="22"/>
        </w:rPr>
        <w:t xml:space="preserve">Article </w:t>
      </w:r>
      <w:r>
        <w:rPr>
          <w:rFonts w:ascii="Cambria" w:cs="Arial" w:hAnsi="Cambria"/>
          <w:b/>
          <w:szCs w:val="22"/>
        </w:rPr>
        <w:t>4</w:t>
      </w:r>
    </w:p>
    <w:p w14:paraId="4924A087" w14:textId="77777777" w:rsidP="00077A96" w:rsidR="00077A96" w:rsidRDefault="00077A96">
      <w:pPr>
        <w:spacing w:before="120" w:line="280" w:lineRule="atLeast"/>
        <w:rPr>
          <w:rFonts w:ascii="Cambria" w:cs="Arial" w:hAnsi="Cambria"/>
          <w:b/>
          <w:sz w:val="28"/>
          <w:szCs w:val="28"/>
        </w:rPr>
      </w:pPr>
      <w:r>
        <w:rPr>
          <w:rFonts w:ascii="Cambria" w:cs="Arial" w:hAnsi="Cambria"/>
          <w:b/>
          <w:sz w:val="28"/>
          <w:szCs w:val="28"/>
        </w:rPr>
        <w:t xml:space="preserve">Epargne salariale </w:t>
      </w:r>
    </w:p>
    <w:p w14:paraId="1D2F2E5E" w14:textId="77777777" w:rsidP="00077A96" w:rsidR="00077A96" w:rsidRDefault="00077A96">
      <w:pPr>
        <w:jc w:val="both"/>
        <w:rPr>
          <w:rFonts w:ascii="Cambria" w:cs="Arial" w:hAnsi="Cambria"/>
          <w:b/>
          <w:sz w:val="22"/>
          <w:szCs w:val="22"/>
        </w:rPr>
      </w:pPr>
    </w:p>
    <w:p w14:paraId="36127F07" w14:textId="77777777" w:rsidP="00077A96" w:rsidR="00077A96" w:rsidRDefault="00077A96" w:rsidRPr="00621EEB">
      <w:pPr>
        <w:jc w:val="both"/>
        <w:rPr>
          <w:rFonts w:asciiTheme="minorHAnsi" w:cstheme="minorHAnsi" w:hAnsiTheme="minorHAnsi"/>
          <w:sz w:val="22"/>
        </w:rPr>
      </w:pPr>
      <w:r w:rsidRPr="00621EEB">
        <w:rPr>
          <w:rFonts w:asciiTheme="minorHAnsi" w:cstheme="minorHAnsi" w:hAnsiTheme="minorHAnsi"/>
          <w:sz w:val="22"/>
        </w:rPr>
        <w:t>Les parties conviennent de reconduire pour l’année 202</w:t>
      </w:r>
      <w:r>
        <w:rPr>
          <w:rFonts w:asciiTheme="minorHAnsi" w:cstheme="minorHAnsi" w:hAnsiTheme="minorHAnsi"/>
          <w:sz w:val="22"/>
        </w:rPr>
        <w:t>3</w:t>
      </w:r>
      <w:r w:rsidRPr="00621EEB">
        <w:rPr>
          <w:rFonts w:asciiTheme="minorHAnsi" w:hAnsiTheme="minorHAnsi"/>
          <w:sz w:val="20"/>
          <w:szCs w:val="22"/>
        </w:rPr>
        <w:t xml:space="preserve"> </w:t>
      </w:r>
      <w:r w:rsidRPr="00621EEB">
        <w:rPr>
          <w:rFonts w:asciiTheme="minorHAnsi" w:cstheme="minorHAnsi" w:hAnsiTheme="minorHAnsi"/>
          <w:sz w:val="22"/>
        </w:rPr>
        <w:t>les mesures relatives à l’abondement des sommes versées dans le PEG au titre de l’intéressement et de la participation ainsi qu’au titre des versements volontaires :</w:t>
      </w:r>
    </w:p>
    <w:p w14:paraId="7E9FEFD4" w14:textId="77777777" w:rsidP="00077A96" w:rsidR="00077A96" w:rsidRDefault="00077A96">
      <w:pPr>
        <w:jc w:val="both"/>
        <w:rPr>
          <w:rFonts w:asciiTheme="minorHAnsi" w:cstheme="minorHAnsi" w:hAnsiTheme="minorHAnsi"/>
        </w:rPr>
      </w:pPr>
    </w:p>
    <w:p w14:paraId="58C0925F" w14:textId="77777777" w:rsidP="00077A96" w:rsidR="00077A96" w:rsidRDefault="00077A96">
      <w:pPr>
        <w:jc w:val="both"/>
        <w:rPr>
          <w:rFonts w:asciiTheme="minorHAnsi" w:cstheme="minorHAnsi" w:hAnsiTheme="minorHAnsi"/>
        </w:rPr>
      </w:pPr>
    </w:p>
    <w:tbl>
      <w:tblPr>
        <w:tblStyle w:val="Grilledutableau"/>
        <w:tblW w:type="dxa" w:w="10632"/>
        <w:tblInd w:type="dxa" w:w="-5"/>
        <w:tblLayout w:type="fixed"/>
        <w:tblLook w:firstColumn="1" w:firstRow="1" w:lastColumn="0" w:lastRow="0" w:noHBand="0" w:noVBand="1" w:val="04A0"/>
      </w:tblPr>
      <w:tblGrid>
        <w:gridCol w:w="1985"/>
        <w:gridCol w:w="851"/>
        <w:gridCol w:w="2551"/>
        <w:gridCol w:w="1985"/>
        <w:gridCol w:w="850"/>
        <w:gridCol w:w="2410"/>
      </w:tblGrid>
      <w:tr w14:paraId="0C09EEC6" w14:textId="77777777" w:rsidR="00077A96" w:rsidRPr="00DF751B" w:rsidTr="008569AC">
        <w:tc>
          <w:tcPr>
            <w:tcW w:type="dxa" w:w="5387"/>
            <w:gridSpan w:val="3"/>
            <w:shd w:color="auto" w:fill="D9D9D9" w:themeFill="background1" w:themeFillShade="D9" w:val="clear"/>
          </w:tcPr>
          <w:p w14:paraId="6EBC382D"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ANNEE SANS PMAS</w:t>
            </w:r>
          </w:p>
        </w:tc>
        <w:tc>
          <w:tcPr>
            <w:tcW w:type="dxa" w:w="5245"/>
            <w:gridSpan w:val="3"/>
            <w:shd w:color="auto" w:fill="D9D9D9" w:themeFill="background1" w:themeFillShade="D9" w:val="clear"/>
          </w:tcPr>
          <w:p w14:paraId="45C4053E"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ANNEE AVEC PMAS</w:t>
            </w:r>
          </w:p>
        </w:tc>
      </w:tr>
      <w:tr w14:paraId="3636672C" w14:textId="77777777" w:rsidR="00077A96" w:rsidRPr="00DF751B" w:rsidTr="008569AC">
        <w:tc>
          <w:tcPr>
            <w:tcW w:type="dxa" w:w="1985"/>
            <w:shd w:color="auto" w:fill="F2F2F2" w:themeFill="background1" w:themeFillShade="F2" w:val="clear"/>
          </w:tcPr>
          <w:p w14:paraId="7419CDD6"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Versement</w:t>
            </w:r>
          </w:p>
        </w:tc>
        <w:tc>
          <w:tcPr>
            <w:tcW w:type="dxa" w:w="851"/>
            <w:shd w:color="auto" w:fill="F2F2F2" w:themeFill="background1" w:themeFillShade="F2" w:val="clear"/>
          </w:tcPr>
          <w:p w14:paraId="1CFA7584"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Taux</w:t>
            </w:r>
          </w:p>
        </w:tc>
        <w:tc>
          <w:tcPr>
            <w:tcW w:type="dxa" w:w="2551"/>
            <w:shd w:color="auto" w:fill="F2F2F2" w:themeFill="background1" w:themeFillShade="F2" w:val="clear"/>
          </w:tcPr>
          <w:p w14:paraId="4F7B1CA6"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Abondement maximum brut</w:t>
            </w:r>
          </w:p>
        </w:tc>
        <w:tc>
          <w:tcPr>
            <w:tcW w:type="dxa" w:w="1985"/>
            <w:shd w:color="auto" w:fill="F2F2F2" w:themeFill="background1" w:themeFillShade="F2" w:val="clear"/>
          </w:tcPr>
          <w:p w14:paraId="4106E206"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Versement</w:t>
            </w:r>
          </w:p>
        </w:tc>
        <w:tc>
          <w:tcPr>
            <w:tcW w:type="dxa" w:w="850"/>
            <w:shd w:color="auto" w:fill="F2F2F2" w:themeFill="background1" w:themeFillShade="F2" w:val="clear"/>
          </w:tcPr>
          <w:p w14:paraId="4019D23A"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Taux</w:t>
            </w:r>
          </w:p>
        </w:tc>
        <w:tc>
          <w:tcPr>
            <w:tcW w:type="dxa" w:w="2410"/>
            <w:shd w:color="auto" w:fill="F2F2F2" w:themeFill="background1" w:themeFillShade="F2" w:val="clear"/>
          </w:tcPr>
          <w:p w14:paraId="39A2D0F0"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Abondement maximum brut</w:t>
            </w:r>
          </w:p>
        </w:tc>
      </w:tr>
      <w:tr w14:paraId="41DCAFAD" w14:textId="77777777" w:rsidR="00077A96" w:rsidRPr="00DF751B" w:rsidTr="008569AC">
        <w:tc>
          <w:tcPr>
            <w:tcW w:type="dxa" w:w="1985"/>
          </w:tcPr>
          <w:p w14:paraId="6020D09C"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De 1 à 200 €</w:t>
            </w:r>
          </w:p>
        </w:tc>
        <w:tc>
          <w:tcPr>
            <w:tcW w:type="dxa" w:w="851"/>
          </w:tcPr>
          <w:p w14:paraId="65EFD167"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200%</w:t>
            </w:r>
          </w:p>
        </w:tc>
        <w:tc>
          <w:tcPr>
            <w:tcW w:type="dxa" w:w="2551"/>
          </w:tcPr>
          <w:p w14:paraId="3C41495D"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400 €</w:t>
            </w:r>
          </w:p>
        </w:tc>
        <w:tc>
          <w:tcPr>
            <w:tcW w:type="dxa" w:w="1985"/>
          </w:tcPr>
          <w:p w14:paraId="2FA852AC"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De 1 à 200 €</w:t>
            </w:r>
          </w:p>
        </w:tc>
        <w:tc>
          <w:tcPr>
            <w:tcW w:type="dxa" w:w="850"/>
          </w:tcPr>
          <w:p w14:paraId="67785AD0"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200%</w:t>
            </w:r>
          </w:p>
        </w:tc>
        <w:tc>
          <w:tcPr>
            <w:tcW w:type="dxa" w:w="2410"/>
          </w:tcPr>
          <w:p w14:paraId="0F40BE99"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400 €</w:t>
            </w:r>
          </w:p>
        </w:tc>
      </w:tr>
      <w:tr w14:paraId="027440BE" w14:textId="77777777" w:rsidR="00077A96" w:rsidRPr="00DF751B" w:rsidTr="008569AC">
        <w:tc>
          <w:tcPr>
            <w:tcW w:type="dxa" w:w="1985"/>
          </w:tcPr>
          <w:p w14:paraId="4A4C4D40" w14:textId="77777777" w:rsidP="008569AC" w:rsidR="00077A96" w:rsidRDefault="00077A96" w:rsidRPr="008A2569">
            <w:pPr>
              <w:jc w:val="center"/>
              <w:rPr>
                <w:rFonts w:asciiTheme="minorHAnsi" w:hAnsiTheme="minorHAnsi"/>
                <w:sz w:val="22"/>
                <w:szCs w:val="22"/>
              </w:rPr>
            </w:pPr>
            <w:proofErr w:type="gramStart"/>
            <w:r w:rsidRPr="008A2569">
              <w:rPr>
                <w:rFonts w:asciiTheme="minorHAnsi" w:hAnsiTheme="minorHAnsi"/>
                <w:sz w:val="22"/>
                <w:szCs w:val="22"/>
              </w:rPr>
              <w:t>au</w:t>
            </w:r>
            <w:proofErr w:type="gramEnd"/>
            <w:r w:rsidRPr="008A2569">
              <w:rPr>
                <w:rFonts w:asciiTheme="minorHAnsi" w:hAnsiTheme="minorHAnsi"/>
                <w:sz w:val="22"/>
                <w:szCs w:val="22"/>
              </w:rPr>
              <w:t>-delà de 201 €</w:t>
            </w:r>
          </w:p>
        </w:tc>
        <w:tc>
          <w:tcPr>
            <w:tcW w:type="dxa" w:w="851"/>
          </w:tcPr>
          <w:p w14:paraId="6C3C5C13" w14:textId="77777777" w:rsidP="008569AC" w:rsidR="00077A96" w:rsidRDefault="00077A96" w:rsidRPr="008A2569">
            <w:pPr>
              <w:jc w:val="center"/>
              <w:rPr>
                <w:rFonts w:asciiTheme="minorHAnsi" w:hAnsiTheme="minorHAnsi"/>
                <w:sz w:val="22"/>
                <w:szCs w:val="22"/>
              </w:rPr>
            </w:pPr>
            <w:r w:rsidRPr="008A2569">
              <w:rPr>
                <w:rFonts w:asciiTheme="minorHAnsi" w:hAnsiTheme="minorHAnsi"/>
                <w:sz w:val="22"/>
                <w:szCs w:val="22"/>
              </w:rPr>
              <w:t>75%</w:t>
            </w:r>
          </w:p>
        </w:tc>
        <w:tc>
          <w:tcPr>
            <w:tcW w:type="dxa" w:w="2551"/>
          </w:tcPr>
          <w:p w14:paraId="62A53E36" w14:textId="77777777" w:rsidP="008569AC" w:rsidR="00077A96" w:rsidRDefault="00077A96" w:rsidRPr="008A2569">
            <w:pPr>
              <w:jc w:val="center"/>
              <w:rPr>
                <w:rFonts w:asciiTheme="minorHAnsi" w:hAnsiTheme="minorHAnsi"/>
                <w:sz w:val="22"/>
                <w:szCs w:val="22"/>
              </w:rPr>
            </w:pPr>
            <w:r w:rsidRPr="008A2569">
              <w:rPr>
                <w:rFonts w:asciiTheme="minorHAnsi" w:hAnsiTheme="minorHAnsi"/>
                <w:sz w:val="22"/>
                <w:szCs w:val="22"/>
              </w:rPr>
              <w:t>2200 €*</w:t>
            </w:r>
          </w:p>
        </w:tc>
        <w:tc>
          <w:tcPr>
            <w:tcW w:type="dxa" w:w="1985"/>
          </w:tcPr>
          <w:p w14:paraId="78507A73" w14:textId="77777777" w:rsidP="008569AC" w:rsidR="00077A96" w:rsidRDefault="00077A96" w:rsidRPr="008A2569">
            <w:pPr>
              <w:jc w:val="center"/>
              <w:rPr>
                <w:rFonts w:asciiTheme="minorHAnsi" w:hAnsiTheme="minorHAnsi"/>
                <w:sz w:val="22"/>
                <w:szCs w:val="22"/>
              </w:rPr>
            </w:pPr>
            <w:proofErr w:type="gramStart"/>
            <w:r w:rsidRPr="008A2569">
              <w:rPr>
                <w:rFonts w:asciiTheme="minorHAnsi" w:hAnsiTheme="minorHAnsi"/>
                <w:sz w:val="22"/>
                <w:szCs w:val="22"/>
              </w:rPr>
              <w:t>au</w:t>
            </w:r>
            <w:proofErr w:type="gramEnd"/>
            <w:r w:rsidRPr="008A2569">
              <w:rPr>
                <w:rFonts w:asciiTheme="minorHAnsi" w:hAnsiTheme="minorHAnsi"/>
                <w:sz w:val="22"/>
                <w:szCs w:val="22"/>
              </w:rPr>
              <w:t>-delà de 201 €</w:t>
            </w:r>
          </w:p>
        </w:tc>
        <w:tc>
          <w:tcPr>
            <w:tcW w:type="dxa" w:w="850"/>
          </w:tcPr>
          <w:p w14:paraId="42769001"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75%</w:t>
            </w:r>
          </w:p>
        </w:tc>
        <w:tc>
          <w:tcPr>
            <w:tcW w:type="dxa" w:w="2410"/>
          </w:tcPr>
          <w:p w14:paraId="597F4483" w14:textId="77777777" w:rsidP="008569AC" w:rsidR="00077A96" w:rsidRDefault="00077A96" w:rsidRPr="00DF751B">
            <w:pPr>
              <w:jc w:val="center"/>
              <w:rPr>
                <w:rFonts w:asciiTheme="minorHAnsi" w:hAnsiTheme="minorHAnsi"/>
                <w:sz w:val="22"/>
                <w:szCs w:val="22"/>
              </w:rPr>
            </w:pPr>
            <w:r w:rsidRPr="00DF751B">
              <w:rPr>
                <w:rFonts w:asciiTheme="minorHAnsi" w:hAnsiTheme="minorHAnsi"/>
                <w:sz w:val="22"/>
                <w:szCs w:val="22"/>
              </w:rPr>
              <w:t>2000 €*</w:t>
            </w:r>
          </w:p>
        </w:tc>
      </w:tr>
    </w:tbl>
    <w:p w14:paraId="40E462C2" w14:textId="77777777" w:rsidP="00077A96" w:rsidR="00077A96" w:rsidRDefault="00077A96">
      <w:pPr>
        <w:jc w:val="both"/>
        <w:rPr>
          <w:rFonts w:asciiTheme="minorHAnsi" w:hAnsiTheme="minorHAnsi"/>
          <w:sz w:val="20"/>
          <w:szCs w:val="22"/>
        </w:rPr>
      </w:pPr>
    </w:p>
    <w:p w14:paraId="14AD8CFD" w14:textId="77777777" w:rsidP="00077A96" w:rsidR="00077A96" w:rsidRDefault="00077A96" w:rsidRPr="00F9119E">
      <w:pPr>
        <w:jc w:val="both"/>
        <w:rPr>
          <w:rFonts w:asciiTheme="minorHAnsi" w:cstheme="minorHAnsi" w:hAnsiTheme="minorHAnsi"/>
          <w:sz w:val="22"/>
        </w:rPr>
      </w:pPr>
      <w:r w:rsidRPr="00F9119E">
        <w:rPr>
          <w:rFonts w:asciiTheme="minorHAnsi" w:hAnsiTheme="minorHAnsi"/>
          <w:sz w:val="20"/>
          <w:szCs w:val="22"/>
        </w:rPr>
        <w:t>*dont abondement 1ère tranche inclus</w:t>
      </w:r>
    </w:p>
    <w:p w14:paraId="61068E97" w14:textId="77777777" w:rsidP="00077A96" w:rsidR="00077A96" w:rsidRDefault="00077A96">
      <w:pPr>
        <w:jc w:val="both"/>
        <w:rPr>
          <w:rFonts w:asciiTheme="minorHAnsi" w:cstheme="minorHAnsi" w:hAnsiTheme="minorHAnsi"/>
          <w:szCs w:val="28"/>
          <w:u w:val="single"/>
        </w:rPr>
      </w:pPr>
    </w:p>
    <w:p w14:paraId="53991809" w14:textId="77777777" w:rsidP="00077A96" w:rsidR="00077A96" w:rsidRDefault="00077A96">
      <w:pPr>
        <w:jc w:val="both"/>
        <w:rPr>
          <w:rFonts w:asciiTheme="minorHAnsi" w:cstheme="minorHAnsi" w:hAnsiTheme="minorHAnsi"/>
          <w:szCs w:val="28"/>
          <w:u w:val="single"/>
        </w:rPr>
      </w:pPr>
    </w:p>
    <w:p w14:paraId="333C01AA" w14:textId="77777777" w:rsidP="00077A96" w:rsidR="00077A96" w:rsidRDefault="00077A96" w:rsidRPr="003C0482">
      <w:pPr>
        <w:pBdr>
          <w:bottom w:color="auto" w:space="1" w:sz="4" w:val="single"/>
        </w:pBdr>
        <w:spacing w:line="280" w:lineRule="atLeast"/>
        <w:rPr>
          <w:rFonts w:ascii="Cambria" w:cs="Arial" w:hAnsi="Cambria"/>
          <w:b/>
          <w:szCs w:val="22"/>
        </w:rPr>
      </w:pPr>
      <w:r w:rsidRPr="003C0482">
        <w:rPr>
          <w:rFonts w:ascii="Cambria" w:cs="Arial" w:hAnsi="Cambria"/>
          <w:b/>
          <w:szCs w:val="22"/>
        </w:rPr>
        <w:t xml:space="preserve">Article </w:t>
      </w:r>
      <w:r>
        <w:rPr>
          <w:rFonts w:ascii="Cambria" w:cs="Arial" w:hAnsi="Cambria"/>
          <w:b/>
          <w:szCs w:val="22"/>
        </w:rPr>
        <w:t>5</w:t>
      </w:r>
    </w:p>
    <w:p w14:paraId="20189BEB" w14:textId="77777777" w:rsidP="00077A96" w:rsidR="00077A96" w:rsidRDefault="00077A96">
      <w:pPr>
        <w:spacing w:before="120" w:line="280" w:lineRule="atLeast"/>
        <w:rPr>
          <w:rFonts w:ascii="Cambria" w:cs="Arial" w:hAnsi="Cambria"/>
          <w:b/>
          <w:sz w:val="28"/>
          <w:szCs w:val="28"/>
        </w:rPr>
      </w:pPr>
      <w:r>
        <w:rPr>
          <w:rFonts w:ascii="Cambria" w:cs="Arial" w:hAnsi="Cambria"/>
          <w:b/>
          <w:sz w:val="28"/>
          <w:szCs w:val="28"/>
        </w:rPr>
        <w:t xml:space="preserve">RTT employeur et jour de solidarité </w:t>
      </w:r>
    </w:p>
    <w:p w14:paraId="6B2252F2" w14:textId="77777777" w:rsidP="00077A96" w:rsidR="00077A96" w:rsidRDefault="00077A96">
      <w:pPr>
        <w:spacing w:before="120" w:line="280" w:lineRule="atLeast"/>
        <w:rPr>
          <w:rFonts w:ascii="Cambria" w:cs="Arial" w:hAnsi="Cambria"/>
          <w:b/>
          <w:sz w:val="28"/>
          <w:szCs w:val="28"/>
        </w:rPr>
      </w:pPr>
    </w:p>
    <w:p w14:paraId="1ED5002F" w14:textId="77777777" w:rsidP="00077A96" w:rsidR="00077A96" w:rsidRDefault="00077A96">
      <w:pPr>
        <w:jc w:val="both"/>
        <w:rPr>
          <w:rFonts w:asciiTheme="minorHAnsi" w:hAnsiTheme="minorHAnsi"/>
          <w:sz w:val="22"/>
          <w:szCs w:val="22"/>
        </w:rPr>
      </w:pPr>
      <w:r>
        <w:rPr>
          <w:rFonts w:asciiTheme="minorHAnsi" w:hAnsiTheme="minorHAnsi"/>
          <w:sz w:val="22"/>
          <w:szCs w:val="22"/>
        </w:rPr>
        <w:t>L</w:t>
      </w:r>
      <w:r w:rsidRPr="00BC606A">
        <w:rPr>
          <w:rFonts w:asciiTheme="minorHAnsi" w:hAnsiTheme="minorHAnsi"/>
          <w:sz w:val="22"/>
          <w:szCs w:val="22"/>
        </w:rPr>
        <w:t xml:space="preserve">es </w:t>
      </w:r>
      <w:r>
        <w:rPr>
          <w:rFonts w:asciiTheme="minorHAnsi" w:hAnsiTheme="minorHAnsi"/>
          <w:sz w:val="22"/>
          <w:szCs w:val="22"/>
        </w:rPr>
        <w:t>p</w:t>
      </w:r>
      <w:r w:rsidRPr="00BC606A">
        <w:rPr>
          <w:rFonts w:asciiTheme="minorHAnsi" w:hAnsiTheme="minorHAnsi"/>
          <w:sz w:val="22"/>
          <w:szCs w:val="22"/>
        </w:rPr>
        <w:t>arties conviennent qu</w:t>
      </w:r>
      <w:r>
        <w:rPr>
          <w:rFonts w:asciiTheme="minorHAnsi" w:hAnsiTheme="minorHAnsi"/>
          <w:sz w:val="22"/>
          <w:szCs w:val="22"/>
        </w:rPr>
        <w:t xml:space="preserve">e le vendredi 19/05/2023 sera </w:t>
      </w:r>
      <w:r w:rsidRPr="00BC606A">
        <w:rPr>
          <w:rFonts w:asciiTheme="minorHAnsi" w:hAnsiTheme="minorHAnsi"/>
          <w:sz w:val="22"/>
          <w:szCs w:val="22"/>
        </w:rPr>
        <w:t>un jour de RTT employeur</w:t>
      </w:r>
      <w:r w:rsidRPr="00CC4A6A">
        <w:rPr>
          <w:rFonts w:asciiTheme="minorHAnsi" w:hAnsiTheme="minorHAnsi"/>
          <w:sz w:val="22"/>
          <w:szCs w:val="22"/>
        </w:rPr>
        <w:t xml:space="preserve">. </w:t>
      </w:r>
    </w:p>
    <w:p w14:paraId="6C74BEB3" w14:textId="77777777" w:rsidP="00077A96" w:rsidR="00077A96" w:rsidRDefault="00077A96">
      <w:pPr>
        <w:jc w:val="both"/>
        <w:rPr>
          <w:rFonts w:asciiTheme="minorHAnsi" w:hAnsiTheme="minorHAnsi"/>
          <w:sz w:val="22"/>
          <w:szCs w:val="22"/>
        </w:rPr>
      </w:pPr>
    </w:p>
    <w:p w14:paraId="55C4B8A3" w14:textId="77777777" w:rsidP="00077A96" w:rsidR="00077A96" w:rsidRDefault="00077A96">
      <w:pPr>
        <w:jc w:val="both"/>
        <w:rPr>
          <w:rFonts w:asciiTheme="minorHAnsi" w:hAnsiTheme="minorHAnsi"/>
          <w:sz w:val="22"/>
          <w:szCs w:val="22"/>
        </w:rPr>
      </w:pPr>
      <w:r w:rsidRPr="00CC4A6A">
        <w:rPr>
          <w:rFonts w:asciiTheme="minorHAnsi" w:hAnsiTheme="minorHAnsi"/>
          <w:sz w:val="22"/>
          <w:szCs w:val="22"/>
        </w:rPr>
        <w:t>Pour rappel, le jour de solidarité aura lieu le 1er lundi ouvré d’avril.</w:t>
      </w:r>
      <w:r w:rsidRPr="00BC606A">
        <w:rPr>
          <w:rFonts w:asciiTheme="minorHAnsi" w:hAnsiTheme="minorHAnsi"/>
          <w:sz w:val="22"/>
          <w:szCs w:val="22"/>
        </w:rPr>
        <w:t xml:space="preserve"> </w:t>
      </w:r>
    </w:p>
    <w:p w14:paraId="76EC165C" w14:textId="77777777" w:rsidP="00077A96" w:rsidR="00077A96" w:rsidRDefault="00077A96">
      <w:pPr>
        <w:jc w:val="both"/>
        <w:rPr>
          <w:rFonts w:asciiTheme="minorHAnsi" w:hAnsiTheme="minorHAnsi"/>
          <w:sz w:val="22"/>
          <w:szCs w:val="22"/>
        </w:rPr>
      </w:pPr>
    </w:p>
    <w:p w14:paraId="5A22BCC2" w14:textId="77777777" w:rsidP="00077A96" w:rsidR="00077A96" w:rsidRDefault="00077A96">
      <w:pPr>
        <w:pBdr>
          <w:bottom w:color="auto" w:space="1" w:sz="4" w:val="single"/>
        </w:pBdr>
        <w:spacing w:line="280" w:lineRule="atLeast"/>
        <w:rPr>
          <w:rFonts w:ascii="Cambria" w:cs="Arial" w:hAnsi="Cambria"/>
          <w:b/>
          <w:szCs w:val="22"/>
        </w:rPr>
      </w:pPr>
    </w:p>
    <w:p w14:paraId="01B049B4" w14:textId="77777777" w:rsidP="00077A96" w:rsidR="00077A96" w:rsidRDefault="00077A96">
      <w:pPr>
        <w:pBdr>
          <w:bottom w:color="auto" w:space="1" w:sz="4" w:val="single"/>
        </w:pBdr>
        <w:spacing w:line="280" w:lineRule="atLeast"/>
        <w:rPr>
          <w:rFonts w:ascii="Cambria" w:cs="Arial" w:hAnsi="Cambria"/>
          <w:b/>
          <w:szCs w:val="22"/>
        </w:rPr>
      </w:pPr>
    </w:p>
    <w:p w14:paraId="63082F18" w14:textId="77777777" w:rsidP="00077A96" w:rsidR="00077A96" w:rsidRDefault="00077A96" w:rsidRPr="003C0482">
      <w:pPr>
        <w:pBdr>
          <w:bottom w:color="auto" w:space="1" w:sz="4" w:val="single"/>
        </w:pBdr>
        <w:spacing w:line="280" w:lineRule="atLeast"/>
        <w:rPr>
          <w:rFonts w:ascii="Cambria" w:cs="Arial" w:hAnsi="Cambria"/>
          <w:b/>
          <w:szCs w:val="22"/>
        </w:rPr>
      </w:pPr>
      <w:r w:rsidRPr="003C0482">
        <w:rPr>
          <w:rFonts w:ascii="Cambria" w:cs="Arial" w:hAnsi="Cambria"/>
          <w:b/>
          <w:szCs w:val="22"/>
        </w:rPr>
        <w:t xml:space="preserve">Article </w:t>
      </w:r>
      <w:r>
        <w:rPr>
          <w:rFonts w:ascii="Cambria" w:cs="Arial" w:hAnsi="Cambria"/>
          <w:b/>
          <w:szCs w:val="22"/>
        </w:rPr>
        <w:t>6</w:t>
      </w:r>
    </w:p>
    <w:p w14:paraId="4C03881B" w14:textId="77777777" w:rsidP="00077A96" w:rsidR="00077A96" w:rsidRDefault="00077A96">
      <w:pPr>
        <w:spacing w:before="120" w:line="280" w:lineRule="atLeast"/>
        <w:rPr>
          <w:rFonts w:ascii="Cambria" w:cs="Arial" w:hAnsi="Cambria"/>
          <w:b/>
          <w:sz w:val="28"/>
          <w:szCs w:val="28"/>
        </w:rPr>
      </w:pPr>
      <w:r>
        <w:rPr>
          <w:rFonts w:ascii="Cambria" w:cs="Arial" w:hAnsi="Cambria"/>
          <w:b/>
          <w:sz w:val="28"/>
          <w:szCs w:val="28"/>
        </w:rPr>
        <w:t xml:space="preserve">Dispositions générales </w:t>
      </w:r>
    </w:p>
    <w:p w14:paraId="3E89633A" w14:textId="77777777" w:rsidP="00077A96" w:rsidR="00077A96" w:rsidRDefault="00077A96">
      <w:pPr>
        <w:rPr>
          <w:rFonts w:ascii="Cambria" w:cs="Arial" w:hAnsi="Cambria"/>
          <w:b/>
          <w:sz w:val="28"/>
          <w:szCs w:val="28"/>
        </w:rPr>
      </w:pPr>
    </w:p>
    <w:p w14:paraId="37B085BB" w14:textId="77777777" w:rsidP="00077A96" w:rsidR="00077A96" w:rsidRDefault="00077A96" w:rsidRPr="00BC606A">
      <w:pPr>
        <w:pStyle w:val="Corpsdetexte"/>
        <w:rPr>
          <w:rFonts w:asciiTheme="minorHAnsi" w:hAnsiTheme="minorHAnsi"/>
          <w:iCs w:val="0"/>
          <w:sz w:val="22"/>
          <w:szCs w:val="22"/>
          <w:u w:val="single"/>
        </w:rPr>
      </w:pPr>
      <w:r w:rsidRPr="00BC606A">
        <w:rPr>
          <w:rFonts w:asciiTheme="minorHAnsi" w:hAnsiTheme="minorHAnsi"/>
          <w:iCs w:val="0"/>
          <w:sz w:val="22"/>
          <w:szCs w:val="22"/>
          <w:u w:val="single"/>
        </w:rPr>
        <w:t>Durée de l’accord</w:t>
      </w:r>
    </w:p>
    <w:p w14:paraId="0A0732B9" w14:textId="77777777" w:rsidP="00077A96" w:rsidR="00077A96" w:rsidRDefault="00077A96" w:rsidRPr="00BC606A">
      <w:pPr>
        <w:pStyle w:val="Corpsdetexte"/>
        <w:rPr>
          <w:rFonts w:asciiTheme="minorHAnsi" w:hAnsiTheme="minorHAnsi"/>
          <w:iCs w:val="0"/>
          <w:sz w:val="22"/>
          <w:szCs w:val="22"/>
        </w:rPr>
      </w:pPr>
      <w:r w:rsidRPr="00BC606A">
        <w:rPr>
          <w:rFonts w:asciiTheme="minorHAnsi" w:hAnsiTheme="minorHAnsi"/>
          <w:iCs w:val="0"/>
          <w:sz w:val="22"/>
          <w:szCs w:val="22"/>
        </w:rPr>
        <w:t xml:space="preserve">Le présent accord est conclu pour une durée déterminée et cessera de produire effet au </w:t>
      </w:r>
      <w:r>
        <w:rPr>
          <w:rFonts w:asciiTheme="minorHAnsi" w:hAnsiTheme="minorHAnsi"/>
          <w:iCs w:val="0"/>
          <w:sz w:val="22"/>
          <w:szCs w:val="22"/>
        </w:rPr>
        <w:t>31/12/2023</w:t>
      </w:r>
      <w:r w:rsidRPr="00BC606A">
        <w:rPr>
          <w:rFonts w:asciiTheme="minorHAnsi" w:hAnsiTheme="minorHAnsi"/>
          <w:iCs w:val="0"/>
          <w:sz w:val="22"/>
          <w:szCs w:val="22"/>
        </w:rPr>
        <w:t xml:space="preserve">. </w:t>
      </w:r>
    </w:p>
    <w:p w14:paraId="5131AA3D" w14:textId="77777777" w:rsidP="00077A96" w:rsidR="00077A96" w:rsidRDefault="00077A96">
      <w:pPr>
        <w:pStyle w:val="Corpsdetexte"/>
        <w:ind w:firstLine="708"/>
        <w:rPr>
          <w:iCs w:val="0"/>
        </w:rPr>
      </w:pPr>
    </w:p>
    <w:p w14:paraId="795CC77D" w14:textId="77777777" w:rsidP="00077A96" w:rsidR="00077A96" w:rsidRDefault="00077A96" w:rsidRPr="00BC606A">
      <w:pPr>
        <w:pStyle w:val="Corpsdetexte"/>
        <w:rPr>
          <w:rFonts w:asciiTheme="minorHAnsi" w:hAnsiTheme="minorHAnsi"/>
          <w:iCs w:val="0"/>
          <w:sz w:val="22"/>
          <w:szCs w:val="22"/>
          <w:u w:val="single"/>
        </w:rPr>
      </w:pPr>
      <w:r w:rsidRPr="00BC606A">
        <w:rPr>
          <w:rFonts w:asciiTheme="minorHAnsi" w:hAnsiTheme="minorHAnsi"/>
          <w:iCs w:val="0"/>
          <w:sz w:val="22"/>
          <w:szCs w:val="22"/>
          <w:u w:val="single"/>
        </w:rPr>
        <w:t>Entrée en vigueur</w:t>
      </w:r>
    </w:p>
    <w:p w14:paraId="775E04BC" w14:textId="77777777" w:rsidP="00077A96" w:rsidR="00077A96" w:rsidRDefault="00077A96">
      <w:pPr>
        <w:pStyle w:val="Corpsdetexte"/>
        <w:rPr>
          <w:rFonts w:asciiTheme="minorHAnsi" w:hAnsiTheme="minorHAnsi"/>
          <w:iCs w:val="0"/>
          <w:sz w:val="22"/>
          <w:szCs w:val="22"/>
        </w:rPr>
      </w:pPr>
      <w:r w:rsidRPr="00BC606A">
        <w:rPr>
          <w:rFonts w:asciiTheme="minorHAnsi" w:hAnsiTheme="minorHAnsi"/>
          <w:iCs w:val="0"/>
          <w:sz w:val="22"/>
          <w:szCs w:val="22"/>
        </w:rPr>
        <w:t>Les dispositions du présent accord entreront en vigueur conformément aux dispositions légales et s’appliqueront, après achèvement des procédures de conclusion et de dépôt.</w:t>
      </w:r>
    </w:p>
    <w:p w14:paraId="6CE8AA16" w14:textId="77777777" w:rsidP="00077A96" w:rsidR="00077A96" w:rsidRDefault="00077A96">
      <w:pPr>
        <w:pStyle w:val="Corpsdetexte"/>
        <w:rPr>
          <w:rFonts w:asciiTheme="minorHAnsi" w:hAnsiTheme="minorHAnsi"/>
          <w:iCs w:val="0"/>
          <w:sz w:val="22"/>
          <w:szCs w:val="22"/>
        </w:rPr>
      </w:pPr>
    </w:p>
    <w:p w14:paraId="34D20FB2" w14:textId="77777777" w:rsidP="00077A96" w:rsidR="00077A96" w:rsidRDefault="00077A96" w:rsidRPr="00BC606A">
      <w:pPr>
        <w:pStyle w:val="Corpsdetexte"/>
        <w:rPr>
          <w:rFonts w:asciiTheme="minorHAnsi" w:hAnsiTheme="minorHAnsi"/>
          <w:iCs w:val="0"/>
          <w:sz w:val="22"/>
          <w:szCs w:val="22"/>
          <w:u w:val="single"/>
        </w:rPr>
      </w:pPr>
      <w:r w:rsidRPr="00BC606A">
        <w:rPr>
          <w:rFonts w:asciiTheme="minorHAnsi" w:hAnsiTheme="minorHAnsi"/>
          <w:iCs w:val="0"/>
          <w:sz w:val="22"/>
          <w:szCs w:val="22"/>
          <w:u w:val="single"/>
        </w:rPr>
        <w:t>Dépôt et publicité</w:t>
      </w:r>
    </w:p>
    <w:p w14:paraId="79B0E352" w14:textId="77777777" w:rsidP="00077A96" w:rsidR="00077A96" w:rsidRDefault="00077A96" w:rsidRPr="00FE47B1">
      <w:pPr>
        <w:jc w:val="both"/>
        <w:rPr>
          <w:rFonts w:asciiTheme="minorHAnsi" w:hAnsiTheme="minorHAnsi"/>
          <w:sz w:val="22"/>
          <w:szCs w:val="22"/>
        </w:rPr>
      </w:pPr>
      <w:r w:rsidRPr="00FE47B1">
        <w:rPr>
          <w:rFonts w:asciiTheme="minorHAnsi" w:hAnsiTheme="minorHAnsi"/>
          <w:sz w:val="22"/>
          <w:szCs w:val="22"/>
        </w:rPr>
        <w:t>Le présent accord ainsi que</w:t>
      </w:r>
      <w:r>
        <w:rPr>
          <w:rFonts w:asciiTheme="minorHAnsi" w:hAnsiTheme="minorHAnsi"/>
          <w:sz w:val="22"/>
          <w:szCs w:val="22"/>
        </w:rPr>
        <w:t xml:space="preserve"> les pièces complémentaires feront</w:t>
      </w:r>
      <w:r w:rsidRPr="00FE47B1">
        <w:rPr>
          <w:rFonts w:asciiTheme="minorHAnsi" w:hAnsiTheme="minorHAnsi"/>
          <w:sz w:val="22"/>
          <w:szCs w:val="22"/>
        </w:rPr>
        <w:t xml:space="preserve"> l’objet d’un dépôt conformément aux dispositions de l’article L.2242-6, L.2231-6 et suivants du Code du travail.</w:t>
      </w:r>
    </w:p>
    <w:p w14:paraId="120DC1D2" w14:textId="77777777" w:rsidP="00077A96" w:rsidR="00077A96" w:rsidRDefault="00077A96" w:rsidRPr="00BC606A">
      <w:pPr>
        <w:jc w:val="both"/>
        <w:rPr>
          <w:rFonts w:asciiTheme="minorHAnsi" w:hAnsiTheme="minorHAnsi"/>
          <w:sz w:val="22"/>
          <w:szCs w:val="22"/>
        </w:rPr>
      </w:pPr>
      <w:r w:rsidRPr="00FE47B1">
        <w:rPr>
          <w:rFonts w:asciiTheme="minorHAnsi" w:hAnsiTheme="minorHAnsi"/>
          <w:sz w:val="22"/>
          <w:szCs w:val="22"/>
        </w:rPr>
        <w:t>Il fera ainsi l’objet d’un dépôt sur la plateforme électronique de téléprocédure du Ministère du Travail dédiée aux accords collectifs d’entreprise ainsi qu’auprès du Greffe du Conseil de Prud’hommes de Boulogne-Billancourt.</w:t>
      </w:r>
    </w:p>
    <w:p w14:paraId="34D140AC" w14:textId="77777777" w:rsidP="00077A96" w:rsidR="00077A96" w:rsidRDefault="00077A96">
      <w:pPr>
        <w:jc w:val="both"/>
        <w:rPr>
          <w:rFonts w:asciiTheme="minorHAnsi" w:hAnsiTheme="minorHAnsi"/>
          <w:sz w:val="22"/>
          <w:szCs w:val="22"/>
        </w:rPr>
      </w:pPr>
    </w:p>
    <w:p w14:paraId="5AAAE6D7" w14:textId="77777777" w:rsidP="00077A96" w:rsidR="00077A96" w:rsidRDefault="00077A96" w:rsidRPr="00FD5212">
      <w:pPr>
        <w:jc w:val="both"/>
        <w:rPr>
          <w:rFonts w:asciiTheme="minorHAnsi" w:hAnsiTheme="minorHAnsi"/>
          <w:sz w:val="22"/>
          <w:szCs w:val="22"/>
        </w:rPr>
      </w:pPr>
      <w:r w:rsidRPr="00BC606A">
        <w:rPr>
          <w:rFonts w:asciiTheme="minorHAnsi" w:hAnsiTheme="minorHAnsi"/>
          <w:sz w:val="22"/>
          <w:szCs w:val="22"/>
        </w:rPr>
        <w:t>Le présent accord sera également notifié à l’</w:t>
      </w:r>
      <w:r>
        <w:rPr>
          <w:rFonts w:asciiTheme="minorHAnsi" w:hAnsiTheme="minorHAnsi"/>
          <w:sz w:val="22"/>
          <w:szCs w:val="22"/>
        </w:rPr>
        <w:t>o</w:t>
      </w:r>
      <w:r w:rsidRPr="00BC606A">
        <w:rPr>
          <w:rFonts w:asciiTheme="minorHAnsi" w:hAnsiTheme="minorHAnsi"/>
          <w:sz w:val="22"/>
          <w:szCs w:val="22"/>
        </w:rPr>
        <w:t>rganisatio</w:t>
      </w:r>
      <w:r>
        <w:rPr>
          <w:rFonts w:asciiTheme="minorHAnsi" w:hAnsiTheme="minorHAnsi"/>
          <w:sz w:val="22"/>
          <w:szCs w:val="22"/>
        </w:rPr>
        <w:t>n</w:t>
      </w:r>
      <w:r w:rsidRPr="00BC606A">
        <w:rPr>
          <w:rFonts w:asciiTheme="minorHAnsi" w:hAnsiTheme="minorHAnsi"/>
          <w:sz w:val="22"/>
          <w:szCs w:val="22"/>
        </w:rPr>
        <w:t xml:space="preserve"> syndicale représentative. Ces remises et dépôts seront effectués par les soins de la Direction de Boursorama. Il sera procédé à l’affichage du présent accord par voie électronique sur l’intranet de l’entreprise. </w:t>
      </w:r>
    </w:p>
    <w:p w14:paraId="6966B692" w14:textId="77777777" w:rsidP="00077A96" w:rsidR="00077A96" w:rsidRDefault="00077A96">
      <w:pPr>
        <w:pStyle w:val="Corpsdetexte"/>
        <w:rPr>
          <w:rFonts w:asciiTheme="minorHAnsi" w:hAnsiTheme="minorHAnsi"/>
          <w:iCs w:val="0"/>
          <w:sz w:val="22"/>
          <w:szCs w:val="22"/>
        </w:rPr>
      </w:pPr>
    </w:p>
    <w:p w14:paraId="2476F188" w14:textId="77777777" w:rsidP="00077A96" w:rsidR="00077A96" w:rsidRDefault="00077A96" w:rsidRPr="00FD5212">
      <w:pPr>
        <w:pStyle w:val="Corpsdetexte"/>
        <w:rPr>
          <w:rFonts w:asciiTheme="minorHAnsi" w:hAnsiTheme="minorHAnsi"/>
          <w:iCs w:val="0"/>
          <w:sz w:val="22"/>
          <w:szCs w:val="22"/>
          <w:u w:val="single"/>
        </w:rPr>
      </w:pPr>
      <w:r w:rsidRPr="00FD5212">
        <w:rPr>
          <w:rFonts w:asciiTheme="minorHAnsi" w:hAnsiTheme="minorHAnsi"/>
          <w:iCs w:val="0"/>
          <w:sz w:val="22"/>
          <w:szCs w:val="22"/>
          <w:u w:val="single"/>
        </w:rPr>
        <w:t>Révision </w:t>
      </w:r>
    </w:p>
    <w:p w14:paraId="021CB6DE" w14:textId="77777777" w:rsidP="00077A96" w:rsidR="00077A96" w:rsidRDefault="00077A96">
      <w:pPr>
        <w:pStyle w:val="Corpsdetexte"/>
        <w:rPr>
          <w:rFonts w:asciiTheme="minorHAnsi" w:hAnsiTheme="minorHAnsi"/>
          <w:iCs w:val="0"/>
          <w:sz w:val="22"/>
          <w:szCs w:val="22"/>
        </w:rPr>
      </w:pPr>
      <w:r>
        <w:rPr>
          <w:rFonts w:asciiTheme="minorHAnsi" w:hAnsiTheme="minorHAnsi"/>
          <w:iCs w:val="0"/>
          <w:sz w:val="22"/>
          <w:szCs w:val="22"/>
        </w:rPr>
        <w:t xml:space="preserve">Le présent accord pourra être révisé conformément aux dispositions légales en vigueur. </w:t>
      </w:r>
    </w:p>
    <w:p w14:paraId="22A00890" w14:textId="77777777" w:rsidP="00077A96" w:rsidR="00077A96" w:rsidRDefault="00077A96">
      <w:pPr>
        <w:pStyle w:val="Corpsdetexte"/>
        <w:rPr>
          <w:rFonts w:asciiTheme="minorHAnsi" w:hAnsiTheme="minorHAnsi"/>
          <w:iCs w:val="0"/>
          <w:sz w:val="22"/>
          <w:szCs w:val="22"/>
        </w:rPr>
      </w:pPr>
    </w:p>
    <w:p w14:paraId="707552B4" w14:textId="77777777" w:rsidP="00077A96" w:rsidR="00077A96" w:rsidRDefault="00077A96">
      <w:pPr>
        <w:pStyle w:val="Corpsdetexte"/>
        <w:rPr>
          <w:rFonts w:asciiTheme="minorHAnsi" w:hAnsiTheme="minorHAnsi"/>
          <w:iCs w:val="0"/>
          <w:sz w:val="22"/>
          <w:szCs w:val="22"/>
        </w:rPr>
      </w:pPr>
      <w:r>
        <w:rPr>
          <w:rFonts w:asciiTheme="minorHAnsi" w:hAnsiTheme="minorHAnsi"/>
          <w:iCs w:val="0"/>
          <w:sz w:val="22"/>
          <w:szCs w:val="22"/>
        </w:rPr>
        <w:t>Toute modification du présent accord fera l’objet de l’établissement d’un avenant soumis aux mêmes formalités de publicité et de dépôt que celles du présent accord.</w:t>
      </w:r>
    </w:p>
    <w:p w14:paraId="5FF2C4CA" w14:textId="77777777" w:rsidP="00077A96" w:rsidR="00077A96" w:rsidRDefault="00077A96">
      <w:pPr>
        <w:pStyle w:val="Corpsdetexte"/>
        <w:rPr>
          <w:rFonts w:asciiTheme="minorHAnsi" w:hAnsiTheme="minorHAnsi"/>
          <w:iCs w:val="0"/>
          <w:sz w:val="22"/>
          <w:szCs w:val="22"/>
        </w:rPr>
      </w:pPr>
    </w:p>
    <w:p w14:paraId="7F746DE5" w14:textId="77777777" w:rsidP="00077A96" w:rsidR="00077A96" w:rsidRDefault="00077A96" w:rsidRPr="00BC606A">
      <w:pPr>
        <w:pStyle w:val="Corpsdetexte"/>
        <w:rPr>
          <w:rFonts w:asciiTheme="minorHAnsi" w:hAnsiTheme="minorHAnsi"/>
          <w:iCs w:val="0"/>
          <w:sz w:val="22"/>
          <w:szCs w:val="22"/>
        </w:rPr>
      </w:pPr>
      <w:r>
        <w:rPr>
          <w:rFonts w:asciiTheme="minorHAnsi" w:hAnsiTheme="minorHAnsi"/>
          <w:iCs w:val="0"/>
          <w:sz w:val="22"/>
          <w:szCs w:val="22"/>
        </w:rPr>
        <w:t xml:space="preserve">L’avenant de révision de toute ou partie du présent accord se substituera de plein droit aux stipulations de l’accord qu’il modifie. </w:t>
      </w:r>
    </w:p>
    <w:p w14:paraId="30A8D557" w14:textId="77777777" w:rsidP="00077A96" w:rsidR="00077A96" w:rsidRDefault="00077A96" w:rsidRPr="00BC606A">
      <w:pPr>
        <w:pStyle w:val="Corpsdetexte"/>
        <w:rPr>
          <w:rFonts w:asciiTheme="minorHAnsi" w:hAnsiTheme="minorHAnsi"/>
          <w:iCs w:val="0"/>
          <w:sz w:val="22"/>
          <w:szCs w:val="22"/>
        </w:rPr>
      </w:pPr>
    </w:p>
    <w:p w14:paraId="580D3ADA" w14:textId="77777777" w:rsidP="00077A96" w:rsidR="00077A96" w:rsidRDefault="00077A96">
      <w:pPr>
        <w:rPr>
          <w:rFonts w:asciiTheme="minorHAnsi" w:hAnsiTheme="minorHAnsi"/>
          <w:sz w:val="22"/>
          <w:szCs w:val="22"/>
        </w:rPr>
      </w:pPr>
    </w:p>
    <w:p w14:paraId="0E97ABA5" w14:textId="77777777" w:rsidP="00077A96" w:rsidR="00077A96" w:rsidRDefault="00077A96">
      <w:pPr>
        <w:rPr>
          <w:rFonts w:asciiTheme="minorHAnsi" w:hAnsiTheme="minorHAnsi"/>
          <w:sz w:val="22"/>
          <w:szCs w:val="22"/>
        </w:rPr>
      </w:pPr>
    </w:p>
    <w:p w14:paraId="6BA08260" w14:textId="77777777" w:rsidP="00077A96" w:rsidR="00077A96" w:rsidRDefault="00077A96" w:rsidRPr="00BC606A">
      <w:pPr>
        <w:rPr>
          <w:rFonts w:asciiTheme="minorHAnsi" w:hAnsiTheme="minorHAnsi"/>
          <w:sz w:val="22"/>
          <w:szCs w:val="22"/>
        </w:rPr>
      </w:pPr>
      <w:r>
        <w:rPr>
          <w:rFonts w:asciiTheme="minorHAnsi" w:hAnsiTheme="minorHAnsi"/>
          <w:sz w:val="22"/>
          <w:szCs w:val="22"/>
        </w:rPr>
        <w:t>Fait à Boulogne-Billancourt</w:t>
      </w:r>
      <w:r w:rsidRPr="000627C1">
        <w:rPr>
          <w:rFonts w:asciiTheme="minorHAnsi" w:hAnsiTheme="minorHAnsi"/>
          <w:sz w:val="22"/>
          <w:szCs w:val="22"/>
        </w:rPr>
        <w:t xml:space="preserve">, le </w:t>
      </w:r>
      <w:r>
        <w:rPr>
          <w:rFonts w:asciiTheme="minorHAnsi" w:hAnsiTheme="minorHAnsi"/>
          <w:sz w:val="22"/>
          <w:szCs w:val="22"/>
        </w:rPr>
        <w:t>18/11/2022</w:t>
      </w:r>
      <w:r w:rsidRPr="000627C1">
        <w:rPr>
          <w:rFonts w:asciiTheme="minorHAnsi" w:hAnsiTheme="minorHAnsi"/>
          <w:sz w:val="22"/>
          <w:szCs w:val="22"/>
        </w:rPr>
        <w:t xml:space="preserve"> </w:t>
      </w:r>
    </w:p>
    <w:p w14:paraId="07B687E0" w14:textId="77777777" w:rsidP="00077A96" w:rsidR="00077A96" w:rsidRDefault="00077A96" w:rsidRPr="00BC606A">
      <w:pPr>
        <w:rPr>
          <w:rFonts w:asciiTheme="minorHAnsi" w:hAnsiTheme="minorHAnsi"/>
          <w:sz w:val="22"/>
          <w:szCs w:val="22"/>
        </w:rPr>
      </w:pPr>
    </w:p>
    <w:p w14:paraId="00875E8A" w14:textId="77777777" w:rsidP="00077A96" w:rsidR="00077A96" w:rsidRDefault="00077A96" w:rsidRPr="00BC606A">
      <w:pPr>
        <w:rPr>
          <w:rFonts w:asciiTheme="minorHAnsi" w:hAnsiTheme="minorHAnsi"/>
          <w:sz w:val="22"/>
          <w:szCs w:val="22"/>
        </w:rPr>
      </w:pPr>
    </w:p>
    <w:p w14:paraId="64429684" w14:textId="77777777" w:rsidP="00077A96" w:rsidR="00077A96" w:rsidRDefault="00077A96" w:rsidRPr="00BC606A">
      <w:pPr>
        <w:rPr>
          <w:rFonts w:asciiTheme="minorHAnsi" w:hAnsiTheme="minorHAnsi"/>
          <w:sz w:val="22"/>
          <w:szCs w:val="22"/>
        </w:rPr>
      </w:pPr>
      <w:r w:rsidRPr="00BC606A">
        <w:rPr>
          <w:rFonts w:asciiTheme="minorHAnsi" w:hAnsiTheme="minorHAnsi"/>
          <w:sz w:val="22"/>
          <w:szCs w:val="22"/>
        </w:rPr>
        <w:t xml:space="preserve">Pour BOURSORAMA, </w:t>
      </w:r>
      <w:r>
        <w:rPr>
          <w:rFonts w:asciiTheme="minorHAnsi" w:hAnsiTheme="minorHAnsi"/>
          <w:sz w:val="22"/>
          <w:szCs w:val="22"/>
        </w:rPr>
        <w:t>XXX</w:t>
      </w:r>
      <w:r w:rsidRPr="00BC606A">
        <w:rPr>
          <w:rFonts w:asciiTheme="minorHAnsi" w:hAnsiTheme="minorHAnsi"/>
          <w:sz w:val="22"/>
          <w:szCs w:val="22"/>
        </w:rPr>
        <w:t>,</w:t>
      </w:r>
    </w:p>
    <w:p w14:paraId="6995439B" w14:textId="77777777" w:rsidP="00077A96" w:rsidR="00077A96" w:rsidRDefault="00077A96" w:rsidRPr="00BC606A">
      <w:pPr>
        <w:rPr>
          <w:rFonts w:asciiTheme="minorHAnsi" w:hAnsiTheme="minorHAnsi"/>
          <w:sz w:val="22"/>
          <w:szCs w:val="22"/>
        </w:rPr>
      </w:pPr>
    </w:p>
    <w:p w14:paraId="1E4F8E11" w14:textId="77777777" w:rsidP="00077A96" w:rsidR="00077A96" w:rsidRDefault="00077A96" w:rsidRPr="00BC606A">
      <w:pPr>
        <w:rPr>
          <w:rFonts w:asciiTheme="minorHAnsi" w:hAnsiTheme="minorHAnsi"/>
          <w:sz w:val="22"/>
          <w:szCs w:val="22"/>
        </w:rPr>
      </w:pPr>
    </w:p>
    <w:p w14:paraId="6D09E635" w14:textId="77777777" w:rsidP="00077A96" w:rsidR="00077A96" w:rsidRDefault="00077A96" w:rsidRPr="00BC606A">
      <w:pPr>
        <w:rPr>
          <w:rFonts w:asciiTheme="minorHAnsi" w:hAnsiTheme="minorHAnsi"/>
          <w:sz w:val="22"/>
          <w:szCs w:val="22"/>
        </w:rPr>
      </w:pPr>
      <w:r w:rsidRPr="00BC606A">
        <w:rPr>
          <w:rFonts w:asciiTheme="minorHAnsi" w:hAnsiTheme="minorHAnsi"/>
          <w:sz w:val="22"/>
          <w:szCs w:val="22"/>
        </w:rPr>
        <w:t xml:space="preserve">Pour le syndicat CFDT, </w:t>
      </w:r>
      <w:r>
        <w:rPr>
          <w:rFonts w:asciiTheme="minorHAnsi" w:hAnsiTheme="minorHAnsi"/>
          <w:sz w:val="22"/>
          <w:szCs w:val="22"/>
        </w:rPr>
        <w:t>XXX et XXX,</w:t>
      </w:r>
      <w:r w:rsidRPr="00BC606A">
        <w:rPr>
          <w:rFonts w:asciiTheme="minorHAnsi" w:hAnsiTheme="minorHAnsi"/>
          <w:sz w:val="22"/>
          <w:szCs w:val="22"/>
        </w:rPr>
        <w:t xml:space="preserve"> délégués syndicaux</w:t>
      </w:r>
    </w:p>
    <w:p w14:paraId="2FD17CC3" w14:textId="77777777" w:rsidP="00077A96" w:rsidR="00077A96" w:rsidRDefault="00077A96">
      <w:pPr>
        <w:jc w:val="both"/>
        <w:rPr>
          <w:rFonts w:asciiTheme="minorHAnsi" w:hAnsiTheme="minorHAnsi"/>
          <w:sz w:val="20"/>
          <w:szCs w:val="22"/>
        </w:rPr>
      </w:pPr>
    </w:p>
    <w:p w14:paraId="475E3715" w14:textId="77777777" w:rsidR="00C81701" w:rsidRDefault="00077A96"/>
    <w:sectPr w:rsidR="00C81701" w:rsidSect="007C7C51">
      <w:footerReference r:id="rId5" w:type="default"/>
      <w:pgSz w:h="16838" w:w="11906"/>
      <w:pgMar w:bottom="720" w:footer="708" w:gutter="0" w:header="708" w:left="720" w:right="720" w:top="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sdt>
    <w:sdtPr>
      <w:id w:val="-1285648142"/>
      <w:docPartObj>
        <w:docPartGallery w:val="Page Numbers (Bottom of Page)"/>
        <w:docPartUnique/>
      </w:docPartObj>
    </w:sdtPr>
    <w:sdtEndPr/>
    <w:sdtContent>
      <w:p w14:paraId="12AC01E9" w14:textId="77777777" w:rsidR="007C7C51" w:rsidRDefault="00077A96">
        <w:pPr>
          <w:pStyle w:val="Pieddepage"/>
          <w:jc w:val="right"/>
        </w:pPr>
        <w:r>
          <w:fldChar w:fldCharType="begin"/>
        </w:r>
        <w:r>
          <w:instrText>PAGE   \* MERGEFORMAT</w:instrText>
        </w:r>
        <w:r>
          <w:fldChar w:fldCharType="separate"/>
        </w:r>
        <w:r>
          <w:rPr>
            <w:noProof/>
          </w:rPr>
          <w:t>6</w:t>
        </w:r>
        <w:r>
          <w:fldChar w:fldCharType="end"/>
        </w:r>
      </w:p>
    </w:sdtContent>
  </w:sdt>
  <w:p w14:paraId="6BD1FC8B" w14:textId="77777777" w:rsidR="007C7C51" w:rsidRDefault="00077A96">
    <w:pPr>
      <w:pStyle w:val="Pieddepage"/>
    </w:pPr>
  </w:p>
</w:ft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C332652"/>
    <w:multiLevelType w:val="singleLevel"/>
    <w:tmpl w:val="C00285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
    <w:nsid w:val="3BA60E1F"/>
    <w:multiLevelType w:val="hybridMultilevel"/>
    <w:tmpl w:val="64627476"/>
    <w:lvl w:ilvl="0" w:tplc="3D54113A">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6EDF23A2"/>
    <w:multiLevelType w:val="hybridMultilevel"/>
    <w:tmpl w:val="200E2EEC"/>
    <w:lvl w:ilvl="0" w:tplc="F6EA12D2">
      <w:numFmt w:val="bullet"/>
      <w:lvlText w:val="-"/>
      <w:lvlJc w:val="left"/>
      <w:pPr>
        <w:ind w:hanging="360" w:left="360"/>
      </w:pPr>
      <w:rPr>
        <w:rFonts w:ascii="Calibri" w:cs="Calibri" w:eastAsiaTheme="minorHAnsi" w:hAnsi="Calibri" w:hint="default"/>
      </w:rPr>
    </w:lvl>
    <w:lvl w:ilvl="1" w:tplc="040C0003">
      <w:start w:val="1"/>
      <w:numFmt w:val="bullet"/>
      <w:lvlText w:val="o"/>
      <w:lvlJc w:val="left"/>
      <w:pPr>
        <w:ind w:hanging="360" w:left="1080"/>
      </w:pPr>
      <w:rPr>
        <w:rFonts w:ascii="Courier New" w:cs="Courier New" w:hAnsi="Courier New" w:hint="default"/>
      </w:rPr>
    </w:lvl>
    <w:lvl w:ilvl="2" w:tplc="040C0003">
      <w:start w:val="1"/>
      <w:numFmt w:val="bullet"/>
      <w:lvlText w:val="o"/>
      <w:lvlJc w:val="left"/>
      <w:pPr>
        <w:ind w:hanging="360" w:left="1800"/>
      </w:pPr>
      <w:rPr>
        <w:rFonts w:ascii="Courier New" w:cs="Courier New" w:hAnsi="Courier New"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2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6"/>
    <w:rsid w:val="00077A96"/>
    <w:rsid w:val="009034AA"/>
    <w:rsid w:val="00C43DD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7184B1F1"/>
  <w15:chartTrackingRefBased/>
  <w15:docId w15:val="{9EB63C4A-BDB5-43E3-B1B2-2C16123A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77A96"/>
    <w:pPr>
      <w:spacing w:after="0" w:line="240" w:lineRule="auto"/>
    </w:pPr>
    <w:rPr>
      <w:rFonts w:ascii="Times New Roman" w:cs="Times New Roman" w:eastAsia="Times New Roman" w:hAnsi="Times New Roman"/>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077A96"/>
    <w:pPr>
      <w:tabs>
        <w:tab w:pos="4536" w:val="center"/>
        <w:tab w:pos="9072" w:val="right"/>
      </w:tabs>
    </w:pPr>
  </w:style>
  <w:style w:customStyle="1" w:styleId="En-tteCar" w:type="character">
    <w:name w:val="En-tête Car"/>
    <w:basedOn w:val="Policepardfaut"/>
    <w:link w:val="En-tte"/>
    <w:rsid w:val="00077A96"/>
    <w:rPr>
      <w:rFonts w:ascii="Times New Roman" w:cs="Times New Roman" w:eastAsia="Times New Roman" w:hAnsi="Times New Roman"/>
      <w:sz w:val="24"/>
      <w:szCs w:val="24"/>
      <w:lang w:eastAsia="fr-FR"/>
    </w:rPr>
  </w:style>
  <w:style w:customStyle="1" w:styleId="paragstand" w:type="paragraph">
    <w:name w:val="paragstand"/>
    <w:basedOn w:val="Normal"/>
    <w:rsid w:val="00077A96"/>
    <w:pPr>
      <w:keepLines/>
      <w:spacing w:before="240"/>
      <w:ind w:left="851"/>
      <w:jc w:val="both"/>
    </w:pPr>
    <w:rPr>
      <w:szCs w:val="20"/>
    </w:rPr>
  </w:style>
  <w:style w:customStyle="1" w:styleId="TDtitredocument" w:type="paragraph">
    <w:name w:val="TD.titre document"/>
    <w:rsid w:val="00077A96"/>
    <w:pPr>
      <w:keepNext/>
      <w:tabs>
        <w:tab w:pos="3024" w:val="left"/>
      </w:tabs>
      <w:spacing w:after="1440" w:before="1440" w:line="-480" w:lineRule="auto"/>
      <w:jc w:val="center"/>
    </w:pPr>
    <w:rPr>
      <w:rFonts w:ascii="Arial" w:cs="Times New Roman" w:eastAsia="Times New Roman" w:hAnsi="Arial"/>
      <w:b/>
      <w:caps/>
      <w:sz w:val="28"/>
      <w:szCs w:val="20"/>
      <w:lang w:eastAsia="fr-FR"/>
    </w:rPr>
  </w:style>
  <w:style w:customStyle="1" w:styleId="lititreprincipal" w:type="paragraph">
    <w:name w:val="li.titre principal"/>
    <w:rsid w:val="00077A96"/>
    <w:pPr>
      <w:keepNext/>
      <w:pBdr>
        <w:bottom w:color="000000" w:space="5" w:sz="6" w:val="single"/>
      </w:pBdr>
      <w:suppressAutoHyphens/>
      <w:spacing w:after="480" w:before="1100" w:line="240" w:lineRule="auto"/>
    </w:pPr>
    <w:rPr>
      <w:rFonts w:ascii="Helvetica" w:cs="Times New Roman" w:eastAsia="Times New Roman" w:hAnsi="Helvetica"/>
      <w:b/>
      <w:noProof/>
      <w:sz w:val="28"/>
      <w:szCs w:val="20"/>
      <w:lang w:eastAsia="fr-FR"/>
    </w:rPr>
  </w:style>
  <w:style w:customStyle="1" w:styleId="PAParagrapheavocat" w:type="paragraph">
    <w:name w:val="PA.Paragraphe avocat"/>
    <w:basedOn w:val="Normal"/>
    <w:rsid w:val="00077A96"/>
    <w:pPr>
      <w:keepLines/>
      <w:tabs>
        <w:tab w:pos="9866" w:val="right"/>
      </w:tabs>
      <w:spacing w:before="240" w:line="-200" w:lineRule="auto"/>
      <w:ind w:left="851"/>
      <w:jc w:val="right"/>
    </w:pPr>
    <w:rPr>
      <w:sz w:val="22"/>
      <w:szCs w:val="20"/>
    </w:rPr>
  </w:style>
  <w:style w:styleId="Paragraphedeliste" w:type="paragraph">
    <w:name w:val="List Paragraph"/>
    <w:basedOn w:val="Normal"/>
    <w:uiPriority w:val="34"/>
    <w:qFormat/>
    <w:rsid w:val="00077A96"/>
    <w:pPr>
      <w:ind w:left="720"/>
      <w:contextualSpacing/>
    </w:pPr>
  </w:style>
  <w:style w:styleId="Corpsdetexte" w:type="paragraph">
    <w:name w:val="Body Text"/>
    <w:basedOn w:val="Normal"/>
    <w:link w:val="CorpsdetexteCar"/>
    <w:rsid w:val="00077A96"/>
    <w:pPr>
      <w:jc w:val="both"/>
    </w:pPr>
    <w:rPr>
      <w:iCs/>
    </w:rPr>
  </w:style>
  <w:style w:customStyle="1" w:styleId="CorpsdetexteCar" w:type="character">
    <w:name w:val="Corps de texte Car"/>
    <w:basedOn w:val="Policepardfaut"/>
    <w:link w:val="Corpsdetexte"/>
    <w:rsid w:val="00077A96"/>
    <w:rPr>
      <w:rFonts w:ascii="Times New Roman" w:cs="Times New Roman" w:eastAsia="Times New Roman" w:hAnsi="Times New Roman"/>
      <w:iCs/>
      <w:sz w:val="24"/>
      <w:szCs w:val="24"/>
      <w:lang w:eastAsia="fr-FR"/>
    </w:rPr>
  </w:style>
  <w:style w:styleId="Grilledutableau" w:type="table">
    <w:name w:val="Table Grid"/>
    <w:basedOn w:val="TableauNormal"/>
    <w:uiPriority w:val="39"/>
    <w:rsid w:val="00077A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ieddepage" w:type="paragraph">
    <w:name w:val="footer"/>
    <w:basedOn w:val="Normal"/>
    <w:link w:val="PieddepageCar"/>
    <w:uiPriority w:val="99"/>
    <w:unhideWhenUsed/>
    <w:rsid w:val="00077A96"/>
    <w:pPr>
      <w:tabs>
        <w:tab w:pos="4536" w:val="center"/>
        <w:tab w:pos="9072" w:val="right"/>
      </w:tabs>
    </w:pPr>
  </w:style>
  <w:style w:customStyle="1" w:styleId="PieddepageCar" w:type="character">
    <w:name w:val="Pied de page Car"/>
    <w:basedOn w:val="Policepardfaut"/>
    <w:link w:val="Pieddepage"/>
    <w:uiPriority w:val="99"/>
    <w:rsid w:val="00077A96"/>
    <w:rPr>
      <w:rFonts w:ascii="Times New Roman" w:cs="Times New Roman" w:eastAsia="Times New Roman" w:hAnsi="Times New Roman"/>
      <w:sz w:val="24"/>
      <w:szCs w:val="24"/>
      <w:lang w:eastAsia="fr-FR"/>
    </w:rPr>
  </w:style>
  <w:style w:styleId="NormalWeb" w:type="paragraph">
    <w:name w:val="Normal (Web)"/>
    <w:basedOn w:val="Normal"/>
    <w:uiPriority w:val="99"/>
    <w:unhideWhenUsed/>
    <w:rsid w:val="00077A96"/>
    <w:pPr>
      <w:spacing w:after="100" w:afterAutospacing="1"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er1.xml" Type="http://schemas.openxmlformats.org/officeDocument/2006/relationships/footer"/><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1561</Words>
  <Characters>8589</Characters>
  <Application>Microsoft Office Word</Application>
  <DocSecurity>0</DocSecurity>
  <Lines>71</Lines>
  <Paragraphs>20</Paragraphs>
  <ScaleCrop>false</ScaleCrop>
  <Company>BOURSORAMA</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2022-11-21T10:01:00Z</dcterms:created>
  <dcterms:modified xsi:type="dcterms:W3CDTF">2022-11-21T10:02:00Z</dcterms:modified>
  <cp:revision>1</cp:revision>
</cp:coreProperties>
</file>