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4A14237" w14:textId="1DCAFBAE" w:rsidP="00CF0847" w:rsidR="000C2FE9" w:rsidRDefault="00CF0847" w:rsidRPr="00CF0847">
      <w:pPr>
        <w:jc w:val="center"/>
        <w:rPr>
          <w:b/>
          <w:sz w:val="28"/>
          <w:szCs w:val="28"/>
        </w:rPr>
      </w:pPr>
      <w:r w:rsidRPr="00CF0847">
        <w:rPr>
          <w:b/>
          <w:sz w:val="28"/>
          <w:szCs w:val="28"/>
        </w:rPr>
        <w:t>NEGOCIATIONS ANNUELLES OBLIGATOIRES 20</w:t>
      </w:r>
      <w:r w:rsidR="00C6118A">
        <w:rPr>
          <w:b/>
          <w:sz w:val="28"/>
          <w:szCs w:val="28"/>
        </w:rPr>
        <w:t>2</w:t>
      </w:r>
      <w:r w:rsidR="00CA20D3">
        <w:rPr>
          <w:b/>
          <w:sz w:val="28"/>
          <w:szCs w:val="28"/>
        </w:rPr>
        <w:t>3</w:t>
      </w:r>
    </w:p>
    <w:p w14:paraId="2975FEF0" w14:textId="77777777" w:rsidP="00CF0847" w:rsidR="00CF0847" w:rsidRDefault="00A50C1A">
      <w:pPr>
        <w:jc w:val="center"/>
        <w:rPr>
          <w:b/>
          <w:sz w:val="28"/>
          <w:szCs w:val="28"/>
        </w:rPr>
      </w:pPr>
      <w:r>
        <w:rPr>
          <w:b/>
          <w:sz w:val="28"/>
          <w:szCs w:val="28"/>
        </w:rPr>
        <w:t>ACCORD D’ENTREPRISE</w:t>
      </w:r>
    </w:p>
    <w:p w14:paraId="2EC2178D" w14:textId="1C107C74" w:rsidP="00CF0847" w:rsidR="00CF0847" w:rsidRDefault="00CF0847">
      <w:pPr>
        <w:rPr>
          <w:sz w:val="24"/>
          <w:szCs w:val="24"/>
        </w:rPr>
      </w:pPr>
    </w:p>
    <w:p w14:paraId="3F8326C9" w14:textId="77777777" w:rsidP="00CF0847" w:rsidR="001E60D3" w:rsidRDefault="001E60D3">
      <w:pPr>
        <w:rPr>
          <w:sz w:val="24"/>
          <w:szCs w:val="24"/>
        </w:rPr>
      </w:pPr>
    </w:p>
    <w:p w14:paraId="670E584F" w14:textId="77777777" w:rsidP="000F40AE" w:rsidR="00CF0847" w:rsidRDefault="00CF0847" w:rsidRPr="000F40AE">
      <w:pPr>
        <w:jc w:val="both"/>
        <w:rPr>
          <w:b/>
        </w:rPr>
      </w:pPr>
      <w:r w:rsidRPr="000F40AE">
        <w:rPr>
          <w:b/>
        </w:rPr>
        <w:t>ENTRE</w:t>
      </w:r>
    </w:p>
    <w:p w14:paraId="2C5EB19B" w14:textId="7BEE2BCB" w:rsidP="000F40AE" w:rsidR="00866C50" w:rsidRDefault="00866C50" w:rsidRPr="000F40AE">
      <w:pPr>
        <w:jc w:val="both"/>
        <w:rPr>
          <w:rFonts w:cs="Arial"/>
        </w:rPr>
      </w:pPr>
      <w:r w:rsidRPr="000F40AE">
        <w:rPr>
          <w:rFonts w:cs="Arial"/>
          <w:b/>
          <w:bCs/>
        </w:rPr>
        <w:t>Les sociétés de l'UES Viveris regroupant Viveris Systèmes, Viveris ASR, Viveris Intégration et Viveris Technologies</w:t>
      </w:r>
      <w:r w:rsidRPr="000F40AE">
        <w:rPr>
          <w:rFonts w:cs="Arial"/>
        </w:rPr>
        <w:t xml:space="preserve">, </w:t>
      </w:r>
      <w:r w:rsidRPr="000F40AE">
        <w:t xml:space="preserve">visées à l’article 1, chacune dotées d’un représentant légal, ayant dûment mandaté Monsieur </w:t>
      </w:r>
      <w:r w:rsidR="00DC101F">
        <w:t>XXXX</w:t>
      </w:r>
      <w:r w:rsidRPr="000F40AE">
        <w:t xml:space="preserve">, </w:t>
      </w:r>
      <w:r w:rsidR="00841015">
        <w:t xml:space="preserve">Président </w:t>
      </w:r>
      <w:r w:rsidRPr="000F40AE">
        <w:t>Directeur Général de la société Viveris, pour les représenter en vue de la conclusion du présent accord,</w:t>
      </w:r>
    </w:p>
    <w:p w14:paraId="47D05828" w14:textId="77777777" w:rsidP="000F40AE" w:rsidR="00CF0847" w:rsidRDefault="000F40AE" w:rsidRPr="000F40AE">
      <w:pPr>
        <w:jc w:val="both"/>
        <w:rPr>
          <w:b/>
          <w:i/>
        </w:rPr>
      </w:pPr>
      <w:r w:rsidRPr="000F40AE">
        <w:rPr>
          <w:b/>
          <w:i/>
        </w:rPr>
        <w:tab/>
      </w:r>
      <w:r w:rsidRPr="000F40AE">
        <w:rPr>
          <w:b/>
          <w:i/>
        </w:rPr>
        <w:tab/>
      </w:r>
      <w:r w:rsidRPr="000F40AE">
        <w:rPr>
          <w:b/>
          <w:i/>
        </w:rPr>
        <w:tab/>
      </w:r>
      <w:r w:rsidRPr="000F40AE">
        <w:rPr>
          <w:b/>
          <w:i/>
        </w:rPr>
        <w:tab/>
      </w:r>
      <w:r w:rsidRPr="000F40AE">
        <w:rPr>
          <w:b/>
          <w:i/>
        </w:rPr>
        <w:tab/>
      </w:r>
      <w:r w:rsidRPr="000F40AE">
        <w:rPr>
          <w:b/>
          <w:i/>
        </w:rPr>
        <w:tab/>
      </w:r>
      <w:r w:rsidRPr="000F40AE">
        <w:rPr>
          <w:b/>
          <w:i/>
        </w:rPr>
        <w:tab/>
      </w:r>
      <w:r w:rsidRPr="000F40AE">
        <w:rPr>
          <w:b/>
          <w:i/>
        </w:rPr>
        <w:tab/>
      </w:r>
      <w:r w:rsidRPr="000F40AE">
        <w:rPr>
          <w:b/>
          <w:i/>
        </w:rPr>
        <w:tab/>
      </w:r>
      <w:r>
        <w:rPr>
          <w:b/>
          <w:i/>
        </w:rPr>
        <w:tab/>
      </w:r>
      <w:r>
        <w:rPr>
          <w:b/>
          <w:i/>
        </w:rPr>
        <w:tab/>
      </w:r>
      <w:r w:rsidR="00CF0847" w:rsidRPr="000F40AE">
        <w:rPr>
          <w:b/>
          <w:i/>
        </w:rPr>
        <w:t>D’une part</w:t>
      </w:r>
    </w:p>
    <w:p w14:paraId="1ED2CFFF" w14:textId="77777777" w:rsidP="000F40AE" w:rsidR="00CF0847" w:rsidRDefault="00CF0847" w:rsidRPr="000F40AE">
      <w:pPr>
        <w:jc w:val="both"/>
        <w:rPr>
          <w:b/>
        </w:rPr>
      </w:pPr>
      <w:r w:rsidRPr="000F40AE">
        <w:rPr>
          <w:b/>
        </w:rPr>
        <w:t>ET</w:t>
      </w:r>
    </w:p>
    <w:p w14:paraId="18823ED5" w14:textId="59AFA92E" w:rsidP="000F40AE" w:rsidR="00CF0847" w:rsidRDefault="00CF0847" w:rsidRPr="000F40AE">
      <w:pPr>
        <w:jc w:val="both"/>
      </w:pPr>
      <w:r w:rsidRPr="000F40AE">
        <w:t>L</w:t>
      </w:r>
      <w:r w:rsidR="00C6118A">
        <w:t>’</w:t>
      </w:r>
      <w:r w:rsidRPr="000F40AE">
        <w:t>organisation syndicale représentative</w:t>
      </w:r>
      <w:r w:rsidR="00C6118A">
        <w:t xml:space="preserve"> </w:t>
      </w:r>
      <w:r w:rsidRPr="000F40AE">
        <w:t>au sein de l’UES VIVERIS :</w:t>
      </w:r>
    </w:p>
    <w:p w14:paraId="57B13902" w14:textId="3BB05727" w:rsidP="000F40AE" w:rsidR="00CF0847" w:rsidRDefault="00CC19D0" w:rsidRPr="000F40AE">
      <w:pPr>
        <w:jc w:val="both"/>
      </w:pPr>
      <w:r w:rsidRPr="00FE66DD">
        <w:rPr>
          <w:b/>
        </w:rPr>
        <w:t>SPECIS-UNSA</w:t>
      </w:r>
      <w:r w:rsidR="00CF0847" w:rsidRPr="000F40AE">
        <w:t>, représentée par M</w:t>
      </w:r>
      <w:r w:rsidR="002356D9">
        <w:t xml:space="preserve">onsieur </w:t>
      </w:r>
      <w:r w:rsidR="00DC101F">
        <w:t>XXXX</w:t>
      </w:r>
    </w:p>
    <w:p w14:paraId="44E4F471" w14:textId="77777777" w:rsidP="000F40AE" w:rsidR="00CF0847" w:rsidRDefault="000F40AE" w:rsidRPr="000F40AE">
      <w:pPr>
        <w:jc w:val="both"/>
        <w:rPr>
          <w:b/>
          <w:i/>
        </w:rPr>
      </w:pPr>
      <w:r w:rsidRPr="000F40AE">
        <w:rPr>
          <w:b/>
          <w:i/>
        </w:rPr>
        <w:tab/>
      </w:r>
      <w:r w:rsidRPr="000F40AE">
        <w:rPr>
          <w:b/>
          <w:i/>
        </w:rPr>
        <w:tab/>
      </w:r>
      <w:r w:rsidRPr="000F40AE">
        <w:rPr>
          <w:b/>
          <w:i/>
        </w:rPr>
        <w:tab/>
      </w:r>
      <w:r w:rsidRPr="000F40AE">
        <w:rPr>
          <w:b/>
          <w:i/>
        </w:rPr>
        <w:tab/>
      </w:r>
      <w:r w:rsidRPr="000F40AE">
        <w:rPr>
          <w:b/>
          <w:i/>
        </w:rPr>
        <w:tab/>
      </w:r>
      <w:r w:rsidRPr="000F40AE">
        <w:rPr>
          <w:b/>
          <w:i/>
        </w:rPr>
        <w:tab/>
      </w:r>
      <w:r w:rsidRPr="000F40AE">
        <w:rPr>
          <w:b/>
          <w:i/>
        </w:rPr>
        <w:tab/>
      </w:r>
      <w:r w:rsidRPr="000F40AE">
        <w:rPr>
          <w:b/>
          <w:i/>
        </w:rPr>
        <w:tab/>
      </w:r>
      <w:r w:rsidRPr="000F40AE">
        <w:rPr>
          <w:b/>
          <w:i/>
        </w:rPr>
        <w:tab/>
      </w:r>
      <w:r>
        <w:rPr>
          <w:b/>
          <w:i/>
        </w:rPr>
        <w:tab/>
      </w:r>
      <w:r>
        <w:rPr>
          <w:b/>
          <w:i/>
        </w:rPr>
        <w:tab/>
      </w:r>
      <w:r w:rsidR="00CF0847" w:rsidRPr="000F40AE">
        <w:rPr>
          <w:b/>
          <w:i/>
        </w:rPr>
        <w:t>D’autre part</w:t>
      </w:r>
    </w:p>
    <w:p w14:paraId="1E82706A" w14:textId="77777777" w:rsidP="000F40AE" w:rsidR="000F40AE" w:rsidRDefault="00CF0847" w:rsidRPr="00DC0FC6">
      <w:pPr>
        <w:jc w:val="both"/>
      </w:pPr>
      <w:r w:rsidRPr="000F40AE">
        <w:t>Ci désignées après LES PARTIES</w:t>
      </w:r>
    </w:p>
    <w:p w14:paraId="360C6B22" w14:textId="77777777" w:rsidP="000F40AE" w:rsidR="005E525A" w:rsidRDefault="005E525A">
      <w:pPr>
        <w:jc w:val="both"/>
        <w:rPr>
          <w:b/>
          <w:sz w:val="28"/>
          <w:szCs w:val="28"/>
        </w:rPr>
      </w:pPr>
    </w:p>
    <w:p w14:paraId="0D1F526D" w14:textId="26982692" w:rsidP="000F40AE" w:rsidR="00CF0847" w:rsidRDefault="00CF0847" w:rsidRPr="00DF1BF2">
      <w:pPr>
        <w:jc w:val="both"/>
        <w:rPr>
          <w:b/>
          <w:sz w:val="28"/>
          <w:szCs w:val="28"/>
        </w:rPr>
      </w:pPr>
      <w:r w:rsidRPr="00DF1BF2">
        <w:rPr>
          <w:b/>
          <w:sz w:val="28"/>
          <w:szCs w:val="28"/>
        </w:rPr>
        <w:t>Préambule</w:t>
      </w:r>
    </w:p>
    <w:p w14:paraId="05A9D0C1" w14:textId="07702DCB" w:rsidP="000F40AE" w:rsidR="00CF0847" w:rsidRDefault="00CF0847">
      <w:pPr>
        <w:jc w:val="both"/>
      </w:pPr>
      <w:r w:rsidRPr="000F40AE">
        <w:t>La négociation collective, prévue par l’article L. 2242-1 du Code du Travail s’est déroulée pour l’année 20</w:t>
      </w:r>
      <w:r w:rsidR="00EE5CB4">
        <w:t>2</w:t>
      </w:r>
      <w:r w:rsidR="00CA20D3">
        <w:t>3</w:t>
      </w:r>
      <w:r w:rsidR="003D543A" w:rsidRPr="000F40AE">
        <w:t xml:space="preserve"> suivant le calendrier suivant :</w:t>
      </w:r>
    </w:p>
    <w:p w14:paraId="4E16722E" w14:textId="5FABC491" w:rsidP="00CA20D3" w:rsidR="00CA20D3" w:rsidRDefault="00CA20D3">
      <w:pPr>
        <w:pStyle w:val="Paragraphedeliste"/>
        <w:numPr>
          <w:ilvl w:val="0"/>
          <w:numId w:val="14"/>
        </w:numPr>
        <w:rPr>
          <w:rFonts w:eastAsia="Times New Roman"/>
        </w:rPr>
      </w:pPr>
      <w:r>
        <w:rPr>
          <w:rFonts w:eastAsia="Times New Roman"/>
        </w:rPr>
        <w:t>Mardi 4 octobre 2022,</w:t>
      </w:r>
    </w:p>
    <w:p w14:paraId="4E272CAC" w14:textId="3EE22AC1" w:rsidP="00CA20D3" w:rsidR="00CA20D3" w:rsidRDefault="00CA20D3">
      <w:pPr>
        <w:pStyle w:val="Paragraphedeliste"/>
        <w:numPr>
          <w:ilvl w:val="0"/>
          <w:numId w:val="14"/>
        </w:numPr>
        <w:rPr>
          <w:rFonts w:eastAsia="Times New Roman"/>
        </w:rPr>
      </w:pPr>
      <w:r>
        <w:rPr>
          <w:rFonts w:eastAsia="Times New Roman"/>
        </w:rPr>
        <w:t>Vendredi 21 octobre 2022,</w:t>
      </w:r>
    </w:p>
    <w:p w14:paraId="4FE993C8" w14:textId="23E59ACC" w:rsidP="00CA20D3" w:rsidR="00CA20D3" w:rsidRDefault="00CA20D3">
      <w:pPr>
        <w:pStyle w:val="Paragraphedeliste"/>
        <w:numPr>
          <w:ilvl w:val="0"/>
          <w:numId w:val="14"/>
        </w:numPr>
        <w:rPr>
          <w:rFonts w:eastAsia="Times New Roman"/>
        </w:rPr>
      </w:pPr>
      <w:r>
        <w:rPr>
          <w:rFonts w:eastAsia="Times New Roman"/>
        </w:rPr>
        <w:t>Mercredi 9 novembre 2022,</w:t>
      </w:r>
    </w:p>
    <w:p w14:paraId="4ED73C91" w14:textId="2F7F1946" w:rsidP="00CA20D3" w:rsidR="00CA20D3" w:rsidRDefault="00CA20D3">
      <w:pPr>
        <w:pStyle w:val="Paragraphedeliste"/>
        <w:numPr>
          <w:ilvl w:val="0"/>
          <w:numId w:val="14"/>
        </w:numPr>
        <w:rPr>
          <w:rFonts w:eastAsia="Times New Roman"/>
        </w:rPr>
      </w:pPr>
      <w:r>
        <w:rPr>
          <w:rFonts w:eastAsia="Times New Roman"/>
        </w:rPr>
        <w:t>Mercredi 23 novembre 2022,</w:t>
      </w:r>
    </w:p>
    <w:p w14:paraId="323B6982" w14:textId="3DA0E1E6" w:rsidP="00CA20D3" w:rsidR="00CA20D3" w:rsidRDefault="00CA20D3">
      <w:pPr>
        <w:pStyle w:val="Paragraphedeliste"/>
        <w:numPr>
          <w:ilvl w:val="0"/>
          <w:numId w:val="14"/>
        </w:numPr>
        <w:rPr>
          <w:rFonts w:eastAsia="Times New Roman"/>
        </w:rPr>
      </w:pPr>
      <w:r>
        <w:rPr>
          <w:rFonts w:eastAsia="Times New Roman"/>
        </w:rPr>
        <w:t>Jeudi 8 décembre 2022,</w:t>
      </w:r>
    </w:p>
    <w:p w14:paraId="2C4B6A1B" w14:textId="17F7AF30" w:rsidP="00CA20D3" w:rsidR="00CA20D3" w:rsidRDefault="00CA20D3">
      <w:pPr>
        <w:pStyle w:val="Paragraphedeliste"/>
        <w:numPr>
          <w:ilvl w:val="0"/>
          <w:numId w:val="14"/>
        </w:numPr>
        <w:rPr>
          <w:rFonts w:eastAsia="Times New Roman"/>
        </w:rPr>
      </w:pPr>
      <w:r>
        <w:rPr>
          <w:rFonts w:eastAsia="Times New Roman"/>
        </w:rPr>
        <w:t>Lundi 12 décembre 2022</w:t>
      </w:r>
    </w:p>
    <w:p w14:paraId="64326B64" w14:textId="3EED4D3B" w:rsidP="00CA20D3" w:rsidR="00CA20D3" w:rsidRDefault="00CA20D3">
      <w:pPr>
        <w:pStyle w:val="Paragraphedeliste"/>
        <w:numPr>
          <w:ilvl w:val="0"/>
          <w:numId w:val="14"/>
        </w:numPr>
        <w:rPr>
          <w:rFonts w:eastAsia="Times New Roman"/>
        </w:rPr>
      </w:pPr>
      <w:r>
        <w:rPr>
          <w:rFonts w:eastAsia="Times New Roman"/>
        </w:rPr>
        <w:t>Et le Mercredi 14 décembre 2022.</w:t>
      </w:r>
    </w:p>
    <w:p w14:paraId="71922187" w14:textId="38C801A2" w:rsidP="000F40AE" w:rsidR="00DC0FC6" w:rsidRDefault="00384B2C" w:rsidRPr="00F43EB3">
      <w:pPr>
        <w:jc w:val="both"/>
      </w:pPr>
      <w:r w:rsidRPr="000F40AE">
        <w:t>A l’issue de cette négociation, LE</w:t>
      </w:r>
      <w:r w:rsidR="0041635E" w:rsidRPr="000F40AE">
        <w:t>S</w:t>
      </w:r>
      <w:r w:rsidRPr="000F40AE">
        <w:t xml:space="preserve"> PARTIES sont parvenues au présent accord</w:t>
      </w:r>
      <w:r w:rsidR="00FE66DD">
        <w:t>.</w:t>
      </w:r>
    </w:p>
    <w:p w14:paraId="4FB9D11D" w14:textId="77777777" w:rsidP="000F40AE" w:rsidR="005E525A" w:rsidRDefault="005E525A">
      <w:pPr>
        <w:jc w:val="both"/>
        <w:rPr>
          <w:b/>
          <w:sz w:val="28"/>
          <w:szCs w:val="28"/>
        </w:rPr>
      </w:pPr>
    </w:p>
    <w:p w14:paraId="0E1D3A6C" w14:textId="6A1C035C" w:rsidP="000F40AE" w:rsidR="003D543A" w:rsidRDefault="00FE66DD" w:rsidRPr="00DF1BF2">
      <w:pPr>
        <w:jc w:val="both"/>
      </w:pPr>
      <w:r w:rsidRPr="00CC78E6">
        <w:rPr>
          <w:b/>
          <w:sz w:val="28"/>
          <w:szCs w:val="28"/>
        </w:rPr>
        <w:t>Article 1 -</w:t>
      </w:r>
      <w:r w:rsidR="003D543A" w:rsidRPr="00CC78E6">
        <w:rPr>
          <w:b/>
          <w:sz w:val="28"/>
          <w:szCs w:val="28"/>
        </w:rPr>
        <w:t xml:space="preserve"> Champ d’application de l’accord</w:t>
      </w:r>
    </w:p>
    <w:p w14:paraId="1256F6D0" w14:textId="77777777" w:rsidP="000F40AE" w:rsidR="003D543A" w:rsidRDefault="00384B2C" w:rsidRPr="000F40AE">
      <w:pPr>
        <w:jc w:val="both"/>
      </w:pPr>
      <w:r w:rsidRPr="000F40AE">
        <w:t>Le présent accord s’applique à l’ensemble des salariés de l’UES VIVERIS, comprenant les sociétés suivantes :</w:t>
      </w:r>
    </w:p>
    <w:p w14:paraId="2D47382B" w14:textId="77777777" w:rsidP="000F40AE" w:rsidR="00384B2C" w:rsidRDefault="00384B2C" w:rsidRPr="000F40AE">
      <w:pPr>
        <w:pStyle w:val="Paragraphedeliste"/>
        <w:numPr>
          <w:ilvl w:val="0"/>
          <w:numId w:val="2"/>
        </w:numPr>
        <w:jc w:val="both"/>
      </w:pPr>
      <w:r w:rsidRPr="000F40AE">
        <w:lastRenderedPageBreak/>
        <w:t>VIVERIS ASR</w:t>
      </w:r>
      <w:r w:rsidR="00866C50" w:rsidRPr="000F40AE">
        <w:t xml:space="preserve"> (32-36, rue de Bellevue – 92100 BOULOGNE-BILLANCOURT)</w:t>
      </w:r>
    </w:p>
    <w:p w14:paraId="2042A2B7" w14:textId="77777777" w:rsidP="000F40AE" w:rsidR="00384B2C" w:rsidRDefault="00384B2C" w:rsidRPr="000F40AE">
      <w:pPr>
        <w:pStyle w:val="Paragraphedeliste"/>
        <w:numPr>
          <w:ilvl w:val="0"/>
          <w:numId w:val="2"/>
        </w:numPr>
        <w:jc w:val="both"/>
      </w:pPr>
      <w:r w:rsidRPr="000F40AE">
        <w:t>VIVERIS Intégration</w:t>
      </w:r>
      <w:r w:rsidR="00866C50" w:rsidRPr="000F40AE">
        <w:t xml:space="preserve"> (32-36, rue de Bellevue – 92100 BOULOGNE-BILLANCOURT)</w:t>
      </w:r>
    </w:p>
    <w:p w14:paraId="3768F8D5" w14:textId="77777777" w:rsidP="000F40AE" w:rsidR="00384B2C" w:rsidRDefault="00384B2C" w:rsidRPr="000F40AE">
      <w:pPr>
        <w:pStyle w:val="Paragraphedeliste"/>
        <w:numPr>
          <w:ilvl w:val="0"/>
          <w:numId w:val="2"/>
        </w:numPr>
        <w:jc w:val="both"/>
      </w:pPr>
      <w:r w:rsidRPr="000F40AE">
        <w:t>VIVERIS Systèmes</w:t>
      </w:r>
      <w:r w:rsidR="00866C50" w:rsidRPr="000F40AE">
        <w:t xml:space="preserve"> (32-36, rue de Bellevue – 92100 BOULOGNE-BILLANCOURT)</w:t>
      </w:r>
    </w:p>
    <w:p w14:paraId="0866EBF2" w14:textId="769F7B54" w:rsidP="00FE67F3" w:rsidR="005E525A" w:rsidRDefault="00384B2C" w:rsidRPr="001E60D3">
      <w:pPr>
        <w:pStyle w:val="Paragraphedeliste"/>
        <w:numPr>
          <w:ilvl w:val="0"/>
          <w:numId w:val="2"/>
        </w:numPr>
        <w:jc w:val="both"/>
      </w:pPr>
      <w:r w:rsidRPr="000F40AE">
        <w:t>VIVERIS Technologies</w:t>
      </w:r>
      <w:r w:rsidR="00866C50" w:rsidRPr="000F40AE">
        <w:t xml:space="preserve"> (</w:t>
      </w:r>
      <w:r w:rsidR="00B337A6">
        <w:t>54-56, rue d’Arcueil</w:t>
      </w:r>
      <w:r w:rsidR="00866C50" w:rsidRPr="000F40AE">
        <w:t xml:space="preserve"> – 94598 RUNGIS Cedex)</w:t>
      </w:r>
    </w:p>
    <w:p w14:paraId="28757AE1" w14:textId="1576C4C1" w:rsidP="00FE67F3" w:rsidR="00255DFE" w:rsidRDefault="00384B2C" w:rsidRPr="00FE67F3">
      <w:pPr>
        <w:jc w:val="both"/>
      </w:pPr>
      <w:r w:rsidRPr="00FE67F3">
        <w:rPr>
          <w:b/>
          <w:sz w:val="28"/>
          <w:szCs w:val="28"/>
        </w:rPr>
        <w:t>Article 2 –</w:t>
      </w:r>
      <w:r w:rsidR="0079058E" w:rsidRPr="00FE67F3">
        <w:rPr>
          <w:b/>
          <w:sz w:val="28"/>
          <w:szCs w:val="28"/>
        </w:rPr>
        <w:t xml:space="preserve"> </w:t>
      </w:r>
      <w:r w:rsidR="00255DFE" w:rsidRPr="00FE67F3">
        <w:rPr>
          <w:b/>
          <w:sz w:val="28"/>
          <w:szCs w:val="28"/>
        </w:rPr>
        <w:t>Rémunération, temps de travail e</w:t>
      </w:r>
      <w:r w:rsidR="00CC78E6" w:rsidRPr="00FE67F3">
        <w:rPr>
          <w:b/>
          <w:sz w:val="28"/>
          <w:szCs w:val="28"/>
        </w:rPr>
        <w:t>t partage de la valeur ajoutée </w:t>
      </w:r>
    </w:p>
    <w:p w14:paraId="3DF7D258" w14:textId="77777777" w:rsidP="000F40AE" w:rsidR="004B60AF" w:rsidRDefault="00255DFE" w:rsidRPr="000F40AE">
      <w:pPr>
        <w:ind w:firstLine="708"/>
        <w:jc w:val="both"/>
        <w:rPr>
          <w:b/>
        </w:rPr>
      </w:pPr>
      <w:r w:rsidRPr="000F40AE">
        <w:rPr>
          <w:b/>
        </w:rPr>
        <w:t xml:space="preserve">2.1 </w:t>
      </w:r>
      <w:r w:rsidR="00A50C1A" w:rsidRPr="000F40AE">
        <w:rPr>
          <w:b/>
        </w:rPr>
        <w:t>Salaire effectif</w:t>
      </w:r>
      <w:r w:rsidR="00652C1F">
        <w:rPr>
          <w:b/>
        </w:rPr>
        <w:t xml:space="preserve"> </w:t>
      </w:r>
      <w:r w:rsidR="00602D96">
        <w:rPr>
          <w:b/>
        </w:rPr>
        <w:t>et égalité</w:t>
      </w:r>
      <w:r w:rsidR="00652C1F">
        <w:rPr>
          <w:b/>
        </w:rPr>
        <w:t xml:space="preserve"> salariale entre les femmes et les hommes</w:t>
      </w:r>
    </w:p>
    <w:p w14:paraId="674D542E" w14:textId="61978189" w:rsidP="000F40AE" w:rsidR="00A50C1A" w:rsidRDefault="00A50C1A" w:rsidRPr="000F40AE">
      <w:pPr>
        <w:jc w:val="both"/>
        <w:rPr>
          <w:u w:val="single"/>
        </w:rPr>
      </w:pPr>
      <w:r w:rsidRPr="000F40AE">
        <w:rPr>
          <w:u w:val="single"/>
        </w:rPr>
        <w:t>Montant des augmentations de salaire 20</w:t>
      </w:r>
      <w:r w:rsidR="00EE5CB4">
        <w:rPr>
          <w:u w:val="single"/>
        </w:rPr>
        <w:t>2</w:t>
      </w:r>
      <w:r w:rsidR="00CA20D3">
        <w:rPr>
          <w:u w:val="single"/>
        </w:rPr>
        <w:t>3</w:t>
      </w:r>
    </w:p>
    <w:p w14:paraId="1CA35D3A" w14:textId="4066D79F" w:rsidP="000F40AE" w:rsidR="00A50C1A" w:rsidRDefault="00A50C1A" w:rsidRPr="000F40AE">
      <w:pPr>
        <w:jc w:val="both"/>
      </w:pPr>
      <w:r w:rsidRPr="000F40AE">
        <w:t xml:space="preserve">Le volume global de l’enveloppe des </w:t>
      </w:r>
      <w:r w:rsidR="008635E8" w:rsidRPr="000F40AE">
        <w:t xml:space="preserve">augmentations de salaire de </w:t>
      </w:r>
      <w:r w:rsidR="003F0E7D" w:rsidRPr="000F40AE">
        <w:t>20</w:t>
      </w:r>
      <w:r w:rsidR="003F0E7D">
        <w:t>23</w:t>
      </w:r>
      <w:r w:rsidR="003F0E7D" w:rsidRPr="000F40AE">
        <w:t xml:space="preserve"> </w:t>
      </w:r>
      <w:r w:rsidRPr="000F40AE">
        <w:t xml:space="preserve">est fixé </w:t>
      </w:r>
      <w:r w:rsidR="00CA20D3">
        <w:t>à 4</w:t>
      </w:r>
      <w:r w:rsidR="000F40AE" w:rsidRPr="000F40AE">
        <w:t xml:space="preserve">% </w:t>
      </w:r>
      <w:r w:rsidRPr="000F40AE">
        <w:t>de la masse salariale brute.</w:t>
      </w:r>
      <w:r w:rsidR="0099039F" w:rsidRPr="000F40AE">
        <w:t xml:space="preserve"> Ce montant est réparti </w:t>
      </w:r>
      <w:r w:rsidR="00CA20D3">
        <w:t>sur deux cycles, l</w:t>
      </w:r>
      <w:r w:rsidR="00EA5C76">
        <w:t>e</w:t>
      </w:r>
      <w:r w:rsidR="00CA20D3">
        <w:t xml:space="preserve"> premi</w:t>
      </w:r>
      <w:r w:rsidR="00EA5C76">
        <w:t xml:space="preserve">er </w:t>
      </w:r>
      <w:r w:rsidR="00CA20D3">
        <w:t xml:space="preserve">en janvier </w:t>
      </w:r>
      <w:r w:rsidR="003F0E7D">
        <w:t xml:space="preserve">2023 </w:t>
      </w:r>
      <w:r w:rsidR="00CA20D3">
        <w:t>et l</w:t>
      </w:r>
      <w:r w:rsidR="00EA5C76">
        <w:t>e</w:t>
      </w:r>
      <w:r w:rsidR="00CA20D3">
        <w:t xml:space="preserve"> second en juillet </w:t>
      </w:r>
      <w:r w:rsidR="003F0E7D">
        <w:t>2023</w:t>
      </w:r>
      <w:r w:rsidR="00CA20D3">
        <w:t>.</w:t>
      </w:r>
    </w:p>
    <w:p w14:paraId="423C3EDB" w14:textId="77777777" w:rsidP="000F40AE" w:rsidR="000B6023" w:rsidRDefault="00A50C1A" w:rsidRPr="000F40AE">
      <w:pPr>
        <w:jc w:val="both"/>
      </w:pPr>
      <w:r w:rsidRPr="000F40AE">
        <w:t>Toutes les augmentations sont individuell</w:t>
      </w:r>
      <w:r w:rsidR="000B6023" w:rsidRPr="000F40AE">
        <w:t>es</w:t>
      </w:r>
      <w:r w:rsidR="009708FD" w:rsidRPr="000F40AE">
        <w:t>.</w:t>
      </w:r>
    </w:p>
    <w:p w14:paraId="1C4427A9" w14:textId="77777777" w:rsidP="000F40AE" w:rsidR="004B60AF" w:rsidRDefault="004B60AF" w:rsidRPr="000F40AE">
      <w:pPr>
        <w:ind w:firstLine="708"/>
        <w:jc w:val="both"/>
        <w:rPr>
          <w:b/>
        </w:rPr>
      </w:pPr>
      <w:r w:rsidRPr="000F40AE">
        <w:rPr>
          <w:b/>
        </w:rPr>
        <w:t>2.2. Durée effective et organisation du temps de travail</w:t>
      </w:r>
    </w:p>
    <w:p w14:paraId="7DB23889" w14:textId="77777777" w:rsidP="000F40AE" w:rsidR="00255DFE" w:rsidRDefault="00255DFE" w:rsidRPr="000F40AE">
      <w:pPr>
        <w:jc w:val="both"/>
        <w:rPr>
          <w:u w:val="single"/>
        </w:rPr>
      </w:pPr>
      <w:r w:rsidRPr="000F40AE">
        <w:rPr>
          <w:u w:val="single"/>
        </w:rPr>
        <w:t>Heures supplémentaires</w:t>
      </w:r>
    </w:p>
    <w:p w14:paraId="392FDE2D" w14:textId="2EDC1D0B" w:rsidP="000F40AE" w:rsidR="00255DFE" w:rsidRDefault="00255DFE">
      <w:pPr>
        <w:jc w:val="both"/>
      </w:pPr>
      <w:r w:rsidRPr="000F40AE">
        <w:t>Le contingent d’heures supplémentaires est porté à 130 heures par an et par salarié. Le paiement des heures supplémentaires peut être remplacé, sur demande de l’employeur, et après l’accord du salarié, par un repos équivalent.</w:t>
      </w:r>
    </w:p>
    <w:p w14:paraId="4D5301A4" w14:textId="17E4E274" w:rsidP="000F40AE" w:rsidR="00164F0A" w:rsidRDefault="00164F0A">
      <w:pPr>
        <w:jc w:val="both"/>
        <w:rPr>
          <w:u w:val="single"/>
        </w:rPr>
      </w:pPr>
      <w:r w:rsidRPr="00164F0A">
        <w:rPr>
          <w:u w:val="single"/>
        </w:rPr>
        <w:t>Compte épargne temps</w:t>
      </w:r>
      <w:r>
        <w:rPr>
          <w:u w:val="single"/>
        </w:rPr>
        <w:t xml:space="preserve"> (CET)</w:t>
      </w:r>
    </w:p>
    <w:p w14:paraId="79FE4E30" w14:textId="703B7A2E" w:rsidP="000F40AE" w:rsidR="00164F0A" w:rsidRDefault="00164F0A">
      <w:pPr>
        <w:jc w:val="both"/>
      </w:pPr>
      <w:r w:rsidRPr="00164F0A">
        <w:t>LES PARTIES ont décidé d’un commun accord, après une présentation et des discussions sur le CET</w:t>
      </w:r>
      <w:r w:rsidR="00A84933">
        <w:t>,</w:t>
      </w:r>
      <w:r w:rsidRPr="00164F0A">
        <w:t xml:space="preserve"> </w:t>
      </w:r>
      <w:r w:rsidR="00A84933">
        <w:t xml:space="preserve">qu’il était nécessaire de prolonger la réflexion </w:t>
      </w:r>
      <w:r w:rsidR="00A36FF3">
        <w:t>et l</w:t>
      </w:r>
      <w:r w:rsidR="00A84933">
        <w:t>’</w:t>
      </w:r>
      <w:r w:rsidRPr="00164F0A">
        <w:t>analyse</w:t>
      </w:r>
      <w:r w:rsidR="00A36FF3">
        <w:t xml:space="preserve"> de</w:t>
      </w:r>
      <w:r w:rsidRPr="00164F0A">
        <w:t xml:space="preserve"> l’ensemble des impacts de l’éventuel</w:t>
      </w:r>
      <w:r w:rsidR="00EA5C76">
        <w:t>le</w:t>
      </w:r>
      <w:r w:rsidRPr="00164F0A">
        <w:t xml:space="preserve"> mise en place d’un CET.</w:t>
      </w:r>
      <w:r w:rsidR="00A36FF3">
        <w:t xml:space="preserve"> </w:t>
      </w:r>
    </w:p>
    <w:p w14:paraId="2936DAA8" w14:textId="70FB643D" w:rsidP="000F40AE" w:rsidR="00CA20D3" w:rsidRDefault="00CA20D3">
      <w:pPr>
        <w:jc w:val="both"/>
        <w:rPr>
          <w:u w:val="single"/>
        </w:rPr>
      </w:pPr>
      <w:r w:rsidRPr="00CA20D3">
        <w:rPr>
          <w:u w:val="single"/>
        </w:rPr>
        <w:t xml:space="preserve">Rachat des jours TS </w:t>
      </w:r>
      <w:r w:rsidR="008D5A85">
        <w:rPr>
          <w:u w:val="single"/>
        </w:rPr>
        <w:t xml:space="preserve">ou JRS </w:t>
      </w:r>
      <w:r w:rsidRPr="00CA20D3">
        <w:rPr>
          <w:u w:val="single"/>
        </w:rPr>
        <w:t>2022</w:t>
      </w:r>
    </w:p>
    <w:p w14:paraId="3A28E260" w14:textId="446AB319" w:rsidP="00CA20D3" w:rsidR="00CA20D3" w:rsidRDefault="00CA20D3">
      <w:pPr>
        <w:jc w:val="both"/>
      </w:pPr>
      <w:r>
        <w:t>La Loi n° 2022-1157 du 16 août 2022 de finances rectificative pour 2022, donne la possibilité aux entreprises qui le souhaitent de monét</w:t>
      </w:r>
      <w:r w:rsidR="00B41A51">
        <w:t>iser</w:t>
      </w:r>
      <w:r>
        <w:t xml:space="preserve"> des jours de RTT aux collaborateurs qui renonceraient à les prendre, ceci dans le but de limiter les effets de l’inflation sur le niveau de vie des Français et notamment des salariés. </w:t>
      </w:r>
    </w:p>
    <w:p w14:paraId="4D81469B" w14:textId="77777777" w:rsidP="00CA20D3" w:rsidR="00CA20D3" w:rsidRDefault="00CA20D3">
      <w:pPr>
        <w:jc w:val="both"/>
      </w:pPr>
      <w:r>
        <w:t>C</w:t>
      </w:r>
      <w:r w:rsidRPr="000550BF">
        <w:t xml:space="preserve">ette possibilité de monétisation ne concerne bien que les droits à </w:t>
      </w:r>
      <w:r>
        <w:t>JRTT</w:t>
      </w:r>
      <w:r w:rsidRPr="000550BF">
        <w:t xml:space="preserve"> au sens légal du terme, droits acquis par les salariés en modalité standard (modalité 1) dans le cadre d’une annualisation de leur temps de travail, en fonction des heures supplémentaires effectuées au-delà de 35 heures hebdomadaires</w:t>
      </w:r>
      <w:r>
        <w:t>.</w:t>
      </w:r>
    </w:p>
    <w:p w14:paraId="737E77F4" w14:textId="7F459CB7" w:rsidP="00CA20D3" w:rsidR="00CA20D3" w:rsidRDefault="00CA20D3">
      <w:pPr>
        <w:jc w:val="both"/>
      </w:pPr>
      <w:r>
        <w:t xml:space="preserve">Afin d’appliquer une égalité de traitement entre les collaborateurs en modalité standard (modalité 1) et les collaborateurs en réalisation de mission (modalité 2), il nous </w:t>
      </w:r>
      <w:r w:rsidR="003F0E7D">
        <w:t>apparait</w:t>
      </w:r>
      <w:r>
        <w:t xml:space="preserve"> essentiel</w:t>
      </w:r>
      <w:r w:rsidR="001E60D3">
        <w:t xml:space="preserve"> </w:t>
      </w:r>
      <w:r>
        <w:t xml:space="preserve">de permettre d’offrir la même possibilité de rachat des temps </w:t>
      </w:r>
      <w:r w:rsidR="00EA5C76">
        <w:t xml:space="preserve">salarié </w:t>
      </w:r>
      <w:r>
        <w:t>(TS) 2022</w:t>
      </w:r>
      <w:r w:rsidR="008D5A85">
        <w:t xml:space="preserve"> ou JRS 2022</w:t>
      </w:r>
      <w:r>
        <w:t>, aux collaborateurs en modalité standard ou en réalisation de mission.</w:t>
      </w:r>
    </w:p>
    <w:p w14:paraId="48BAF3FC" w14:textId="6CF391E2" w:rsidP="000F40AE" w:rsidR="00CA20D3" w:rsidRDefault="00CA20D3" w:rsidRPr="00CA20D3">
      <w:pPr>
        <w:jc w:val="both"/>
      </w:pPr>
      <w:r w:rsidRPr="00CA20D3">
        <w:t>Accord ci-joint.</w:t>
      </w:r>
    </w:p>
    <w:p w14:paraId="7C6B284E" w14:textId="77777777" w:rsidP="000F40AE" w:rsidR="004B60AF" w:rsidRDefault="004B60AF" w:rsidRPr="000F40AE">
      <w:pPr>
        <w:ind w:firstLine="708"/>
        <w:jc w:val="both"/>
        <w:rPr>
          <w:b/>
        </w:rPr>
      </w:pPr>
      <w:r w:rsidRPr="000F40AE">
        <w:rPr>
          <w:b/>
        </w:rPr>
        <w:lastRenderedPageBreak/>
        <w:t>2.3. Intéressement, participation et épargne salariale</w:t>
      </w:r>
    </w:p>
    <w:p w14:paraId="456CCE0E" w14:textId="7A29C6AD" w:rsidP="00F362BC" w:rsidR="00CA20D3" w:rsidRDefault="00CA20D3" w:rsidRPr="00CA20D3">
      <w:pPr>
        <w:jc w:val="both"/>
        <w:rPr>
          <w:u w:val="single"/>
        </w:rPr>
      </w:pPr>
      <w:r w:rsidRPr="00CA20D3">
        <w:rPr>
          <w:u w:val="single"/>
        </w:rPr>
        <w:t>PERCO </w:t>
      </w:r>
    </w:p>
    <w:p w14:paraId="4B653712" w14:textId="36F08D63" w:rsidP="00F362BC" w:rsidR="00DC0FC6" w:rsidRDefault="009708FD">
      <w:pPr>
        <w:jc w:val="both"/>
      </w:pPr>
      <w:r w:rsidRPr="000F40AE">
        <w:t>LES PARTIES</w:t>
      </w:r>
      <w:r w:rsidR="00255DFE" w:rsidRPr="000F40AE">
        <w:t xml:space="preserve"> ont décidé d’un commun accord, après présentation du dispositif PERCO (Plan d’épargne pour la retraite collectif) par la Direction, de ne pas entamer de négociation sur ce sujet.</w:t>
      </w:r>
    </w:p>
    <w:p w14:paraId="378CDF3D" w14:textId="7EB2C905" w:rsidP="00F362BC" w:rsidR="00CA20D3" w:rsidRDefault="00CA20D3" w:rsidRPr="00CA20D3">
      <w:pPr>
        <w:jc w:val="both"/>
        <w:rPr>
          <w:u w:val="single"/>
        </w:rPr>
      </w:pPr>
      <w:r w:rsidRPr="00CA20D3">
        <w:rPr>
          <w:u w:val="single"/>
        </w:rPr>
        <w:t>Accord de participation</w:t>
      </w:r>
    </w:p>
    <w:p w14:paraId="46C9935C" w14:textId="71733E49" w:rsidP="00CA20D3" w:rsidR="00CA20D3" w:rsidRDefault="005E525A" w:rsidRPr="001E60D3">
      <w:pPr>
        <w:spacing w:before="240" w:line="240" w:lineRule="atLeast"/>
        <w:jc w:val="both"/>
      </w:pPr>
      <w:r w:rsidRPr="001E60D3">
        <w:t>L’accord</w:t>
      </w:r>
      <w:r w:rsidR="00CA20D3" w:rsidRPr="001E60D3">
        <w:t xml:space="preserve"> de participation datant de 2006 </w:t>
      </w:r>
      <w:r w:rsidRPr="001E60D3">
        <w:t xml:space="preserve">a été dénoncé dans </w:t>
      </w:r>
      <w:r w:rsidR="00CA20D3" w:rsidRPr="001E60D3">
        <w:t>l’optique de pou</w:t>
      </w:r>
      <w:r w:rsidR="00EA5C76" w:rsidRPr="001E60D3">
        <w:t>v</w:t>
      </w:r>
      <w:r w:rsidR="00CA20D3" w:rsidRPr="001E60D3">
        <w:t>oir</w:t>
      </w:r>
      <w:r w:rsidRPr="001E60D3">
        <w:t xml:space="preserve"> re</w:t>
      </w:r>
      <w:r w:rsidR="00CA20D3" w:rsidRPr="001E60D3">
        <w:t>négocier un nouvel accord</w:t>
      </w:r>
      <w:r w:rsidRPr="001E60D3">
        <w:t xml:space="preserve"> qui permet d’aligner</w:t>
      </w:r>
      <w:r w:rsidR="00CA20D3" w:rsidRPr="001E60D3">
        <w:t xml:space="preserve"> ce nouvel accord avec certaines dispositions de l’accord d’intéressement négocié en 2022.</w:t>
      </w:r>
    </w:p>
    <w:p w14:paraId="3E27199F" w14:textId="545B24EF" w:rsidP="00CA20D3" w:rsidR="00CA20D3" w:rsidRDefault="005E525A" w:rsidRPr="001E60D3">
      <w:pPr>
        <w:spacing w:before="240" w:line="240" w:lineRule="atLeast"/>
        <w:jc w:val="both"/>
      </w:pPr>
      <w:r w:rsidRPr="001E60D3">
        <w:t>P</w:t>
      </w:r>
      <w:r w:rsidR="00CA20D3" w:rsidRPr="001E60D3">
        <w:t>our pouvoir prétendre à la réserve spéciale de participation, il faudra avoir une ancienneté d’au moins 3 mois au sein de l’une des sociétés de l’UES Viveris. Quant à la répartition entre les bénéficiaires, elle sera basée à 70% sur le temps de présence et à 30% sur le salaire, pour privilégier les salaires les plus bas.</w:t>
      </w:r>
    </w:p>
    <w:p w14:paraId="12B41BF6" w14:textId="42A6CC46" w:rsidP="00CA20D3" w:rsidR="005E525A" w:rsidRDefault="005E525A" w:rsidRPr="00CA20D3">
      <w:pPr>
        <w:spacing w:before="240" w:line="240" w:lineRule="atLeast"/>
        <w:jc w:val="both"/>
        <w:rPr>
          <w:bCs/>
        </w:rPr>
      </w:pPr>
      <w:r>
        <w:rPr>
          <w:bCs/>
        </w:rPr>
        <w:t>Accord ci-joint.</w:t>
      </w:r>
    </w:p>
    <w:p w14:paraId="7C9543DB" w14:textId="77777777" w:rsidP="00F362BC" w:rsidR="007D1274" w:rsidRDefault="007D1274" w:rsidRPr="000F40AE">
      <w:pPr>
        <w:jc w:val="both"/>
      </w:pPr>
    </w:p>
    <w:p w14:paraId="04FE8FED" w14:textId="77777777" w:rsidP="000F40AE" w:rsidR="00255DFE" w:rsidRDefault="0079058E" w:rsidRPr="00CC78E6">
      <w:pPr>
        <w:jc w:val="both"/>
        <w:rPr>
          <w:b/>
          <w:sz w:val="28"/>
          <w:szCs w:val="28"/>
        </w:rPr>
      </w:pPr>
      <w:r w:rsidRPr="00CC78E6">
        <w:rPr>
          <w:b/>
          <w:sz w:val="28"/>
          <w:szCs w:val="28"/>
        </w:rPr>
        <w:t xml:space="preserve">Article 3 – </w:t>
      </w:r>
      <w:r w:rsidR="00255DFE" w:rsidRPr="00CC78E6">
        <w:rPr>
          <w:b/>
          <w:sz w:val="28"/>
          <w:szCs w:val="28"/>
        </w:rPr>
        <w:t xml:space="preserve">Egalité professionnelle </w:t>
      </w:r>
      <w:r w:rsidR="00CC6CE4" w:rsidRPr="00CC78E6">
        <w:rPr>
          <w:b/>
          <w:sz w:val="28"/>
          <w:szCs w:val="28"/>
        </w:rPr>
        <w:t xml:space="preserve">entre les femmes et les hommes </w:t>
      </w:r>
      <w:r w:rsidR="00255DFE" w:rsidRPr="00CC78E6">
        <w:rPr>
          <w:b/>
          <w:sz w:val="28"/>
          <w:szCs w:val="28"/>
        </w:rPr>
        <w:t xml:space="preserve">et qualité </w:t>
      </w:r>
      <w:r w:rsidR="00CC78E6">
        <w:rPr>
          <w:b/>
          <w:sz w:val="28"/>
          <w:szCs w:val="28"/>
        </w:rPr>
        <w:tab/>
        <w:t xml:space="preserve">         </w:t>
      </w:r>
      <w:r w:rsidR="00255DFE" w:rsidRPr="00CC78E6">
        <w:rPr>
          <w:b/>
          <w:sz w:val="28"/>
          <w:szCs w:val="28"/>
        </w:rPr>
        <w:t>de vie au travail</w:t>
      </w:r>
    </w:p>
    <w:p w14:paraId="34E4172B" w14:textId="6746C2C8" w:rsidP="000F40AE" w:rsidR="00255DFE" w:rsidRDefault="00652C1F">
      <w:pPr>
        <w:jc w:val="both"/>
        <w:rPr>
          <w:b/>
        </w:rPr>
      </w:pPr>
      <w:r>
        <w:rPr>
          <w:b/>
        </w:rPr>
        <w:tab/>
      </w:r>
      <w:r w:rsidR="00A030A2" w:rsidRPr="000F40AE">
        <w:rPr>
          <w:b/>
        </w:rPr>
        <w:t>3.1. Protection sociale complémentaire des salariés</w:t>
      </w:r>
    </w:p>
    <w:p w14:paraId="0DF11C00" w14:textId="4C8437B3" w:rsidP="000F40AE" w:rsidR="00841015" w:rsidRDefault="005E525A" w:rsidRPr="005E525A">
      <w:pPr>
        <w:jc w:val="both"/>
      </w:pPr>
      <w:r w:rsidRPr="000F40AE">
        <w:t>D’un commun accord, LES PARTIES ont décidé de ne pas ouvrir de négociation sur ce thème.</w:t>
      </w:r>
    </w:p>
    <w:p w14:paraId="44D8C3F4" w14:textId="77777777" w:rsidP="000F40AE" w:rsidR="00A030A2" w:rsidRDefault="00D276D4" w:rsidRPr="000F40AE">
      <w:pPr>
        <w:jc w:val="both"/>
        <w:rPr>
          <w:b/>
        </w:rPr>
      </w:pPr>
      <w:r>
        <w:rPr>
          <w:b/>
        </w:rPr>
        <w:tab/>
      </w:r>
      <w:r w:rsidR="00A030A2" w:rsidRPr="000F40AE">
        <w:rPr>
          <w:b/>
        </w:rPr>
        <w:t xml:space="preserve">3.2. Egalité </w:t>
      </w:r>
      <w:r w:rsidR="002F435C">
        <w:rPr>
          <w:b/>
        </w:rPr>
        <w:t xml:space="preserve">professionnelle entre les femmes et les </w:t>
      </w:r>
      <w:r w:rsidR="00A030A2" w:rsidRPr="000F40AE">
        <w:rPr>
          <w:b/>
        </w:rPr>
        <w:t>hommes </w:t>
      </w:r>
    </w:p>
    <w:p w14:paraId="4AE25124" w14:textId="6DAB1885" w:rsidP="00F362BC" w:rsidR="00F362BC" w:rsidRDefault="00EE5CB4">
      <w:pPr>
        <w:jc w:val="both"/>
      </w:pPr>
      <w:r>
        <w:t>Des</w:t>
      </w:r>
      <w:r w:rsidRPr="000F40AE">
        <w:t xml:space="preserve"> accord</w:t>
      </w:r>
      <w:r>
        <w:t>s</w:t>
      </w:r>
      <w:r w:rsidRPr="000F40AE">
        <w:t xml:space="preserve"> relatifs</w:t>
      </w:r>
      <w:r w:rsidR="00F362BC" w:rsidRPr="000F40AE">
        <w:t xml:space="preserve"> </w:t>
      </w:r>
      <w:r w:rsidR="00F362BC">
        <w:t>à l’égalité hommes femmes</w:t>
      </w:r>
      <w:r w:rsidR="00F362BC" w:rsidRPr="008C5668">
        <w:t xml:space="preserve"> </w:t>
      </w:r>
      <w:r>
        <w:t>ont</w:t>
      </w:r>
      <w:r w:rsidR="00F362BC" w:rsidRPr="008C5668">
        <w:t xml:space="preserve"> été signé</w:t>
      </w:r>
      <w:r>
        <w:t>s pour les sociétés Viveris Technologies, Viveris Systèmes et Viveris Intégration</w:t>
      </w:r>
      <w:r w:rsidR="00F362BC" w:rsidRPr="008C5668">
        <w:t xml:space="preserve"> ce</w:t>
      </w:r>
      <w:r w:rsidR="007D1274">
        <w:t xml:space="preserve"> </w:t>
      </w:r>
      <w:r w:rsidR="00B337A6">
        <w:t>1</w:t>
      </w:r>
      <w:r w:rsidR="005E525A">
        <w:t>4</w:t>
      </w:r>
      <w:r w:rsidR="007D1274">
        <w:t xml:space="preserve"> </w:t>
      </w:r>
      <w:r>
        <w:t xml:space="preserve">décembre </w:t>
      </w:r>
      <w:r w:rsidR="00F362BC" w:rsidRPr="008C5668">
        <w:t>20</w:t>
      </w:r>
      <w:r w:rsidR="007D1274">
        <w:t>2</w:t>
      </w:r>
      <w:r w:rsidR="005E525A">
        <w:t>2</w:t>
      </w:r>
      <w:r w:rsidR="00F362BC" w:rsidRPr="008C5668">
        <w:t xml:space="preserve"> pour u</w:t>
      </w:r>
      <w:r w:rsidR="00F362BC">
        <w:t xml:space="preserve">ne durée </w:t>
      </w:r>
      <w:r w:rsidR="00602D96">
        <w:t>d’un an</w:t>
      </w:r>
      <w:r w:rsidR="00F362BC">
        <w:t>.</w:t>
      </w:r>
    </w:p>
    <w:p w14:paraId="674FA253" w14:textId="77777777" w:rsidP="00FE66DD" w:rsidR="00602D96" w:rsidRDefault="00F362BC">
      <w:pPr>
        <w:jc w:val="both"/>
      </w:pPr>
      <w:r w:rsidRPr="00B337A6">
        <w:t>Accord</w:t>
      </w:r>
      <w:r w:rsidR="00EE5CB4" w:rsidRPr="00B337A6">
        <w:t>s</w:t>
      </w:r>
      <w:r w:rsidRPr="00B337A6">
        <w:t xml:space="preserve"> ci-joint.</w:t>
      </w:r>
    </w:p>
    <w:p w14:paraId="75133898" w14:textId="7BC957F0" w:rsidP="00FE66DD" w:rsidR="004B60AF" w:rsidRDefault="00D276D4">
      <w:pPr>
        <w:jc w:val="both"/>
        <w:rPr>
          <w:b/>
        </w:rPr>
      </w:pPr>
      <w:r>
        <w:tab/>
      </w:r>
      <w:r w:rsidR="004B60AF" w:rsidRPr="000F40AE">
        <w:rPr>
          <w:b/>
        </w:rPr>
        <w:t xml:space="preserve">3.3. </w:t>
      </w:r>
      <w:r w:rsidR="00A030A2" w:rsidRPr="000F40AE">
        <w:rPr>
          <w:b/>
        </w:rPr>
        <w:t>A</w:t>
      </w:r>
      <w:r w:rsidR="004B60AF" w:rsidRPr="000F40AE">
        <w:rPr>
          <w:b/>
        </w:rPr>
        <w:t>rticulation entre la vie personnelle et la vie professionnelle pour les salariés</w:t>
      </w:r>
    </w:p>
    <w:p w14:paraId="576CBFBE" w14:textId="399FEF24" w:rsidP="00FE66DD" w:rsidR="00B337A6" w:rsidRDefault="00B337A6" w:rsidRPr="00FE66DD">
      <w:pPr>
        <w:jc w:val="both"/>
      </w:pPr>
      <w:bookmarkStart w:id="0" w:name="_Hlk121835762"/>
      <w:r w:rsidRPr="000F40AE">
        <w:t>D’un commun accord, LES PARTIES ont décidé de ne pas ouvrir de négociation sur ce thème.</w:t>
      </w:r>
    </w:p>
    <w:bookmarkEnd w:id="0"/>
    <w:p w14:paraId="31026745" w14:textId="77777777" w:rsidP="007D1274" w:rsidR="001F5F87" w:rsidRDefault="004B60AF" w:rsidRPr="000F40AE">
      <w:pPr>
        <w:ind w:firstLine="708"/>
        <w:jc w:val="both"/>
      </w:pPr>
      <w:r w:rsidRPr="000F40AE">
        <w:rPr>
          <w:b/>
        </w:rPr>
        <w:t>3.4. Handicap, insertion professionnelle et maintien dans l’emploi</w:t>
      </w:r>
    </w:p>
    <w:p w14:paraId="5350F2A1" w14:textId="47A608DA" w:rsidP="00B337A6" w:rsidR="007D1274" w:rsidRDefault="004B60AF" w:rsidRPr="00B337A6">
      <w:pPr>
        <w:jc w:val="both"/>
      </w:pPr>
      <w:r w:rsidRPr="000F40AE">
        <w:t xml:space="preserve">D’un commun accord, </w:t>
      </w:r>
      <w:r w:rsidR="00622432" w:rsidRPr="000F40AE">
        <w:t>LES PARTIES</w:t>
      </w:r>
      <w:r w:rsidRPr="000F40AE">
        <w:t xml:space="preserve"> ont décidé de ne pas ouvrir de négociation sur ce thème.</w:t>
      </w:r>
    </w:p>
    <w:p w14:paraId="7A936884" w14:textId="4128BFC0" w:rsidP="000F40AE" w:rsidR="004B60AF" w:rsidRDefault="004B60AF" w:rsidRPr="000F40AE">
      <w:pPr>
        <w:ind w:firstLine="708"/>
        <w:jc w:val="both"/>
      </w:pPr>
      <w:r w:rsidRPr="000F40AE">
        <w:rPr>
          <w:b/>
        </w:rPr>
        <w:t>3.5.</w:t>
      </w:r>
      <w:r w:rsidR="00E458E7" w:rsidRPr="000F40AE">
        <w:rPr>
          <w:b/>
        </w:rPr>
        <w:t xml:space="preserve"> </w:t>
      </w:r>
      <w:r w:rsidR="001F5F87" w:rsidRPr="000F40AE">
        <w:rPr>
          <w:b/>
        </w:rPr>
        <w:t>E</w:t>
      </w:r>
      <w:r w:rsidRPr="000F40AE">
        <w:rPr>
          <w:b/>
        </w:rPr>
        <w:t>xercice du droit d'expression collective des salariés</w:t>
      </w:r>
    </w:p>
    <w:p w14:paraId="041D7E1A" w14:textId="77777777" w:rsidP="000F40AE" w:rsidR="001F5F87" w:rsidRDefault="001F5F87">
      <w:pPr>
        <w:jc w:val="both"/>
      </w:pPr>
      <w:r w:rsidRPr="000F40AE">
        <w:t xml:space="preserve">D’un commun accord, </w:t>
      </w:r>
      <w:r w:rsidR="00622432" w:rsidRPr="000F40AE">
        <w:t xml:space="preserve">LES PARTIES </w:t>
      </w:r>
      <w:r w:rsidRPr="000F40AE">
        <w:t>ont décidé de ne pas ouvrir de négociation sur ce thème.</w:t>
      </w:r>
    </w:p>
    <w:p w14:paraId="7A7B5F84" w14:textId="77777777" w:rsidP="000F40AE" w:rsidR="002F435C" w:rsidRDefault="002F435C" w:rsidRPr="002F435C">
      <w:pPr>
        <w:jc w:val="both"/>
        <w:rPr>
          <w:b/>
        </w:rPr>
      </w:pPr>
      <w:r>
        <w:tab/>
      </w:r>
      <w:r w:rsidRPr="002F435C">
        <w:rPr>
          <w:b/>
        </w:rPr>
        <w:t xml:space="preserve">3.6. Mesures permettant de lutter contre toute discrimination en matière de recrutement, </w:t>
      </w:r>
      <w:r>
        <w:rPr>
          <w:b/>
        </w:rPr>
        <w:tab/>
      </w:r>
      <w:r w:rsidRPr="002F435C">
        <w:rPr>
          <w:b/>
        </w:rPr>
        <w:t>d'emploi et d'accès à la formation professionnelle</w:t>
      </w:r>
    </w:p>
    <w:p w14:paraId="6A0C545F" w14:textId="77777777" w:rsidP="000F40AE" w:rsidR="00D276D4" w:rsidRDefault="002F435C">
      <w:pPr>
        <w:jc w:val="both"/>
      </w:pPr>
      <w:r w:rsidRPr="000F40AE">
        <w:t>D’un commun accord, LES PARTIES ont décidé de ne pas ouvrir de négociation sur ce</w:t>
      </w:r>
      <w:r w:rsidR="00FE66DD">
        <w:t xml:space="preserve"> </w:t>
      </w:r>
      <w:r w:rsidRPr="000F40AE">
        <w:t>thème.</w:t>
      </w:r>
    </w:p>
    <w:p w14:paraId="03AAB794" w14:textId="77777777" w:rsidP="000F40AE" w:rsidR="001F5F87" w:rsidRDefault="004B60AF" w:rsidRPr="00CC78E6">
      <w:pPr>
        <w:jc w:val="both"/>
        <w:rPr>
          <w:b/>
          <w:sz w:val="28"/>
          <w:szCs w:val="28"/>
        </w:rPr>
      </w:pPr>
      <w:r w:rsidRPr="00CC78E6">
        <w:rPr>
          <w:b/>
          <w:sz w:val="28"/>
          <w:szCs w:val="28"/>
        </w:rPr>
        <w:lastRenderedPageBreak/>
        <w:t xml:space="preserve">Article 4 </w:t>
      </w:r>
      <w:r w:rsidR="00602D96" w:rsidRPr="00CC78E6">
        <w:rPr>
          <w:b/>
          <w:sz w:val="28"/>
          <w:szCs w:val="28"/>
        </w:rPr>
        <w:t>- La</w:t>
      </w:r>
      <w:r w:rsidRPr="00CC78E6">
        <w:rPr>
          <w:b/>
          <w:sz w:val="28"/>
          <w:szCs w:val="28"/>
        </w:rPr>
        <w:t xml:space="preserve"> gestion des emplois et des parcours professionnels</w:t>
      </w:r>
      <w:r w:rsidR="002F435C" w:rsidRPr="00CC78E6">
        <w:rPr>
          <w:b/>
          <w:sz w:val="28"/>
          <w:szCs w:val="28"/>
        </w:rPr>
        <w:t xml:space="preserve">, des </w:t>
      </w:r>
      <w:r w:rsidR="00CC78E6">
        <w:rPr>
          <w:b/>
          <w:sz w:val="28"/>
          <w:szCs w:val="28"/>
        </w:rPr>
        <w:tab/>
      </w:r>
      <w:r w:rsidR="00CC78E6">
        <w:rPr>
          <w:b/>
          <w:sz w:val="28"/>
          <w:szCs w:val="28"/>
        </w:rPr>
        <w:tab/>
        <w:t xml:space="preserve">        </w:t>
      </w:r>
      <w:r w:rsidR="002F435C" w:rsidRPr="00CC78E6">
        <w:rPr>
          <w:b/>
          <w:sz w:val="28"/>
          <w:szCs w:val="28"/>
        </w:rPr>
        <w:t>parcours professionnels et la mixité des métiers</w:t>
      </w:r>
    </w:p>
    <w:p w14:paraId="47515041" w14:textId="77777777" w:rsidP="000F40AE" w:rsidR="002F435C" w:rsidRDefault="002F435C" w:rsidRPr="000F40AE">
      <w:pPr>
        <w:jc w:val="both"/>
        <w:rPr>
          <w:b/>
        </w:rPr>
      </w:pPr>
      <w:r>
        <w:rPr>
          <w:b/>
        </w:rPr>
        <w:tab/>
        <w:t>4.1. Gestion prévisionnelle des emplois et compétences</w:t>
      </w:r>
    </w:p>
    <w:p w14:paraId="15809CE4" w14:textId="77777777" w:rsidP="000F40AE" w:rsidR="002F086B" w:rsidRDefault="002F086B" w:rsidRPr="000F40AE">
      <w:pPr>
        <w:jc w:val="both"/>
      </w:pPr>
      <w:r w:rsidRPr="000F40AE">
        <w:t>D’un commun accord, LES PARTIES ont décidé de ne pas ouvrir de négociation sur ce</w:t>
      </w:r>
      <w:r w:rsidR="002F435C">
        <w:t xml:space="preserve"> thème</w:t>
      </w:r>
      <w:r w:rsidRPr="000F40AE">
        <w:t>.</w:t>
      </w:r>
    </w:p>
    <w:p w14:paraId="020F910D" w14:textId="77777777" w:rsidP="000F40AE" w:rsidR="00652C1F" w:rsidRDefault="002F435C">
      <w:pPr>
        <w:jc w:val="both"/>
        <w:rPr>
          <w:b/>
        </w:rPr>
      </w:pPr>
      <w:r>
        <w:rPr>
          <w:b/>
        </w:rPr>
        <w:tab/>
        <w:t>4.2. Mobilité</w:t>
      </w:r>
    </w:p>
    <w:p w14:paraId="2A3C585F" w14:textId="77777777" w:rsidP="002F435C" w:rsidR="002F435C" w:rsidRDefault="002F435C" w:rsidRPr="000F40AE">
      <w:pPr>
        <w:jc w:val="both"/>
      </w:pPr>
      <w:r w:rsidRPr="000F40AE">
        <w:t>D’un commun accord, LES PARTIES ont décidé de ne pas ouvrir de négociation sur ce</w:t>
      </w:r>
      <w:r>
        <w:t xml:space="preserve"> thème</w:t>
      </w:r>
      <w:r w:rsidRPr="000F40AE">
        <w:t>.</w:t>
      </w:r>
    </w:p>
    <w:p w14:paraId="6816F447" w14:textId="77777777" w:rsidP="000F40AE" w:rsidR="002F435C" w:rsidRDefault="002F435C">
      <w:pPr>
        <w:jc w:val="both"/>
        <w:rPr>
          <w:b/>
        </w:rPr>
      </w:pPr>
      <w:r>
        <w:rPr>
          <w:b/>
        </w:rPr>
        <w:tab/>
        <w:t>4.3. Orientations de la formation professionnelle</w:t>
      </w:r>
    </w:p>
    <w:p w14:paraId="53A62860" w14:textId="77777777" w:rsidP="002F435C" w:rsidR="002F435C" w:rsidRDefault="002F435C" w:rsidRPr="000F40AE">
      <w:pPr>
        <w:jc w:val="both"/>
      </w:pPr>
      <w:r w:rsidRPr="000F40AE">
        <w:t>D’un commun accord, LES PARTIES ont décidé de ne pas ouvrir de négociation sur ce</w:t>
      </w:r>
      <w:r>
        <w:t xml:space="preserve"> thème</w:t>
      </w:r>
      <w:r w:rsidRPr="000F40AE">
        <w:t>.</w:t>
      </w:r>
    </w:p>
    <w:p w14:paraId="2867C9E3" w14:textId="77777777" w:rsidP="000F40AE" w:rsidR="002F435C" w:rsidRDefault="00E72A40">
      <w:pPr>
        <w:jc w:val="both"/>
        <w:rPr>
          <w:b/>
        </w:rPr>
      </w:pPr>
      <w:r>
        <w:rPr>
          <w:b/>
        </w:rPr>
        <w:tab/>
      </w:r>
      <w:r w:rsidR="002F435C">
        <w:rPr>
          <w:b/>
        </w:rPr>
        <w:t>4.4.</w:t>
      </w:r>
      <w:r>
        <w:rPr>
          <w:b/>
        </w:rPr>
        <w:t xml:space="preserve"> Perspectives sur l'utilisation des différents contrats</w:t>
      </w:r>
    </w:p>
    <w:p w14:paraId="30B8C93B" w14:textId="77777777" w:rsidP="00E72A40" w:rsidR="00E72A40" w:rsidRDefault="00E72A40">
      <w:pPr>
        <w:jc w:val="both"/>
      </w:pPr>
      <w:r w:rsidRPr="000F40AE">
        <w:t>D’un commun accord, LES PARTIES ont décidé de ne pas ouvrir de négociation sur ce</w:t>
      </w:r>
      <w:r>
        <w:t xml:space="preserve"> thème</w:t>
      </w:r>
      <w:r w:rsidRPr="000F40AE">
        <w:t>.</w:t>
      </w:r>
    </w:p>
    <w:p w14:paraId="3C0CA604" w14:textId="77777777" w:rsidP="00E72A40" w:rsidR="00E72A40" w:rsidRDefault="00E72A40" w:rsidRPr="00E72A40">
      <w:pPr>
        <w:jc w:val="both"/>
        <w:rPr>
          <w:b/>
        </w:rPr>
      </w:pPr>
      <w:r>
        <w:rPr>
          <w:b/>
        </w:rPr>
        <w:tab/>
      </w:r>
      <w:r w:rsidRPr="00E72A40">
        <w:rPr>
          <w:b/>
        </w:rPr>
        <w:t xml:space="preserve">4.5. Conditions dans lesquelles les entreprises sous-traitantes sont informées des </w:t>
      </w:r>
      <w:r>
        <w:rPr>
          <w:b/>
        </w:rPr>
        <w:tab/>
      </w:r>
      <w:r w:rsidRPr="00E72A40">
        <w:rPr>
          <w:b/>
        </w:rPr>
        <w:t>orientations stratégiques de l'entreprise</w:t>
      </w:r>
    </w:p>
    <w:p w14:paraId="4C49A92A" w14:textId="77777777" w:rsidP="00E72A40" w:rsidR="00E72A40" w:rsidRDefault="00E72A40">
      <w:pPr>
        <w:jc w:val="both"/>
      </w:pPr>
      <w:r w:rsidRPr="000F40AE">
        <w:t>D’un commun accord, LES PARTIES ont décidé de ne pas ouvrir de négociation sur ce</w:t>
      </w:r>
      <w:r>
        <w:t xml:space="preserve"> thème</w:t>
      </w:r>
      <w:r w:rsidRPr="000F40AE">
        <w:t>.</w:t>
      </w:r>
    </w:p>
    <w:p w14:paraId="40EB9590" w14:textId="77777777" w:rsidP="000F40AE" w:rsidR="00170818" w:rsidRDefault="00E72A40">
      <w:pPr>
        <w:jc w:val="both"/>
        <w:rPr>
          <w:b/>
        </w:rPr>
      </w:pPr>
      <w:r>
        <w:rPr>
          <w:b/>
        </w:rPr>
        <w:tab/>
        <w:t>4.6. Déroulement de carrière des salariés exerçant des responsabilités syndicales</w:t>
      </w:r>
    </w:p>
    <w:p w14:paraId="28D57EF8" w14:textId="77777777" w:rsidP="00FB7271" w:rsidR="00FB7271" w:rsidRDefault="00E72A40">
      <w:pPr>
        <w:jc w:val="both"/>
        <w:rPr>
          <w:b/>
        </w:rPr>
      </w:pPr>
      <w:r w:rsidRPr="000F40AE">
        <w:t>D’un commun accord, LES PARTIES ont décidé de ne pas ouvrir de négociation sur ce</w:t>
      </w:r>
      <w:r>
        <w:t xml:space="preserve"> thème</w:t>
      </w:r>
      <w:r w:rsidRPr="000F40AE">
        <w:t>.</w:t>
      </w:r>
    </w:p>
    <w:p w14:paraId="7403EAF8" w14:textId="77777777" w:rsidP="000F40AE" w:rsidR="005E525A" w:rsidRDefault="005E525A">
      <w:pPr>
        <w:jc w:val="both"/>
        <w:rPr>
          <w:b/>
          <w:sz w:val="28"/>
          <w:szCs w:val="28"/>
        </w:rPr>
      </w:pPr>
    </w:p>
    <w:p w14:paraId="1D6BAC53" w14:textId="0DBF03DD" w:rsidP="000F40AE" w:rsidR="00617599" w:rsidRDefault="0038566A" w:rsidRPr="00DF1BF2">
      <w:pPr>
        <w:jc w:val="both"/>
        <w:rPr>
          <w:b/>
          <w:sz w:val="28"/>
          <w:szCs w:val="28"/>
        </w:rPr>
      </w:pPr>
      <w:r w:rsidRPr="00DF1BF2">
        <w:rPr>
          <w:b/>
          <w:sz w:val="28"/>
          <w:szCs w:val="28"/>
        </w:rPr>
        <w:t xml:space="preserve">Article </w:t>
      </w:r>
      <w:r w:rsidR="007D1274">
        <w:rPr>
          <w:b/>
          <w:sz w:val="28"/>
          <w:szCs w:val="28"/>
        </w:rPr>
        <w:t>5</w:t>
      </w:r>
      <w:r w:rsidR="00617599" w:rsidRPr="00DF1BF2">
        <w:rPr>
          <w:b/>
          <w:sz w:val="28"/>
          <w:szCs w:val="28"/>
        </w:rPr>
        <w:t xml:space="preserve"> – Entrée en vigueur, durée, révision</w:t>
      </w:r>
    </w:p>
    <w:p w14:paraId="772AC8DE" w14:textId="77777777" w:rsidP="000F40AE" w:rsidR="00FE67F3" w:rsidRDefault="00CC78E6">
      <w:pPr>
        <w:jc w:val="both"/>
      </w:pPr>
      <w:r w:rsidRPr="00CC78E6">
        <w:t>Il est rappelé que les dispositions du présent accord se substituent, à compter de leur date d'application, à toute disposition, pratique et usage en vigueur antérieurement et ayant le même objet.</w:t>
      </w:r>
    </w:p>
    <w:p w14:paraId="1B5D6563" w14:textId="7D5878CA" w:rsidP="000F40AE" w:rsidR="00617599" w:rsidRDefault="00617599">
      <w:pPr>
        <w:jc w:val="both"/>
      </w:pPr>
      <w:r w:rsidRPr="000F40AE">
        <w:t xml:space="preserve">Le présent accord est conclu </w:t>
      </w:r>
      <w:r w:rsidR="00DE3D53" w:rsidRPr="000F40AE">
        <w:t>jusqu’au 31 décembre 20</w:t>
      </w:r>
      <w:r w:rsidR="00FB7271">
        <w:t>2</w:t>
      </w:r>
      <w:r w:rsidR="005E525A">
        <w:t>3</w:t>
      </w:r>
      <w:r w:rsidR="00F46549">
        <w:t xml:space="preserve">, sauf dispositions particulières sur la durée précisées dans l'accord. </w:t>
      </w:r>
    </w:p>
    <w:p w14:paraId="690735F1" w14:textId="77777777" w:rsidP="000F40AE" w:rsidR="00123018" w:rsidRDefault="00123018" w:rsidRPr="00123018">
      <w:pPr>
        <w:jc w:val="both"/>
        <w:rPr>
          <w:rFonts w:ascii="Calibri" w:cs="Calibri" w:hAnsi="Calibri"/>
        </w:rPr>
      </w:pPr>
      <w:r w:rsidRPr="00EA4085">
        <w:rPr>
          <w:rFonts w:ascii="Calibri" w:cs="Calibri" w:hAnsi="Calibri"/>
        </w:rPr>
        <w:t>En application de l’article L. 2231-5 du Code du travail, le présent accord sera notifié, après signature d</w:t>
      </w:r>
      <w:r>
        <w:rPr>
          <w:rFonts w:ascii="Calibri" w:cs="Calibri" w:hAnsi="Calibri"/>
        </w:rPr>
        <w:t>e</w:t>
      </w:r>
      <w:r w:rsidRPr="00EA4085">
        <w:rPr>
          <w:rFonts w:ascii="Calibri" w:cs="Calibri" w:hAnsi="Calibri"/>
        </w:rPr>
        <w:t xml:space="preserve"> la Direction, </w:t>
      </w:r>
      <w:r w:rsidR="00FB7271">
        <w:rPr>
          <w:rFonts w:ascii="Calibri" w:cs="Calibri" w:hAnsi="Calibri"/>
        </w:rPr>
        <w:t>à l’</w:t>
      </w:r>
      <w:r w:rsidRPr="00EA4085">
        <w:rPr>
          <w:rFonts w:ascii="Calibri" w:cs="Calibri" w:hAnsi="Calibri"/>
        </w:rPr>
        <w:t xml:space="preserve">organisation syndicale signataire, par la Direction </w:t>
      </w:r>
      <w:r w:rsidR="00FB7271">
        <w:rPr>
          <w:rFonts w:ascii="Calibri" w:cs="Calibri" w:hAnsi="Calibri"/>
        </w:rPr>
        <w:t>à l’</w:t>
      </w:r>
      <w:r w:rsidRPr="00EA4085">
        <w:rPr>
          <w:rFonts w:ascii="Calibri" w:cs="Calibri" w:hAnsi="Calibri"/>
        </w:rPr>
        <w:t>organisation représentativ</w:t>
      </w:r>
      <w:r w:rsidR="00FB7271">
        <w:rPr>
          <w:rFonts w:ascii="Calibri" w:cs="Calibri" w:hAnsi="Calibri"/>
        </w:rPr>
        <w:t>e</w:t>
      </w:r>
      <w:r w:rsidRPr="00EA4085">
        <w:rPr>
          <w:rFonts w:ascii="Calibri" w:cs="Calibri" w:hAnsi="Calibri"/>
        </w:rPr>
        <w:t>.</w:t>
      </w:r>
    </w:p>
    <w:p w14:paraId="54AD5A7B" w14:textId="77777777" w:rsidP="000F40AE" w:rsidR="00D276D4" w:rsidRDefault="00617599">
      <w:pPr>
        <w:jc w:val="both"/>
      </w:pPr>
      <w:r w:rsidRPr="000F40AE">
        <w:t>Toute modification d</w:t>
      </w:r>
      <w:r w:rsidR="00DE3D53" w:rsidRPr="000F40AE">
        <w:t>e</w:t>
      </w:r>
      <w:r w:rsidRPr="000F40AE">
        <w:t xml:space="preserve"> cet accord donnera lieu à l’établissement d’un avenant.</w:t>
      </w:r>
    </w:p>
    <w:p w14:paraId="19750B29" w14:textId="5F4B4D36" w:rsidP="000F40AE" w:rsidR="00DC0FC6" w:rsidRDefault="00DC0FC6">
      <w:pPr>
        <w:jc w:val="both"/>
      </w:pPr>
    </w:p>
    <w:p w14:paraId="66DDE8A8" w14:textId="6A335F47" w:rsidP="000F40AE" w:rsidR="001E60D3" w:rsidRDefault="001E60D3">
      <w:pPr>
        <w:jc w:val="both"/>
      </w:pPr>
    </w:p>
    <w:p w14:paraId="4FDB165C" w14:textId="22F5B305" w:rsidP="000F40AE" w:rsidR="001E60D3" w:rsidRDefault="001E60D3">
      <w:pPr>
        <w:jc w:val="both"/>
      </w:pPr>
    </w:p>
    <w:p w14:paraId="426564DC" w14:textId="77777777" w:rsidP="000F40AE" w:rsidR="001E60D3" w:rsidRDefault="001E60D3" w:rsidRPr="00602D96">
      <w:pPr>
        <w:jc w:val="both"/>
      </w:pPr>
    </w:p>
    <w:p w14:paraId="3A39DBA4" w14:textId="2102C254" w:rsidP="000F40AE" w:rsidR="00617599" w:rsidRDefault="00A50C1A" w:rsidRPr="00DF1BF2">
      <w:pPr>
        <w:jc w:val="both"/>
        <w:rPr>
          <w:b/>
          <w:sz w:val="28"/>
          <w:szCs w:val="28"/>
        </w:rPr>
      </w:pPr>
      <w:r w:rsidRPr="00DF1BF2">
        <w:rPr>
          <w:b/>
          <w:sz w:val="28"/>
          <w:szCs w:val="28"/>
        </w:rPr>
        <w:lastRenderedPageBreak/>
        <w:t>Articl</w:t>
      </w:r>
      <w:r w:rsidR="0038566A" w:rsidRPr="00DF1BF2">
        <w:rPr>
          <w:b/>
          <w:sz w:val="28"/>
          <w:szCs w:val="28"/>
        </w:rPr>
        <w:t xml:space="preserve">e </w:t>
      </w:r>
      <w:r w:rsidR="007D1274">
        <w:rPr>
          <w:b/>
          <w:sz w:val="28"/>
          <w:szCs w:val="28"/>
        </w:rPr>
        <w:t xml:space="preserve">6 </w:t>
      </w:r>
      <w:r w:rsidR="00617599" w:rsidRPr="00DF1BF2">
        <w:rPr>
          <w:b/>
          <w:sz w:val="28"/>
          <w:szCs w:val="28"/>
        </w:rPr>
        <w:t>– Dépôt et publicité</w:t>
      </w:r>
    </w:p>
    <w:p w14:paraId="58AC01D0" w14:textId="77777777" w:rsidP="009B3DE6" w:rsidR="009B3DE6" w:rsidRDefault="009B3DE6" w:rsidRPr="009B3DE6">
      <w:pPr>
        <w:spacing w:after="0" w:line="240" w:lineRule="auto"/>
        <w:jc w:val="both"/>
        <w:rPr>
          <w:rFonts w:ascii="Calibri" w:cs="Calibri" w:hAnsi="Calibri"/>
        </w:rPr>
      </w:pPr>
      <w:r w:rsidRPr="009B3DE6">
        <w:rPr>
          <w:rFonts w:ascii="Calibri" w:cs="Calibri" w:hAnsi="Calibri"/>
        </w:rPr>
        <w:t>Le présent accord sera déposé sur la plateforme de téléprocédure du ministère du travail. Le dépôt de l’accord est accompagné de la version de l’accord signée des parties et d’une copie du courrier électronique ou du récépissé ou de l’avis de réception daté, de la notification du texte à l’ensemble des organisations représentatives dans l’entreprise à l’issue de la procédure de signature.</w:t>
      </w:r>
    </w:p>
    <w:p w14:paraId="59CE5D3B" w14:textId="77777777" w:rsidP="009B3DE6" w:rsidR="009B3DE6" w:rsidRDefault="009B3DE6" w:rsidRPr="009B3DE6">
      <w:pPr>
        <w:spacing w:after="0" w:line="240" w:lineRule="auto"/>
        <w:jc w:val="both"/>
        <w:rPr>
          <w:rFonts w:ascii="Calibri" w:cs="Calibri" w:hAnsi="Calibri"/>
        </w:rPr>
      </w:pPr>
    </w:p>
    <w:p w14:paraId="5CDB8403" w14:textId="77777777" w:rsidP="009B3DE6" w:rsidR="009B3DE6" w:rsidRDefault="009B3DE6" w:rsidRPr="009B3DE6">
      <w:pPr>
        <w:spacing w:after="0" w:line="240" w:lineRule="auto"/>
        <w:jc w:val="both"/>
        <w:rPr>
          <w:rFonts w:ascii="Calibri" w:cs="Calibri" w:hAnsi="Calibri"/>
        </w:rPr>
      </w:pPr>
      <w:r w:rsidRPr="009B3DE6">
        <w:rPr>
          <w:rFonts w:ascii="Calibri" w:cs="Calibri" w:hAnsi="Calibri"/>
        </w:rPr>
        <w:t>Un exemplaire original de l’accord sera également remis au</w:t>
      </w:r>
      <w:r w:rsidR="00602D96">
        <w:rPr>
          <w:rFonts w:ascii="Calibri" w:cs="Calibri" w:hAnsi="Calibri"/>
        </w:rPr>
        <w:t xml:space="preserve"> s</w:t>
      </w:r>
      <w:r w:rsidRPr="009B3DE6">
        <w:rPr>
          <w:rFonts w:ascii="Calibri" w:cs="Calibri" w:hAnsi="Calibri"/>
        </w:rPr>
        <w:t>ecrétariat-greffe du conseil des prud’hommes compétent.</w:t>
      </w:r>
    </w:p>
    <w:p w14:paraId="6C645049" w14:textId="77777777" w:rsidP="009B3DE6" w:rsidR="009B3DE6" w:rsidRDefault="009B3DE6" w:rsidRPr="009B3DE6">
      <w:pPr>
        <w:spacing w:after="0" w:line="240" w:lineRule="auto"/>
        <w:jc w:val="both"/>
        <w:rPr>
          <w:rFonts w:ascii="Calibri" w:cs="Calibri" w:hAnsi="Calibri"/>
        </w:rPr>
      </w:pPr>
    </w:p>
    <w:p w14:paraId="5F69019F" w14:textId="77777777" w:rsidP="009B3DE6" w:rsidR="009B3DE6" w:rsidRDefault="009B3DE6" w:rsidRPr="009B3DE6">
      <w:pPr>
        <w:spacing w:after="0" w:line="240" w:lineRule="auto"/>
        <w:jc w:val="both"/>
        <w:rPr>
          <w:rFonts w:ascii="Calibri" w:cs="Calibri" w:hAnsi="Calibri"/>
        </w:rPr>
      </w:pPr>
      <w:r w:rsidRPr="009B3DE6">
        <w:rPr>
          <w:rFonts w:ascii="Calibri" w:cs="Calibri" w:hAnsi="Calibri"/>
        </w:rPr>
        <w:t>Enfin, un exemplaire du présent accord sera adressé par mail à secretariatcppni@ccn-betic.fr.</w:t>
      </w:r>
    </w:p>
    <w:p w14:paraId="5A700967" w14:textId="77777777" w:rsidP="009B3DE6" w:rsidR="009B3DE6" w:rsidRDefault="009B3DE6" w:rsidRPr="009B3DE6">
      <w:pPr>
        <w:spacing w:after="0" w:line="240" w:lineRule="auto"/>
        <w:jc w:val="both"/>
        <w:rPr>
          <w:rFonts w:ascii="Calibri" w:cs="Calibri" w:hAnsi="Calibri"/>
        </w:rPr>
      </w:pPr>
    </w:p>
    <w:p w14:paraId="172589B0" w14:textId="77777777" w:rsidP="009B3DE6" w:rsidR="009B3DE6" w:rsidRDefault="009B3DE6" w:rsidRPr="009B3DE6">
      <w:pPr>
        <w:spacing w:after="0" w:line="240" w:lineRule="auto"/>
        <w:jc w:val="both"/>
        <w:rPr>
          <w:rFonts w:ascii="Calibri" w:cs="Calibri" w:hAnsi="Calibri"/>
        </w:rPr>
      </w:pPr>
      <w:r w:rsidRPr="009B3DE6">
        <w:rPr>
          <w:rFonts w:ascii="Calibri" w:cs="Calibri" w:hAnsi="Calibri"/>
        </w:rPr>
        <w:t>Les formalités de dépôt seront accomplies par l’employeur.</w:t>
      </w:r>
    </w:p>
    <w:p w14:paraId="161FF38A" w14:textId="77777777" w:rsidP="009B3DE6" w:rsidR="009B3DE6" w:rsidRDefault="009B3DE6" w:rsidRPr="009B3DE6">
      <w:pPr>
        <w:spacing w:after="0" w:line="240" w:lineRule="auto"/>
        <w:jc w:val="both"/>
        <w:rPr>
          <w:rFonts w:ascii="Calibri" w:cs="Calibri" w:hAnsi="Calibri"/>
        </w:rPr>
      </w:pPr>
    </w:p>
    <w:p w14:paraId="62CEBD5D" w14:textId="77777777" w:rsidP="009B3DE6" w:rsidR="009B3DE6" w:rsidRDefault="009B3DE6" w:rsidRPr="009B3DE6">
      <w:pPr>
        <w:spacing w:after="0" w:line="240" w:lineRule="auto"/>
        <w:jc w:val="both"/>
        <w:rPr>
          <w:rFonts w:ascii="Calibri" w:cs="Calibri" w:hAnsi="Calibri"/>
        </w:rPr>
      </w:pPr>
      <w:r w:rsidRPr="009B3DE6">
        <w:rPr>
          <w:rFonts w:ascii="Calibri" w:cs="Calibri" w:hAnsi="Calibri"/>
        </w:rPr>
        <w:t>Les parties décident que la publication en dehors de l’UES Viveris sera anonymisée (signataires et négociateurs).</w:t>
      </w:r>
    </w:p>
    <w:p w14:paraId="30437686" w14:textId="77777777" w:rsidP="009B3DE6" w:rsidR="004A5275" w:rsidRDefault="004A5275" w:rsidRPr="009B3DE6">
      <w:pPr>
        <w:spacing w:after="0" w:line="240" w:lineRule="auto"/>
        <w:jc w:val="both"/>
        <w:rPr>
          <w:rFonts w:ascii="Calibri" w:cs="Calibri" w:hAnsi="Calibri"/>
        </w:rPr>
      </w:pPr>
    </w:p>
    <w:p w14:paraId="2726AF13" w14:textId="77777777" w:rsidP="000F40AE" w:rsidR="004A5275" w:rsidRDefault="006D3CD8">
      <w:pPr>
        <w:jc w:val="both"/>
      </w:pPr>
      <w:r w:rsidRPr="000F40AE">
        <w:t xml:space="preserve">Une copie sera mise à disposition du personnel dans chacun des établissements et une note d’information sur l’intitulé de l’accord et </w:t>
      </w:r>
      <w:r w:rsidR="00DE3D53" w:rsidRPr="000F40AE">
        <w:t xml:space="preserve">les modalités de </w:t>
      </w:r>
      <w:r w:rsidRPr="000F40AE">
        <w:t xml:space="preserve">sa mise à disposition </w:t>
      </w:r>
      <w:r w:rsidR="00622432" w:rsidRPr="000F40AE">
        <w:t xml:space="preserve">auprès </w:t>
      </w:r>
      <w:r w:rsidRPr="000F40AE">
        <w:t>des salariés sera affichée sur les panneaux de chaque établissement.</w:t>
      </w:r>
    </w:p>
    <w:p w14:paraId="26B7D161" w14:textId="77777777" w:rsidP="00841015" w:rsidR="005E525A" w:rsidRDefault="005E525A">
      <w:pPr>
        <w:jc w:val="both"/>
      </w:pPr>
    </w:p>
    <w:p w14:paraId="1E6BC345" w14:textId="533318C8" w:rsidP="00841015" w:rsidR="00602D96" w:rsidRDefault="00E71A37" w:rsidRPr="00841015">
      <w:pPr>
        <w:jc w:val="both"/>
      </w:pPr>
      <w:r w:rsidRPr="000F40AE">
        <w:t>Fait à Boulogne</w:t>
      </w:r>
      <w:r w:rsidR="006826D9" w:rsidRPr="000F40AE">
        <w:t>-Billancourt</w:t>
      </w:r>
      <w:r w:rsidRPr="000F40AE">
        <w:t xml:space="preserve">, en </w:t>
      </w:r>
      <w:r w:rsidR="00FB7271">
        <w:t>cinq</w:t>
      </w:r>
      <w:r w:rsidR="00DC6999" w:rsidRPr="000F40AE">
        <w:t xml:space="preserve"> </w:t>
      </w:r>
      <w:r w:rsidRPr="000F40AE">
        <w:t xml:space="preserve">exemplaires, le </w:t>
      </w:r>
      <w:r w:rsidR="00F338D8">
        <w:t>1</w:t>
      </w:r>
      <w:r w:rsidR="005E525A">
        <w:t>4</w:t>
      </w:r>
      <w:r w:rsidR="00FB7271">
        <w:t xml:space="preserve"> décembre</w:t>
      </w:r>
      <w:r w:rsidR="002F086B" w:rsidRPr="000F40AE">
        <w:t xml:space="preserve"> 20</w:t>
      </w:r>
      <w:r w:rsidR="007D1274">
        <w:t>2</w:t>
      </w:r>
      <w:r w:rsidR="005E525A">
        <w:t>2</w:t>
      </w:r>
      <w:r w:rsidR="007D1274">
        <w:t>.</w:t>
      </w:r>
    </w:p>
    <w:p w14:paraId="5E0E9DA3" w14:textId="77777777" w:rsidP="000F40AE" w:rsidR="00841015" w:rsidRDefault="00841015">
      <w:pPr>
        <w:spacing w:after="0"/>
        <w:jc w:val="both"/>
        <w:rPr>
          <w:b/>
        </w:rPr>
      </w:pPr>
    </w:p>
    <w:p w14:paraId="47800F82" w14:textId="77777777" w:rsidP="000F40AE" w:rsidR="00841015" w:rsidRDefault="00841015">
      <w:pPr>
        <w:spacing w:after="0"/>
        <w:jc w:val="both"/>
        <w:rPr>
          <w:b/>
        </w:rPr>
      </w:pPr>
    </w:p>
    <w:p w14:paraId="272F0283" w14:textId="71C25692" w:rsidP="000F40AE" w:rsidR="00E71A37" w:rsidRDefault="00E71A37" w:rsidRPr="000F40AE">
      <w:pPr>
        <w:spacing w:after="0"/>
        <w:jc w:val="both"/>
        <w:rPr>
          <w:b/>
        </w:rPr>
      </w:pPr>
      <w:r w:rsidRPr="000F40AE">
        <w:rPr>
          <w:b/>
        </w:rPr>
        <w:t xml:space="preserve">Pour </w:t>
      </w:r>
      <w:r w:rsidR="000F40AE" w:rsidRPr="000F40AE">
        <w:rPr>
          <w:b/>
        </w:rPr>
        <w:t xml:space="preserve">l'UES </w:t>
      </w:r>
      <w:r w:rsidRPr="000F40AE">
        <w:rPr>
          <w:b/>
        </w:rPr>
        <w:t>VIVERIS</w:t>
      </w:r>
    </w:p>
    <w:p w14:paraId="51802A44" w14:textId="6CE9947C" w:rsidP="000F40AE" w:rsidR="00E71A37" w:rsidRDefault="00DC101F" w:rsidRPr="000F40AE">
      <w:pPr>
        <w:spacing w:after="0"/>
        <w:jc w:val="both"/>
      </w:pPr>
      <w:r>
        <w:t>XXXX</w:t>
      </w:r>
    </w:p>
    <w:p w14:paraId="3CE241E7" w14:textId="026CC526" w:rsidP="00D276D4" w:rsidR="00D276D4" w:rsidRDefault="00841015">
      <w:pPr>
        <w:spacing w:after="0"/>
        <w:jc w:val="both"/>
      </w:pPr>
      <w:r>
        <w:t xml:space="preserve">Président </w:t>
      </w:r>
      <w:r w:rsidR="00D276D4">
        <w:t>Directeur Général de Viveris</w:t>
      </w:r>
    </w:p>
    <w:p w14:paraId="4F071488" w14:textId="77777777" w:rsidP="000F40AE" w:rsidR="00DC0FC6" w:rsidRDefault="00DC0FC6">
      <w:pPr>
        <w:spacing w:after="0"/>
        <w:jc w:val="both"/>
        <w:rPr>
          <w:b/>
        </w:rPr>
      </w:pPr>
    </w:p>
    <w:p w14:paraId="5DAB8889" w14:textId="0D19C917" w:rsidP="000F40AE" w:rsidR="00DC0FC6" w:rsidRDefault="00DC0FC6">
      <w:pPr>
        <w:spacing w:after="0"/>
        <w:jc w:val="both"/>
        <w:rPr>
          <w:b/>
        </w:rPr>
      </w:pPr>
    </w:p>
    <w:p w14:paraId="5F056041" w14:textId="77777777" w:rsidP="000F40AE" w:rsidR="00841015" w:rsidRDefault="00841015">
      <w:pPr>
        <w:spacing w:after="0"/>
        <w:jc w:val="both"/>
        <w:rPr>
          <w:b/>
        </w:rPr>
      </w:pPr>
    </w:p>
    <w:p w14:paraId="18A1D586" w14:textId="2AAD8CF5" w:rsidP="000F40AE" w:rsidR="00E71A37" w:rsidRDefault="00FB7271" w:rsidRPr="000F40AE">
      <w:pPr>
        <w:spacing w:after="0"/>
        <w:jc w:val="both"/>
        <w:rPr>
          <w:b/>
        </w:rPr>
      </w:pPr>
      <w:r>
        <w:rPr>
          <w:b/>
        </w:rPr>
        <w:t>P</w:t>
      </w:r>
      <w:r w:rsidR="00E71A37" w:rsidRPr="000F40AE">
        <w:rPr>
          <w:b/>
        </w:rPr>
        <w:t>our SPECIS</w:t>
      </w:r>
      <w:r w:rsidR="00F465FF" w:rsidRPr="000F40AE">
        <w:rPr>
          <w:b/>
        </w:rPr>
        <w:t>-UNSA</w:t>
      </w:r>
    </w:p>
    <w:p w14:paraId="138942C9" w14:textId="44D515B2" w:rsidP="001E0CE7" w:rsidR="00CE3C37" w:rsidRDefault="00DC101F">
      <w:pPr>
        <w:spacing w:after="0"/>
        <w:jc w:val="both"/>
      </w:pPr>
      <w:r>
        <w:t>XXXXX</w:t>
      </w:r>
    </w:p>
    <w:p w14:paraId="13D3C8FA" w14:textId="77777777" w:rsidP="001E0CE7" w:rsidR="00FB7271" w:rsidRDefault="00FB7271">
      <w:pPr>
        <w:spacing w:after="0"/>
        <w:jc w:val="both"/>
      </w:pPr>
      <w:r>
        <w:t>Délégué syndical</w:t>
      </w:r>
    </w:p>
    <w:p w14:paraId="3ED1DBE3" w14:textId="77777777" w:rsidP="001E0CE7" w:rsidR="00BB5E54" w:rsidRDefault="00BB5E54">
      <w:pPr>
        <w:spacing w:after="0"/>
        <w:jc w:val="both"/>
      </w:pPr>
    </w:p>
    <w:p w14:paraId="13ED6EBB" w14:textId="77777777" w:rsidP="001E0CE7" w:rsidR="00BB5E54" w:rsidRDefault="00BB5E54">
      <w:pPr>
        <w:spacing w:after="0"/>
        <w:jc w:val="both"/>
      </w:pPr>
    </w:p>
    <w:p w14:paraId="16BDB88E" w14:textId="77777777" w:rsidP="001E0CE7" w:rsidR="00BB5E54" w:rsidRDefault="00BB5E54">
      <w:pPr>
        <w:spacing w:after="0"/>
        <w:jc w:val="both"/>
      </w:pPr>
    </w:p>
    <w:p w14:paraId="075DD10B" w14:textId="77777777" w:rsidP="001E0CE7" w:rsidR="00BB5E54" w:rsidRDefault="00BB5E54">
      <w:pPr>
        <w:spacing w:after="0"/>
        <w:jc w:val="both"/>
      </w:pPr>
    </w:p>
    <w:p w14:paraId="352941FA" w14:textId="77777777" w:rsidP="001E0CE7" w:rsidR="00BB5E54" w:rsidRDefault="00BB5E54">
      <w:pPr>
        <w:spacing w:after="0"/>
        <w:jc w:val="both"/>
      </w:pPr>
    </w:p>
    <w:p w14:paraId="0AD4E964" w14:textId="77777777" w:rsidP="001E0CE7" w:rsidR="00BB5E54" w:rsidRDefault="00BB5E54">
      <w:pPr>
        <w:spacing w:after="0"/>
        <w:jc w:val="both"/>
      </w:pPr>
    </w:p>
    <w:p w14:paraId="250A6571" w14:textId="77777777" w:rsidP="001E0CE7" w:rsidR="00BB5E54" w:rsidRDefault="00BB5E54">
      <w:pPr>
        <w:spacing w:after="0"/>
        <w:jc w:val="both"/>
      </w:pPr>
    </w:p>
    <w:p w14:paraId="1AE257CD" w14:textId="77777777" w:rsidP="001E0CE7" w:rsidR="00BB5E54" w:rsidRDefault="00BB5E54">
      <w:pPr>
        <w:spacing w:after="0"/>
        <w:jc w:val="both"/>
      </w:pPr>
    </w:p>
    <w:p w14:paraId="784F0C57" w14:textId="77777777" w:rsidP="001E0CE7" w:rsidR="00BB5E54" w:rsidRDefault="00BB5E54">
      <w:pPr>
        <w:spacing w:after="0"/>
        <w:jc w:val="both"/>
      </w:pPr>
    </w:p>
    <w:p w14:paraId="0B9960A4" w14:textId="77777777" w:rsidP="001E0CE7" w:rsidR="00BB5E54" w:rsidRDefault="00BB5E54">
      <w:pPr>
        <w:spacing w:after="0"/>
        <w:jc w:val="both"/>
      </w:pPr>
    </w:p>
    <w:p w14:paraId="161D30F3" w14:textId="77777777" w:rsidP="001E0CE7" w:rsidR="00BB5E54" w:rsidRDefault="00BB5E54">
      <w:pPr>
        <w:spacing w:after="0"/>
        <w:jc w:val="both"/>
      </w:pPr>
    </w:p>
    <w:p w14:paraId="78EB84AF" w14:textId="77777777" w:rsidP="001E0CE7" w:rsidR="00BB5E54" w:rsidRDefault="00BB5E54">
      <w:pPr>
        <w:spacing w:after="0"/>
        <w:jc w:val="both"/>
      </w:pPr>
    </w:p>
    <w:p w14:paraId="7E4E266E" w14:textId="77777777" w:rsidP="001E0CE7" w:rsidR="00BB5E54" w:rsidRDefault="00BB5E54">
      <w:pPr>
        <w:spacing w:after="0"/>
        <w:jc w:val="both"/>
      </w:pPr>
    </w:p>
    <w:p w14:paraId="172549B7" w14:textId="77777777" w:rsidP="001E0CE7" w:rsidR="00BB5E54" w:rsidRDefault="00BB5E54">
      <w:pPr>
        <w:spacing w:after="0"/>
        <w:jc w:val="both"/>
      </w:pPr>
    </w:p>
    <w:p w14:paraId="0C89BFC9" w14:textId="77777777" w:rsidP="001E0CE7" w:rsidR="00BB5E54" w:rsidRDefault="00BB5E54">
      <w:pPr>
        <w:spacing w:after="0"/>
        <w:jc w:val="both"/>
      </w:pPr>
    </w:p>
    <w:p w14:paraId="1B8F2E61" w14:textId="77777777" w:rsidP="001E0CE7" w:rsidR="00BB5E54" w:rsidRDefault="00BB5E54">
      <w:pPr>
        <w:spacing w:after="0"/>
        <w:jc w:val="both"/>
      </w:pPr>
    </w:p>
    <w:p w14:paraId="5EF30718" w14:textId="4B689CAD" w:rsidP="00BB5E54" w:rsidR="00BB5E54" w:rsidRDefault="00BB5E54">
      <w:pPr>
        <w:spacing w:after="0"/>
        <w:jc w:val="center"/>
        <w:rPr>
          <w:sz w:val="144"/>
          <w:szCs w:val="144"/>
        </w:rPr>
      </w:pPr>
      <w:r w:rsidRPr="00BB5E54">
        <w:rPr>
          <w:sz w:val="144"/>
          <w:szCs w:val="144"/>
        </w:rPr>
        <w:t>ANNEXES</w:t>
      </w:r>
    </w:p>
    <w:p w14:paraId="074F6E0B" w14:textId="77777777" w:rsidP="007C7CFC" w:rsidR="007C7CFC" w:rsidRDefault="007C7CFC">
      <w:pPr>
        <w:spacing w:after="0"/>
        <w:rPr>
          <w:sz w:val="144"/>
          <w:szCs w:val="144"/>
        </w:rPr>
      </w:pPr>
    </w:p>
    <w:p w14:paraId="56943B98" w14:textId="423B2A22" w:rsidP="005E525A" w:rsidR="005E525A" w:rsidRDefault="005E525A">
      <w:pPr>
        <w:pStyle w:val="Paragraphedeliste"/>
        <w:numPr>
          <w:ilvl w:val="0"/>
          <w:numId w:val="12"/>
        </w:numPr>
        <w:jc w:val="both"/>
        <w:rPr>
          <w:sz w:val="24"/>
          <w:szCs w:val="24"/>
        </w:rPr>
      </w:pPr>
      <w:r>
        <w:rPr>
          <w:sz w:val="24"/>
          <w:szCs w:val="24"/>
        </w:rPr>
        <w:t>Accord d’entreprise relatif au rachat des temps employeur pour les modalités « réalisation de mission »</w:t>
      </w:r>
    </w:p>
    <w:p w14:paraId="72CC2D12" w14:textId="77777777" w:rsidP="005E525A" w:rsidR="005E525A" w:rsidRDefault="005E525A">
      <w:pPr>
        <w:pStyle w:val="Paragraphedeliste"/>
        <w:jc w:val="both"/>
        <w:rPr>
          <w:sz w:val="24"/>
          <w:szCs w:val="24"/>
        </w:rPr>
      </w:pPr>
    </w:p>
    <w:p w14:paraId="31411F8A" w14:textId="2FE08B44" w:rsidP="005E525A" w:rsidR="005E525A" w:rsidRDefault="005E525A">
      <w:pPr>
        <w:pStyle w:val="Paragraphedeliste"/>
        <w:numPr>
          <w:ilvl w:val="0"/>
          <w:numId w:val="12"/>
        </w:numPr>
        <w:jc w:val="both"/>
        <w:rPr>
          <w:sz w:val="24"/>
          <w:szCs w:val="24"/>
        </w:rPr>
      </w:pPr>
      <w:r>
        <w:rPr>
          <w:sz w:val="24"/>
          <w:szCs w:val="24"/>
        </w:rPr>
        <w:t>Accord de participation de l’UES Viveris,</w:t>
      </w:r>
    </w:p>
    <w:p w14:paraId="56B71513" w14:textId="77777777" w:rsidP="005E525A" w:rsidR="005E525A" w:rsidRDefault="005E525A" w:rsidRPr="005E525A">
      <w:pPr>
        <w:pStyle w:val="Paragraphedeliste"/>
        <w:jc w:val="both"/>
        <w:rPr>
          <w:sz w:val="24"/>
          <w:szCs w:val="24"/>
        </w:rPr>
      </w:pPr>
    </w:p>
    <w:p w14:paraId="3B5F9D4C" w14:textId="5B6EBC50" w:rsidP="005E525A" w:rsidR="005E525A" w:rsidRDefault="005E525A" w:rsidRPr="005E525A">
      <w:pPr>
        <w:pStyle w:val="Paragraphedeliste"/>
        <w:numPr>
          <w:ilvl w:val="0"/>
          <w:numId w:val="12"/>
        </w:numPr>
        <w:jc w:val="both"/>
        <w:rPr>
          <w:sz w:val="24"/>
          <w:szCs w:val="24"/>
        </w:rPr>
      </w:pPr>
      <w:r w:rsidRPr="007C7CFC">
        <w:rPr>
          <w:sz w:val="24"/>
          <w:szCs w:val="24"/>
        </w:rPr>
        <w:t>Accord relatif à l’égalité hommes/femmes de la société Viveris Technologies,</w:t>
      </w:r>
    </w:p>
    <w:p w14:paraId="53AD3724" w14:textId="77777777" w:rsidP="007C7CFC" w:rsidR="007C7CFC" w:rsidRDefault="007C7CFC" w:rsidRPr="007C7CFC">
      <w:pPr>
        <w:pStyle w:val="Paragraphedeliste"/>
        <w:spacing w:after="0"/>
        <w:rPr>
          <w:sz w:val="24"/>
          <w:szCs w:val="24"/>
        </w:rPr>
      </w:pPr>
    </w:p>
    <w:p w14:paraId="2353E45B" w14:textId="58E13B4F" w:rsidP="007C7CFC" w:rsidR="007C7CFC" w:rsidRDefault="007C7CFC" w:rsidRPr="007C7CFC">
      <w:pPr>
        <w:pStyle w:val="Paragraphedeliste"/>
        <w:numPr>
          <w:ilvl w:val="0"/>
          <w:numId w:val="12"/>
        </w:numPr>
        <w:spacing w:after="0"/>
        <w:rPr>
          <w:sz w:val="24"/>
          <w:szCs w:val="24"/>
        </w:rPr>
      </w:pPr>
      <w:r w:rsidRPr="007C7CFC">
        <w:rPr>
          <w:sz w:val="24"/>
          <w:szCs w:val="24"/>
        </w:rPr>
        <w:t>Accord relatif à l’égalité hommes/femmes de la société Viveris Systèmes,</w:t>
      </w:r>
    </w:p>
    <w:p w14:paraId="6E043CB8" w14:textId="77777777" w:rsidP="007C7CFC" w:rsidR="007C7CFC" w:rsidRDefault="007C7CFC">
      <w:pPr>
        <w:spacing w:after="0"/>
        <w:rPr>
          <w:sz w:val="24"/>
          <w:szCs w:val="24"/>
        </w:rPr>
      </w:pPr>
    </w:p>
    <w:p w14:paraId="0182BC2E" w14:textId="477EE7FE" w:rsidP="007C7CFC" w:rsidR="007C7CFC" w:rsidRDefault="007C7CFC">
      <w:pPr>
        <w:pStyle w:val="Paragraphedeliste"/>
        <w:numPr>
          <w:ilvl w:val="0"/>
          <w:numId w:val="12"/>
        </w:numPr>
        <w:spacing w:after="0"/>
        <w:rPr>
          <w:sz w:val="24"/>
          <w:szCs w:val="24"/>
        </w:rPr>
      </w:pPr>
      <w:r w:rsidRPr="007C7CFC">
        <w:rPr>
          <w:sz w:val="24"/>
          <w:szCs w:val="24"/>
        </w:rPr>
        <w:t>Accord relatif à l’égalité hommes/femmes de la société Viveris Intégration.</w:t>
      </w:r>
    </w:p>
    <w:p w14:paraId="5DF1A364" w14:textId="77777777" w:rsidP="007C7CFC" w:rsidR="007C7CFC" w:rsidRDefault="007C7CFC">
      <w:pPr>
        <w:spacing w:after="0"/>
        <w:rPr>
          <w:sz w:val="24"/>
          <w:szCs w:val="24"/>
        </w:rPr>
      </w:pPr>
    </w:p>
    <w:p w14:paraId="4B6DC6BC" w14:textId="51221386" w:rsidP="007C7CFC" w:rsidR="007C7CFC" w:rsidRDefault="007C7CFC" w:rsidRPr="007C7CFC">
      <w:pPr>
        <w:spacing w:after="0"/>
        <w:rPr>
          <w:sz w:val="24"/>
          <w:szCs w:val="24"/>
        </w:rPr>
      </w:pPr>
    </w:p>
    <w:sectPr w:rsidR="007C7CFC" w:rsidRPr="007C7CFC" w:rsidSect="000C2FE9">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6E12" w14:textId="77777777" w:rsidR="00396F05" w:rsidRDefault="00396F05" w:rsidP="000D49C3">
      <w:pPr>
        <w:spacing w:after="0" w:line="240" w:lineRule="auto"/>
      </w:pPr>
      <w:r>
        <w:separator/>
      </w:r>
    </w:p>
  </w:endnote>
  <w:endnote w:type="continuationSeparator" w:id="0">
    <w:p w14:paraId="35CE3DF7" w14:textId="77777777" w:rsidR="00396F05" w:rsidRDefault="00396F05" w:rsidP="000D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458830204"/>
      <w:docPartObj>
        <w:docPartGallery w:val="Page Numbers (Bottom of Page)"/>
        <w:docPartUnique/>
      </w:docPartObj>
    </w:sdtPr>
    <w:sdtEndPr/>
    <w:sdtContent>
      <w:p w14:paraId="1A81C158" w14:textId="765FB7DE" w:rsidR="00336757" w:rsidRDefault="00743617">
        <w:pPr>
          <w:pStyle w:val="Pieddepage"/>
          <w:jc w:val="right"/>
        </w:pPr>
        <w:r>
          <w:rPr>
            <w:noProof/>
          </w:rPr>
          <w:fldChar w:fldCharType="begin"/>
        </w:r>
        <w:r>
          <w:rPr>
            <w:noProof/>
          </w:rPr>
          <w:instrText xml:space="preserve"> PAGE   \* MERGEFORMAT </w:instrText>
        </w:r>
        <w:r>
          <w:rPr>
            <w:noProof/>
          </w:rPr>
          <w:fldChar w:fldCharType="separate"/>
        </w:r>
        <w:r w:rsidR="00A44641">
          <w:rPr>
            <w:noProof/>
          </w:rPr>
          <w:t>5</w:t>
        </w:r>
        <w:r>
          <w:rPr>
            <w:noProof/>
          </w:rPr>
          <w:fldChar w:fldCharType="end"/>
        </w:r>
        <w:r w:rsidR="00A44641">
          <w:t>/</w:t>
        </w:r>
        <w:r w:rsidR="005E525A">
          <w:t>6</w:t>
        </w:r>
      </w:p>
    </w:sdtContent>
  </w:sdt>
  <w:p w14:paraId="7EE31E90" w14:textId="77777777" w:rsidR="00336757" w:rsidRDefault="0033675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FD4EA3F" w14:textId="77777777" w:rsidP="000D49C3" w:rsidR="00396F05" w:rsidRDefault="00396F05">
      <w:pPr>
        <w:spacing w:after="0" w:line="240" w:lineRule="auto"/>
      </w:pPr>
      <w:r>
        <w:separator/>
      </w:r>
    </w:p>
  </w:footnote>
  <w:footnote w:id="0" w:type="continuationSeparator">
    <w:p w14:paraId="46538B6E" w14:textId="77777777" w:rsidP="000D49C3" w:rsidR="00396F05" w:rsidRDefault="00396F0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FA1CCF"/>
    <w:multiLevelType w:val="hybridMultilevel"/>
    <w:tmpl w:val="AFD4DD9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CB211E9"/>
    <w:multiLevelType w:val="hybridMultilevel"/>
    <w:tmpl w:val="7B3643E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26A78F3"/>
    <w:multiLevelType w:val="hybridMultilevel"/>
    <w:tmpl w:val="894A6B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6B76D0B"/>
    <w:multiLevelType w:val="hybridMultilevel"/>
    <w:tmpl w:val="3B7C779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B1A2FF7"/>
    <w:multiLevelType w:val="hybridMultilevel"/>
    <w:tmpl w:val="D9BA4566"/>
    <w:lvl w:ilvl="0" w:tplc="D7A4534C">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54C1453B"/>
    <w:multiLevelType w:val="hybridMultilevel"/>
    <w:tmpl w:val="6AFA5A7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4F76214"/>
    <w:multiLevelType w:val="hybridMultilevel"/>
    <w:tmpl w:val="AE744BF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68D2BC3"/>
    <w:multiLevelType w:val="hybridMultilevel"/>
    <w:tmpl w:val="2D3C9FC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58F871A4"/>
    <w:multiLevelType w:val="hybridMultilevel"/>
    <w:tmpl w:val="647A08C0"/>
    <w:lvl w:ilvl="0" w:tplc="13201740">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59793665"/>
    <w:multiLevelType w:val="hybridMultilevel"/>
    <w:tmpl w:val="6CE0644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A403774"/>
    <w:multiLevelType w:val="hybridMultilevel"/>
    <w:tmpl w:val="8D824AF2"/>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11">
    <w:nsid w:val="7C3302AC"/>
    <w:multiLevelType w:val="hybridMultilevel"/>
    <w:tmpl w:val="487AE2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7E6F3724"/>
    <w:multiLevelType w:val="multilevel"/>
    <w:tmpl w:val="C2665E46"/>
    <w:lvl w:ilvl="0">
      <w:start w:val="1"/>
      <w:numFmt w:val="decimal"/>
      <w:pStyle w:val="Titre1"/>
      <w:lvlText w:val="%1."/>
      <w:lvlJc w:val="left"/>
      <w:pPr>
        <w:tabs>
          <w:tab w:pos="0" w:val="num"/>
        </w:tabs>
        <w:ind w:firstLine="0" w:left="0"/>
      </w:pPr>
      <w:rPr>
        <w:rFonts w:ascii="Arial" w:hAnsi="Arial" w:hint="default"/>
        <w:b/>
        <w:i w:val="0"/>
        <w:sz w:val="28"/>
        <w:szCs w:val="28"/>
      </w:rPr>
    </w:lvl>
    <w:lvl w:ilvl="1">
      <w:start w:val="1"/>
      <w:numFmt w:val="decimal"/>
      <w:pStyle w:val="Titre2"/>
      <w:lvlText w:val="%1.%2"/>
      <w:lvlJc w:val="left"/>
      <w:pPr>
        <w:tabs>
          <w:tab w:pos="0" w:val="num"/>
        </w:tabs>
        <w:ind w:firstLine="0" w:left="0"/>
      </w:pPr>
      <w:rPr>
        <w:rFonts w:hint="default"/>
      </w:rPr>
    </w:lvl>
    <w:lvl w:ilvl="2">
      <w:start w:val="1"/>
      <w:numFmt w:val="decimal"/>
      <w:pStyle w:val="Titre3"/>
      <w:lvlText w:val="%1.%2.%3"/>
      <w:lvlJc w:val="left"/>
      <w:pPr>
        <w:tabs>
          <w:tab w:pos="0" w:val="num"/>
        </w:tabs>
        <w:ind w:firstLine="0" w:left="0"/>
      </w:pPr>
      <w:rPr>
        <w:rFonts w:hint="default"/>
      </w:rPr>
    </w:lvl>
    <w:lvl w:ilvl="3">
      <w:start w:val="1"/>
      <w:numFmt w:val="decimal"/>
      <w:pStyle w:val="Titre4"/>
      <w:lvlText w:val="%1.%2.%3.%4"/>
      <w:lvlJc w:val="left"/>
      <w:pPr>
        <w:tabs>
          <w:tab w:pos="0" w:val="num"/>
        </w:tabs>
        <w:ind w:firstLine="0" w:left="0"/>
      </w:pPr>
      <w:rPr>
        <w:rFonts w:hint="default"/>
      </w:rPr>
    </w:lvl>
    <w:lvl w:ilvl="4">
      <w:start w:val="1"/>
      <w:numFmt w:val="decimal"/>
      <w:pStyle w:val="Titre5"/>
      <w:lvlText w:val="%1.%2.%3.%4.%5"/>
      <w:lvlJc w:val="left"/>
      <w:pPr>
        <w:tabs>
          <w:tab w:pos="0" w:val="num"/>
        </w:tabs>
        <w:ind w:firstLine="0" w:left="0"/>
      </w:pPr>
      <w:rPr>
        <w:rFonts w:hint="default"/>
      </w:rPr>
    </w:lvl>
    <w:lvl w:ilvl="5">
      <w:start w:val="1"/>
      <w:numFmt w:val="decimal"/>
      <w:pStyle w:val="Titre6"/>
      <w:lvlText w:val="%1.%2.%3.%4.%5.%6"/>
      <w:lvlJc w:val="left"/>
      <w:pPr>
        <w:tabs>
          <w:tab w:pos="0" w:val="num"/>
        </w:tabs>
        <w:ind w:firstLine="0" w:left="0"/>
      </w:pPr>
      <w:rPr>
        <w:rFonts w:hint="default"/>
      </w:rPr>
    </w:lvl>
    <w:lvl w:ilvl="6">
      <w:start w:val="1"/>
      <w:numFmt w:val="decimal"/>
      <w:pStyle w:val="Titre7"/>
      <w:lvlText w:val="%1.%2.%3.%4.%5.%6.%7"/>
      <w:lvlJc w:val="left"/>
      <w:pPr>
        <w:tabs>
          <w:tab w:pos="0" w:val="num"/>
        </w:tabs>
        <w:ind w:firstLine="0" w:left="0"/>
      </w:pPr>
      <w:rPr>
        <w:rFonts w:hint="default"/>
      </w:rPr>
    </w:lvl>
    <w:lvl w:ilvl="7">
      <w:start w:val="1"/>
      <w:numFmt w:val="decimal"/>
      <w:pStyle w:val="Titre8"/>
      <w:lvlText w:val="%1.%2.%3.%4.%5.%6.%7.%8"/>
      <w:lvlJc w:val="left"/>
      <w:pPr>
        <w:tabs>
          <w:tab w:pos="0" w:val="num"/>
        </w:tabs>
        <w:ind w:firstLine="0" w:left="0"/>
      </w:pPr>
      <w:rPr>
        <w:rFonts w:hint="default"/>
      </w:rPr>
    </w:lvl>
    <w:lvl w:ilvl="8">
      <w:start w:val="1"/>
      <w:numFmt w:val="decimal"/>
      <w:pStyle w:val="Titre9"/>
      <w:lvlText w:val="%1.%2.%3.%4.%5.%6.%7.%8.%9"/>
      <w:lvlJc w:val="left"/>
      <w:pPr>
        <w:tabs>
          <w:tab w:pos="0" w:val="num"/>
        </w:tabs>
        <w:ind w:firstLine="0" w:left="0"/>
      </w:pPr>
      <w:rPr>
        <w:rFonts w:hint="default"/>
      </w:rPr>
    </w:lvl>
  </w:abstractNum>
  <w:num w16cid:durableId="688486106" w:numId="1">
    <w:abstractNumId w:val="0"/>
  </w:num>
  <w:num w16cid:durableId="116264361" w:numId="2">
    <w:abstractNumId w:val="1"/>
  </w:num>
  <w:num w16cid:durableId="1070229167" w:numId="3">
    <w:abstractNumId w:val="7"/>
  </w:num>
  <w:num w16cid:durableId="2044820988" w:numId="4">
    <w:abstractNumId w:val="2"/>
  </w:num>
  <w:num w16cid:durableId="347292554" w:numId="5">
    <w:abstractNumId w:val="11"/>
  </w:num>
  <w:num w16cid:durableId="239994835" w:numId="6">
    <w:abstractNumId w:val="5"/>
  </w:num>
  <w:num w16cid:durableId="1531915779" w:numId="7">
    <w:abstractNumId w:val="12"/>
  </w:num>
  <w:num w16cid:durableId="1786805358" w:numId="8">
    <w:abstractNumId w:val="6"/>
  </w:num>
  <w:num w16cid:durableId="281351669" w:numId="9">
    <w:abstractNumId w:val="3"/>
  </w:num>
  <w:num w16cid:durableId="726804150" w:numId="10">
    <w:abstractNumId w:val="10"/>
  </w:num>
  <w:num w16cid:durableId="951940941" w:numId="11">
    <w:abstractNumId w:val="10"/>
  </w:num>
  <w:num w16cid:durableId="1216820871" w:numId="12">
    <w:abstractNumId w:val="9"/>
  </w:num>
  <w:num w16cid:durableId="129254898" w:numId="13">
    <w:abstractNumId w:val="4"/>
  </w:num>
  <w:num w16cid:durableId="1888376024" w:numId="14">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47"/>
    <w:rsid w:val="00010C56"/>
    <w:rsid w:val="0004566C"/>
    <w:rsid w:val="00054A02"/>
    <w:rsid w:val="000832E7"/>
    <w:rsid w:val="00097112"/>
    <w:rsid w:val="000A5114"/>
    <w:rsid w:val="000B6023"/>
    <w:rsid w:val="000C2FE9"/>
    <w:rsid w:val="000C53FC"/>
    <w:rsid w:val="000D2873"/>
    <w:rsid w:val="000D49C3"/>
    <w:rsid w:val="000E7828"/>
    <w:rsid w:val="000F40AE"/>
    <w:rsid w:val="00123018"/>
    <w:rsid w:val="00164238"/>
    <w:rsid w:val="00164F0A"/>
    <w:rsid w:val="00170818"/>
    <w:rsid w:val="001E0CE7"/>
    <w:rsid w:val="001E52BC"/>
    <w:rsid w:val="001E60D3"/>
    <w:rsid w:val="001F0133"/>
    <w:rsid w:val="001F5F87"/>
    <w:rsid w:val="00224A05"/>
    <w:rsid w:val="002356D9"/>
    <w:rsid w:val="00243002"/>
    <w:rsid w:val="00255DFE"/>
    <w:rsid w:val="002766C8"/>
    <w:rsid w:val="00280193"/>
    <w:rsid w:val="002832C2"/>
    <w:rsid w:val="002864B9"/>
    <w:rsid w:val="0029155E"/>
    <w:rsid w:val="00292BB6"/>
    <w:rsid w:val="002B0F33"/>
    <w:rsid w:val="002E184D"/>
    <w:rsid w:val="002F086B"/>
    <w:rsid w:val="002F3782"/>
    <w:rsid w:val="002F435C"/>
    <w:rsid w:val="00302E36"/>
    <w:rsid w:val="00324D71"/>
    <w:rsid w:val="00332152"/>
    <w:rsid w:val="00336757"/>
    <w:rsid w:val="003641AD"/>
    <w:rsid w:val="00365ED7"/>
    <w:rsid w:val="00384B2C"/>
    <w:rsid w:val="0038566A"/>
    <w:rsid w:val="00396F05"/>
    <w:rsid w:val="003C4C4A"/>
    <w:rsid w:val="003D543A"/>
    <w:rsid w:val="003F0E7D"/>
    <w:rsid w:val="0041635E"/>
    <w:rsid w:val="00433C4C"/>
    <w:rsid w:val="0047791F"/>
    <w:rsid w:val="00496973"/>
    <w:rsid w:val="004A5275"/>
    <w:rsid w:val="004B60AF"/>
    <w:rsid w:val="004F1F67"/>
    <w:rsid w:val="00524428"/>
    <w:rsid w:val="00554F7C"/>
    <w:rsid w:val="00590A97"/>
    <w:rsid w:val="005E525A"/>
    <w:rsid w:val="005F604D"/>
    <w:rsid w:val="00602CED"/>
    <w:rsid w:val="00602D96"/>
    <w:rsid w:val="00617599"/>
    <w:rsid w:val="00622432"/>
    <w:rsid w:val="006301CD"/>
    <w:rsid w:val="00637A23"/>
    <w:rsid w:val="00652C1F"/>
    <w:rsid w:val="006826D9"/>
    <w:rsid w:val="006C0800"/>
    <w:rsid w:val="006D3CD8"/>
    <w:rsid w:val="006E5B81"/>
    <w:rsid w:val="006F65D2"/>
    <w:rsid w:val="00707939"/>
    <w:rsid w:val="0073565E"/>
    <w:rsid w:val="00743617"/>
    <w:rsid w:val="007638E9"/>
    <w:rsid w:val="0079058E"/>
    <w:rsid w:val="007A3867"/>
    <w:rsid w:val="007C7CFC"/>
    <w:rsid w:val="007D1274"/>
    <w:rsid w:val="007D6315"/>
    <w:rsid w:val="00834C30"/>
    <w:rsid w:val="00841015"/>
    <w:rsid w:val="00852B09"/>
    <w:rsid w:val="00853708"/>
    <w:rsid w:val="008635E8"/>
    <w:rsid w:val="00866C50"/>
    <w:rsid w:val="00872872"/>
    <w:rsid w:val="008C5668"/>
    <w:rsid w:val="008C5ECC"/>
    <w:rsid w:val="008D5A85"/>
    <w:rsid w:val="008D6C90"/>
    <w:rsid w:val="008F00C7"/>
    <w:rsid w:val="00935DA5"/>
    <w:rsid w:val="009708FD"/>
    <w:rsid w:val="009710B9"/>
    <w:rsid w:val="00987FB7"/>
    <w:rsid w:val="0099039F"/>
    <w:rsid w:val="009B3DE6"/>
    <w:rsid w:val="009B7A5E"/>
    <w:rsid w:val="009E1041"/>
    <w:rsid w:val="009E4D84"/>
    <w:rsid w:val="009F68A1"/>
    <w:rsid w:val="00A030A2"/>
    <w:rsid w:val="00A203BF"/>
    <w:rsid w:val="00A307E9"/>
    <w:rsid w:val="00A36FF3"/>
    <w:rsid w:val="00A44641"/>
    <w:rsid w:val="00A50C1A"/>
    <w:rsid w:val="00A53CA2"/>
    <w:rsid w:val="00A65644"/>
    <w:rsid w:val="00A84933"/>
    <w:rsid w:val="00AE4D6B"/>
    <w:rsid w:val="00AF7456"/>
    <w:rsid w:val="00B01B85"/>
    <w:rsid w:val="00B079A2"/>
    <w:rsid w:val="00B337A6"/>
    <w:rsid w:val="00B41A51"/>
    <w:rsid w:val="00B670D0"/>
    <w:rsid w:val="00B67CE1"/>
    <w:rsid w:val="00B96495"/>
    <w:rsid w:val="00BB1425"/>
    <w:rsid w:val="00BB5E54"/>
    <w:rsid w:val="00BF275B"/>
    <w:rsid w:val="00C011E3"/>
    <w:rsid w:val="00C421FA"/>
    <w:rsid w:val="00C6118A"/>
    <w:rsid w:val="00C91189"/>
    <w:rsid w:val="00CA20D3"/>
    <w:rsid w:val="00CB4884"/>
    <w:rsid w:val="00CC19D0"/>
    <w:rsid w:val="00CC6CE4"/>
    <w:rsid w:val="00CC78E6"/>
    <w:rsid w:val="00CE298D"/>
    <w:rsid w:val="00CE3C37"/>
    <w:rsid w:val="00CF0847"/>
    <w:rsid w:val="00D276D4"/>
    <w:rsid w:val="00D377DA"/>
    <w:rsid w:val="00D53C30"/>
    <w:rsid w:val="00D80E11"/>
    <w:rsid w:val="00D9133C"/>
    <w:rsid w:val="00D9459F"/>
    <w:rsid w:val="00DC0FC6"/>
    <w:rsid w:val="00DC101F"/>
    <w:rsid w:val="00DC6999"/>
    <w:rsid w:val="00DE3D53"/>
    <w:rsid w:val="00DE4887"/>
    <w:rsid w:val="00DF1BF2"/>
    <w:rsid w:val="00E24948"/>
    <w:rsid w:val="00E4060F"/>
    <w:rsid w:val="00E458E7"/>
    <w:rsid w:val="00E6784A"/>
    <w:rsid w:val="00E71A37"/>
    <w:rsid w:val="00E72A40"/>
    <w:rsid w:val="00E859F0"/>
    <w:rsid w:val="00EA5C76"/>
    <w:rsid w:val="00EE5CB4"/>
    <w:rsid w:val="00EE7E6B"/>
    <w:rsid w:val="00F338D8"/>
    <w:rsid w:val="00F362BC"/>
    <w:rsid w:val="00F4027E"/>
    <w:rsid w:val="00F43872"/>
    <w:rsid w:val="00F43EB3"/>
    <w:rsid w:val="00F46549"/>
    <w:rsid w:val="00F465FF"/>
    <w:rsid w:val="00F7248B"/>
    <w:rsid w:val="00F910AE"/>
    <w:rsid w:val="00FB1C13"/>
    <w:rsid w:val="00FB5A75"/>
    <w:rsid w:val="00FB7271"/>
    <w:rsid w:val="00FE66DD"/>
    <w:rsid w:val="00FE67F3"/>
    <w:rsid w:val="00FE7CA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6CA7BC1A"/>
  <w15:docId w15:val="{E2B562D0-9B53-436D-A59E-9A2CD31A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C2FE9"/>
  </w:style>
  <w:style w:styleId="Titre1" w:type="paragraph">
    <w:name w:val="heading 1"/>
    <w:basedOn w:val="Normal"/>
    <w:next w:val="Normal"/>
    <w:link w:val="Titre1Car"/>
    <w:qFormat/>
    <w:rsid w:val="00834C30"/>
    <w:pPr>
      <w:keepNext/>
      <w:numPr>
        <w:numId w:val="7"/>
      </w:numPr>
      <w:spacing w:after="60" w:before="240" w:line="240" w:lineRule="auto"/>
      <w:outlineLvl w:val="0"/>
    </w:pPr>
    <w:rPr>
      <w:rFonts w:ascii="Arial" w:cs="Arial" w:eastAsia="Times New Roman" w:hAnsi="Arial"/>
      <w:b/>
      <w:bCs/>
      <w:kern w:val="32"/>
      <w:sz w:val="32"/>
      <w:szCs w:val="32"/>
      <w:lang w:eastAsia="fr-FR"/>
    </w:rPr>
  </w:style>
  <w:style w:styleId="Titre2" w:type="paragraph">
    <w:name w:val="heading 2"/>
    <w:basedOn w:val="Normal"/>
    <w:next w:val="Normal"/>
    <w:link w:val="Titre2Car"/>
    <w:qFormat/>
    <w:rsid w:val="00834C30"/>
    <w:pPr>
      <w:keepNext/>
      <w:numPr>
        <w:ilvl w:val="1"/>
        <w:numId w:val="7"/>
      </w:numPr>
      <w:spacing w:after="60" w:before="240" w:line="240" w:lineRule="auto"/>
      <w:outlineLvl w:val="1"/>
    </w:pPr>
    <w:rPr>
      <w:rFonts w:ascii="Arial" w:cs="Arial" w:eastAsia="Times New Roman" w:hAnsi="Arial"/>
      <w:b/>
      <w:bCs/>
      <w:i/>
      <w:iCs/>
      <w:sz w:val="28"/>
      <w:szCs w:val="28"/>
      <w:lang w:eastAsia="fr-FR"/>
    </w:rPr>
  </w:style>
  <w:style w:styleId="Titre3" w:type="paragraph">
    <w:name w:val="heading 3"/>
    <w:basedOn w:val="Normal"/>
    <w:next w:val="Normal"/>
    <w:link w:val="Titre3Car"/>
    <w:qFormat/>
    <w:rsid w:val="00834C30"/>
    <w:pPr>
      <w:keepNext/>
      <w:numPr>
        <w:ilvl w:val="2"/>
        <w:numId w:val="7"/>
      </w:numPr>
      <w:spacing w:after="60" w:before="240" w:line="240" w:lineRule="auto"/>
      <w:outlineLvl w:val="2"/>
    </w:pPr>
    <w:rPr>
      <w:rFonts w:ascii="Arial" w:cs="Arial" w:eastAsia="Times New Roman" w:hAnsi="Arial"/>
      <w:b/>
      <w:bCs/>
      <w:sz w:val="26"/>
      <w:szCs w:val="26"/>
      <w:lang w:eastAsia="fr-FR"/>
    </w:rPr>
  </w:style>
  <w:style w:styleId="Titre4" w:type="paragraph">
    <w:name w:val="heading 4"/>
    <w:basedOn w:val="Normal"/>
    <w:next w:val="Normal"/>
    <w:link w:val="Titre4Car"/>
    <w:qFormat/>
    <w:rsid w:val="00834C30"/>
    <w:pPr>
      <w:keepNext/>
      <w:numPr>
        <w:ilvl w:val="3"/>
        <w:numId w:val="7"/>
      </w:numPr>
      <w:spacing w:after="60" w:before="240" w:line="240" w:lineRule="auto"/>
      <w:outlineLvl w:val="3"/>
    </w:pPr>
    <w:rPr>
      <w:rFonts w:ascii="Times New Roman" w:cs="Times New Roman" w:eastAsia="Times New Roman" w:hAnsi="Times New Roman"/>
      <w:b/>
      <w:bCs/>
      <w:sz w:val="28"/>
      <w:szCs w:val="28"/>
      <w:lang w:eastAsia="fr-FR"/>
    </w:rPr>
  </w:style>
  <w:style w:styleId="Titre5" w:type="paragraph">
    <w:name w:val="heading 5"/>
    <w:basedOn w:val="Normal"/>
    <w:next w:val="Normal"/>
    <w:link w:val="Titre5Car"/>
    <w:qFormat/>
    <w:rsid w:val="00834C30"/>
    <w:pPr>
      <w:numPr>
        <w:ilvl w:val="4"/>
        <w:numId w:val="7"/>
      </w:numPr>
      <w:spacing w:after="60" w:before="240" w:line="240" w:lineRule="auto"/>
      <w:outlineLvl w:val="4"/>
    </w:pPr>
    <w:rPr>
      <w:rFonts w:ascii="Times New Roman" w:cs="Times New Roman" w:eastAsia="Times New Roman" w:hAnsi="Times New Roman"/>
      <w:b/>
      <w:bCs/>
      <w:i/>
      <w:iCs/>
      <w:sz w:val="26"/>
      <w:szCs w:val="26"/>
      <w:lang w:eastAsia="fr-FR"/>
    </w:rPr>
  </w:style>
  <w:style w:styleId="Titre6" w:type="paragraph">
    <w:name w:val="heading 6"/>
    <w:basedOn w:val="Normal"/>
    <w:next w:val="Normal"/>
    <w:link w:val="Titre6Car"/>
    <w:qFormat/>
    <w:rsid w:val="00834C30"/>
    <w:pPr>
      <w:numPr>
        <w:ilvl w:val="5"/>
        <w:numId w:val="7"/>
      </w:numPr>
      <w:spacing w:after="60" w:before="240" w:line="240" w:lineRule="auto"/>
      <w:outlineLvl w:val="5"/>
    </w:pPr>
    <w:rPr>
      <w:rFonts w:ascii="Times New Roman" w:cs="Times New Roman" w:eastAsia="Times New Roman" w:hAnsi="Times New Roman"/>
      <w:b/>
      <w:bCs/>
      <w:lang w:eastAsia="fr-FR"/>
    </w:rPr>
  </w:style>
  <w:style w:styleId="Titre7" w:type="paragraph">
    <w:name w:val="heading 7"/>
    <w:basedOn w:val="Normal"/>
    <w:next w:val="Normal"/>
    <w:link w:val="Titre7Car"/>
    <w:qFormat/>
    <w:rsid w:val="00834C30"/>
    <w:pPr>
      <w:numPr>
        <w:ilvl w:val="6"/>
        <w:numId w:val="7"/>
      </w:numPr>
      <w:spacing w:after="60" w:before="240" w:line="240" w:lineRule="auto"/>
      <w:outlineLvl w:val="6"/>
    </w:pPr>
    <w:rPr>
      <w:rFonts w:ascii="Times New Roman" w:cs="Times New Roman" w:eastAsia="Times New Roman" w:hAnsi="Times New Roman"/>
      <w:sz w:val="24"/>
      <w:szCs w:val="24"/>
      <w:lang w:eastAsia="fr-FR"/>
    </w:rPr>
  </w:style>
  <w:style w:styleId="Titre8" w:type="paragraph">
    <w:name w:val="heading 8"/>
    <w:basedOn w:val="Normal"/>
    <w:next w:val="Normal"/>
    <w:link w:val="Titre8Car"/>
    <w:qFormat/>
    <w:rsid w:val="00834C30"/>
    <w:pPr>
      <w:numPr>
        <w:ilvl w:val="7"/>
        <w:numId w:val="7"/>
      </w:numPr>
      <w:spacing w:after="60" w:before="240" w:line="240" w:lineRule="auto"/>
      <w:outlineLvl w:val="7"/>
    </w:pPr>
    <w:rPr>
      <w:rFonts w:ascii="Times New Roman" w:cs="Times New Roman" w:eastAsia="Times New Roman" w:hAnsi="Times New Roman"/>
      <w:i/>
      <w:iCs/>
      <w:sz w:val="24"/>
      <w:szCs w:val="24"/>
      <w:lang w:eastAsia="fr-FR"/>
    </w:rPr>
  </w:style>
  <w:style w:styleId="Titre9" w:type="paragraph">
    <w:name w:val="heading 9"/>
    <w:basedOn w:val="Normal"/>
    <w:next w:val="Normal"/>
    <w:link w:val="Titre9Car"/>
    <w:qFormat/>
    <w:rsid w:val="00834C30"/>
    <w:pPr>
      <w:numPr>
        <w:ilvl w:val="8"/>
        <w:numId w:val="7"/>
      </w:numPr>
      <w:spacing w:after="60" w:before="240" w:line="240" w:lineRule="auto"/>
      <w:outlineLvl w:val="8"/>
    </w:pPr>
    <w:rPr>
      <w:rFonts w:ascii="Arial" w:cs="Arial" w:eastAsia="Times New Roman" w:hAnsi="Arial"/>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3D543A"/>
    <w:pPr>
      <w:ind w:left="720"/>
      <w:contextualSpacing/>
    </w:pPr>
  </w:style>
  <w:style w:customStyle="1" w:styleId="Titre1Car" w:type="character">
    <w:name w:val="Titre 1 Car"/>
    <w:basedOn w:val="Policepardfaut"/>
    <w:link w:val="Titre1"/>
    <w:rsid w:val="00834C30"/>
    <w:rPr>
      <w:rFonts w:ascii="Arial" w:cs="Arial" w:eastAsia="Times New Roman" w:hAnsi="Arial"/>
      <w:b/>
      <w:bCs/>
      <w:kern w:val="32"/>
      <w:sz w:val="32"/>
      <w:szCs w:val="32"/>
      <w:lang w:eastAsia="fr-FR"/>
    </w:rPr>
  </w:style>
  <w:style w:customStyle="1" w:styleId="Titre2Car" w:type="character">
    <w:name w:val="Titre 2 Car"/>
    <w:basedOn w:val="Policepardfaut"/>
    <w:link w:val="Titre2"/>
    <w:rsid w:val="00834C30"/>
    <w:rPr>
      <w:rFonts w:ascii="Arial" w:cs="Arial" w:eastAsia="Times New Roman" w:hAnsi="Arial"/>
      <w:b/>
      <w:bCs/>
      <w:i/>
      <w:iCs/>
      <w:sz w:val="28"/>
      <w:szCs w:val="28"/>
      <w:lang w:eastAsia="fr-FR"/>
    </w:rPr>
  </w:style>
  <w:style w:customStyle="1" w:styleId="Titre3Car" w:type="character">
    <w:name w:val="Titre 3 Car"/>
    <w:basedOn w:val="Policepardfaut"/>
    <w:link w:val="Titre3"/>
    <w:rsid w:val="00834C30"/>
    <w:rPr>
      <w:rFonts w:ascii="Arial" w:cs="Arial" w:eastAsia="Times New Roman" w:hAnsi="Arial"/>
      <w:b/>
      <w:bCs/>
      <w:sz w:val="26"/>
      <w:szCs w:val="26"/>
      <w:lang w:eastAsia="fr-FR"/>
    </w:rPr>
  </w:style>
  <w:style w:customStyle="1" w:styleId="Titre4Car" w:type="character">
    <w:name w:val="Titre 4 Car"/>
    <w:basedOn w:val="Policepardfaut"/>
    <w:link w:val="Titre4"/>
    <w:rsid w:val="00834C30"/>
    <w:rPr>
      <w:rFonts w:ascii="Times New Roman" w:cs="Times New Roman" w:eastAsia="Times New Roman" w:hAnsi="Times New Roman"/>
      <w:b/>
      <w:bCs/>
      <w:sz w:val="28"/>
      <w:szCs w:val="28"/>
      <w:lang w:eastAsia="fr-FR"/>
    </w:rPr>
  </w:style>
  <w:style w:customStyle="1" w:styleId="Titre5Car" w:type="character">
    <w:name w:val="Titre 5 Car"/>
    <w:basedOn w:val="Policepardfaut"/>
    <w:link w:val="Titre5"/>
    <w:rsid w:val="00834C30"/>
    <w:rPr>
      <w:rFonts w:ascii="Times New Roman" w:cs="Times New Roman" w:eastAsia="Times New Roman" w:hAnsi="Times New Roman"/>
      <w:b/>
      <w:bCs/>
      <w:i/>
      <w:iCs/>
      <w:sz w:val="26"/>
      <w:szCs w:val="26"/>
      <w:lang w:eastAsia="fr-FR"/>
    </w:rPr>
  </w:style>
  <w:style w:customStyle="1" w:styleId="Titre6Car" w:type="character">
    <w:name w:val="Titre 6 Car"/>
    <w:basedOn w:val="Policepardfaut"/>
    <w:link w:val="Titre6"/>
    <w:rsid w:val="00834C30"/>
    <w:rPr>
      <w:rFonts w:ascii="Times New Roman" w:cs="Times New Roman" w:eastAsia="Times New Roman" w:hAnsi="Times New Roman"/>
      <w:b/>
      <w:bCs/>
      <w:lang w:eastAsia="fr-FR"/>
    </w:rPr>
  </w:style>
  <w:style w:customStyle="1" w:styleId="Titre7Car" w:type="character">
    <w:name w:val="Titre 7 Car"/>
    <w:basedOn w:val="Policepardfaut"/>
    <w:link w:val="Titre7"/>
    <w:rsid w:val="00834C30"/>
    <w:rPr>
      <w:rFonts w:ascii="Times New Roman" w:cs="Times New Roman" w:eastAsia="Times New Roman" w:hAnsi="Times New Roman"/>
      <w:sz w:val="24"/>
      <w:szCs w:val="24"/>
      <w:lang w:eastAsia="fr-FR"/>
    </w:rPr>
  </w:style>
  <w:style w:customStyle="1" w:styleId="Titre8Car" w:type="character">
    <w:name w:val="Titre 8 Car"/>
    <w:basedOn w:val="Policepardfaut"/>
    <w:link w:val="Titre8"/>
    <w:rsid w:val="00834C30"/>
    <w:rPr>
      <w:rFonts w:ascii="Times New Roman" w:cs="Times New Roman" w:eastAsia="Times New Roman" w:hAnsi="Times New Roman"/>
      <w:i/>
      <w:iCs/>
      <w:sz w:val="24"/>
      <w:szCs w:val="24"/>
      <w:lang w:eastAsia="fr-FR"/>
    </w:rPr>
  </w:style>
  <w:style w:customStyle="1" w:styleId="Titre9Car" w:type="character">
    <w:name w:val="Titre 9 Car"/>
    <w:basedOn w:val="Policepardfaut"/>
    <w:link w:val="Titre9"/>
    <w:rsid w:val="00834C30"/>
    <w:rPr>
      <w:rFonts w:ascii="Arial" w:cs="Arial" w:eastAsia="Times New Roman" w:hAnsi="Arial"/>
      <w:lang w:eastAsia="fr-FR"/>
    </w:rPr>
  </w:style>
  <w:style w:styleId="Lienhypertexte" w:type="character">
    <w:name w:val="Hyperlink"/>
    <w:rsid w:val="00834C30"/>
    <w:rPr>
      <w:color w:val="000000"/>
      <w:u w:val="single"/>
    </w:rPr>
  </w:style>
  <w:style w:customStyle="1" w:styleId="textegras" w:type="character">
    <w:name w:val="textegras"/>
    <w:rsid w:val="00834C30"/>
    <w:rPr>
      <w:rFonts w:ascii="Arial" w:cs="Arial" w:hAnsi="Arial" w:hint="default"/>
      <w:b w:val="0"/>
      <w:bCs w:val="0"/>
      <w:color w:val="000000"/>
      <w:sz w:val="17"/>
      <w:szCs w:val="17"/>
      <w:shd w:color="auto" w:fill="auto" w:val="clear"/>
    </w:rPr>
  </w:style>
  <w:style w:styleId="En-tte" w:type="paragraph">
    <w:name w:val="header"/>
    <w:basedOn w:val="Normal"/>
    <w:link w:val="En-tteCar"/>
    <w:uiPriority w:val="99"/>
    <w:unhideWhenUsed/>
    <w:rsid w:val="000D49C3"/>
    <w:pPr>
      <w:tabs>
        <w:tab w:pos="4536" w:val="center"/>
        <w:tab w:pos="9072" w:val="right"/>
      </w:tabs>
      <w:spacing w:after="0" w:line="240" w:lineRule="auto"/>
    </w:pPr>
  </w:style>
  <w:style w:customStyle="1" w:styleId="En-tteCar" w:type="character">
    <w:name w:val="En-tête Car"/>
    <w:basedOn w:val="Policepardfaut"/>
    <w:link w:val="En-tte"/>
    <w:uiPriority w:val="99"/>
    <w:rsid w:val="000D49C3"/>
  </w:style>
  <w:style w:styleId="Pieddepage" w:type="paragraph">
    <w:name w:val="footer"/>
    <w:basedOn w:val="Normal"/>
    <w:link w:val="PieddepageCar"/>
    <w:uiPriority w:val="99"/>
    <w:unhideWhenUsed/>
    <w:rsid w:val="000D49C3"/>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0D49C3"/>
  </w:style>
  <w:style w:styleId="Textedebulles" w:type="paragraph">
    <w:name w:val="Balloon Text"/>
    <w:basedOn w:val="Normal"/>
    <w:link w:val="TextedebullesCar"/>
    <w:uiPriority w:val="99"/>
    <w:semiHidden/>
    <w:unhideWhenUsed/>
    <w:rsid w:val="00255DFE"/>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255DFE"/>
    <w:rPr>
      <w:rFonts w:ascii="Tahoma" w:cs="Tahoma" w:hAnsi="Tahoma"/>
      <w:sz w:val="16"/>
      <w:szCs w:val="16"/>
    </w:rPr>
  </w:style>
  <w:style w:styleId="Rvision" w:type="paragraph">
    <w:name w:val="Revision"/>
    <w:hidden/>
    <w:uiPriority w:val="99"/>
    <w:semiHidden/>
    <w:rsid w:val="003F0E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865521">
      <w:bodyDiv w:val="1"/>
      <w:marLeft w:val="0"/>
      <w:marRight w:val="0"/>
      <w:marTop w:val="0"/>
      <w:marBottom w:val="0"/>
      <w:divBdr>
        <w:top w:val="none" w:sz="0" w:space="0" w:color="auto"/>
        <w:left w:val="none" w:sz="0" w:space="0" w:color="auto"/>
        <w:bottom w:val="none" w:sz="0" w:space="0" w:color="auto"/>
        <w:right w:val="none" w:sz="0" w:space="0" w:color="auto"/>
      </w:divBdr>
    </w:div>
    <w:div w:id="90788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1BFB38-C68B-41E8-B3CC-D35B277D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1369</Words>
  <Characters>7535</Characters>
  <Application>Microsoft Office Word</Application>
  <DocSecurity>0</DocSecurity>
  <Lines>62</Lines>
  <Paragraphs>17</Paragraphs>
  <ScaleCrop>false</ScaleCrop>
  <HeadingPairs>
    <vt:vector baseType="variant" size="2">
      <vt:variant>
        <vt:lpstr>Titre</vt:lpstr>
      </vt:variant>
      <vt:variant>
        <vt:i4>1</vt:i4>
      </vt:variant>
    </vt:vector>
  </HeadingPairs>
  <TitlesOfParts>
    <vt:vector baseType="lpstr" size="1">
      <vt:lpstr/>
    </vt:vector>
  </TitlesOfParts>
  <Company>Viveris</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2022-12-28T14:47:00Z</dcterms:created>
  <cp:lastPrinted>2018-01-22T14:08:00Z</cp:lastPrinted>
  <dcterms:modified xsi:type="dcterms:W3CDTF">2022-12-28T14:47:00Z</dcterms:modified>
  <cp:revision>2</cp:revision>
</cp:coreProperties>
</file>