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Metadata/LabelInfo.xml" Type="http://schemas.microsoft.com/office/2020/02/relationships/classificationlabel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FAD4A8B" w14:textId="77777777" w:rsidP="00CE60B3" w:rsidR="00CE60B3" w:rsidRDefault="00CE60B3">
      <w:pPr>
        <w:jc w:val="center"/>
        <w:rPr>
          <w:rFonts w:ascii="Arial" w:cs="Arial" w:hAnsi="Arial"/>
          <w:b/>
          <w:sz w:val="32"/>
          <w:lang w:val="fr-FR"/>
        </w:rPr>
      </w:pPr>
    </w:p>
    <w:p w14:paraId="561176B5" w14:textId="77777777" w:rsidP="00CE60B3" w:rsidR="00CE60B3" w:rsidRDefault="00CE60B3" w:rsidRPr="00D21A29">
      <w:pPr>
        <w:jc w:val="center"/>
        <w:rPr>
          <w:rFonts w:ascii="Arial" w:cs="Arial" w:hAnsi="Arial"/>
          <w:b/>
          <w:sz w:val="32"/>
          <w:lang w:val="fr-FR"/>
        </w:rPr>
      </w:pPr>
      <w:r w:rsidRPr="00D21A29">
        <w:rPr>
          <w:rFonts w:ascii="Arial" w:cs="Arial" w:hAnsi="Arial"/>
          <w:b/>
          <w:sz w:val="32"/>
          <w:lang w:val="fr-FR"/>
        </w:rPr>
        <w:t>ACCORD RELATIF A LA NEGOCIATION SALARIALE</w:t>
      </w:r>
      <w:r>
        <w:rPr>
          <w:rFonts w:ascii="Arial" w:cs="Arial" w:hAnsi="Arial"/>
          <w:b/>
          <w:sz w:val="32"/>
          <w:lang w:val="fr-FR"/>
        </w:rPr>
        <w:t xml:space="preserve"> POUR L’ANNEE 2023</w:t>
      </w:r>
    </w:p>
    <w:p w14:paraId="7703F124" w14:textId="77777777" w:rsidP="00CE60B3" w:rsidR="00CE60B3" w:rsidRDefault="00CE60B3" w:rsidRPr="00D21A29">
      <w:pPr>
        <w:jc w:val="center"/>
        <w:rPr>
          <w:rFonts w:ascii="Arial" w:cs="Arial" w:hAnsi="Arial"/>
          <w:b/>
          <w:sz w:val="32"/>
          <w:lang w:val="fr-FR"/>
        </w:rPr>
      </w:pPr>
      <w:r w:rsidRPr="008B2BF0">
        <w:rPr>
          <w:rFonts w:ascii="Arial" w:cs="Arial" w:hAnsi="Arial"/>
          <w:b/>
          <w:sz w:val="32"/>
          <w:lang w:val="fr-FR"/>
        </w:rPr>
        <w:t xml:space="preserve">DU </w:t>
      </w:r>
      <w:r w:rsidRPr="008B2BF0">
        <w:rPr>
          <w:rFonts w:ascii="Arial" w:cs="Arial" w:hAnsi="Arial"/>
          <w:b/>
          <w:color w:themeColor="text1" w:val="000000"/>
          <w:sz w:val="32"/>
          <w:lang w:val="fr-FR"/>
        </w:rPr>
        <w:t>3 FEVRIER</w:t>
      </w:r>
      <w:r w:rsidRPr="008B2BF0">
        <w:rPr>
          <w:rFonts w:ascii="Arial" w:cs="Arial" w:hAnsi="Arial"/>
          <w:b/>
          <w:sz w:val="32"/>
          <w:lang w:val="fr-FR"/>
        </w:rPr>
        <w:t xml:space="preserve"> 2023</w:t>
      </w:r>
    </w:p>
    <w:p w14:paraId="6D46E7CA" w14:textId="77777777" w:rsidP="00CE60B3" w:rsidR="00CE60B3" w:rsidRDefault="00CE60B3" w:rsidRPr="00D21A29">
      <w:pPr>
        <w:spacing w:line="276" w:lineRule="auto"/>
        <w:jc w:val="center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>ENTRE</w:t>
      </w:r>
    </w:p>
    <w:p w14:paraId="54371802" w14:textId="77777777" w:rsidP="00CE60B3" w:rsidR="00CE60B3" w:rsidRDefault="00CE60B3" w:rsidRPr="00D21A29">
      <w:pPr>
        <w:spacing w:line="276" w:lineRule="auto"/>
        <w:jc w:val="center"/>
        <w:rPr>
          <w:rFonts w:ascii="Arial" w:cs="Arial" w:eastAsia="Calibri" w:hAnsi="Arial"/>
          <w:b/>
          <w:sz w:val="32"/>
          <w:szCs w:val="32"/>
          <w:lang w:val="fr-FR"/>
        </w:rPr>
      </w:pPr>
      <w:r w:rsidRPr="00D21A29">
        <w:rPr>
          <w:rFonts w:ascii="Arial" w:cs="Arial" w:eastAsia="Calibri" w:hAnsi="Arial"/>
          <w:b/>
          <w:sz w:val="32"/>
          <w:szCs w:val="32"/>
          <w:lang w:val="fr-FR"/>
        </w:rPr>
        <w:t xml:space="preserve">Renault </w:t>
      </w:r>
      <w:proofErr w:type="spellStart"/>
      <w:r w:rsidRPr="00D21A29">
        <w:rPr>
          <w:rFonts w:ascii="Arial" w:cs="Arial" w:eastAsia="Calibri" w:hAnsi="Arial"/>
          <w:b/>
          <w:sz w:val="32"/>
          <w:szCs w:val="32"/>
          <w:lang w:val="fr-FR"/>
        </w:rPr>
        <w:t>s.a.s</w:t>
      </w:r>
      <w:proofErr w:type="spellEnd"/>
      <w:r w:rsidRPr="00D21A29">
        <w:rPr>
          <w:rFonts w:ascii="Arial" w:cs="Arial" w:eastAsia="Calibri" w:hAnsi="Arial"/>
          <w:b/>
          <w:sz w:val="32"/>
          <w:szCs w:val="32"/>
          <w:lang w:val="fr-FR"/>
        </w:rPr>
        <w:t xml:space="preserve">. </w:t>
      </w:r>
    </w:p>
    <w:p w14:paraId="60A0E6A8" w14:textId="255D81B1" w:rsidP="00CE60B3" w:rsidR="00CE60B3" w:rsidRDefault="00CE60B3" w:rsidRPr="00D21A29">
      <w:pPr>
        <w:spacing w:after="0" w:line="276" w:lineRule="auto"/>
        <w:jc w:val="center"/>
        <w:rPr>
          <w:rFonts w:ascii="Arial" w:cs="Arial" w:hAnsi="Arial"/>
          <w:lang w:val="fr-FR"/>
        </w:rPr>
      </w:pPr>
      <w:proofErr w:type="gramStart"/>
      <w:r w:rsidRPr="00D21A29">
        <w:rPr>
          <w:rFonts w:ascii="Arial" w:cs="Arial" w:hAnsi="Arial"/>
          <w:lang w:val="fr-FR"/>
        </w:rPr>
        <w:t>représentée</w:t>
      </w:r>
      <w:proofErr w:type="gramEnd"/>
      <w:r w:rsidRPr="00D21A29">
        <w:rPr>
          <w:rFonts w:ascii="Arial" w:cs="Arial" w:hAnsi="Arial"/>
          <w:lang w:val="fr-FR"/>
        </w:rPr>
        <w:t xml:space="preserve"> par M. </w:t>
      </w:r>
      <w:r w:rsidR="001E2A3B">
        <w:rPr>
          <w:rFonts w:ascii="Arial" w:cs="Arial" w:hAnsi="Arial"/>
          <w:lang w:val="fr-FR"/>
        </w:rPr>
        <w:t>XX</w:t>
      </w:r>
    </w:p>
    <w:p w14:paraId="17BDA462" w14:textId="77777777" w:rsidP="00CE60B3" w:rsidR="00CE60B3" w:rsidRDefault="00CE60B3" w:rsidRPr="00D21A29">
      <w:pPr>
        <w:spacing w:after="0" w:line="276" w:lineRule="auto"/>
        <w:jc w:val="center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>Directeur des Ressources Humaines France</w:t>
      </w:r>
    </w:p>
    <w:p w14:paraId="615805E9" w14:textId="77777777" w:rsidP="00CE60B3" w:rsidR="00CE60B3" w:rsidRDefault="00CE60B3" w:rsidRPr="00D21A29">
      <w:pPr>
        <w:spacing w:after="200" w:line="276" w:lineRule="auto"/>
        <w:jc w:val="center"/>
        <w:rPr>
          <w:rFonts w:ascii="Arial" w:cs="Arial" w:hAnsi="Arial"/>
          <w:sz w:val="2"/>
          <w:lang w:val="fr-FR"/>
        </w:rPr>
      </w:pPr>
    </w:p>
    <w:p w14:paraId="08E7B256" w14:textId="77777777" w:rsidP="00CE60B3" w:rsidR="00CE60B3" w:rsidRDefault="00CE60B3" w:rsidRPr="00D21A29">
      <w:pPr>
        <w:spacing w:after="200" w:line="276" w:lineRule="auto"/>
        <w:jc w:val="center"/>
        <w:rPr>
          <w:rFonts w:ascii="Arial" w:cs="Arial" w:hAnsi="Arial"/>
          <w:sz w:val="6"/>
          <w:lang w:val="fr-FR"/>
        </w:rPr>
      </w:pPr>
    </w:p>
    <w:p w14:paraId="3BB135EE" w14:textId="77777777" w:rsidP="00CE60B3" w:rsidR="00CE60B3" w:rsidRDefault="00CE60B3" w:rsidRPr="00D21A29">
      <w:pPr>
        <w:spacing w:after="200" w:line="276" w:lineRule="auto"/>
        <w:jc w:val="center"/>
        <w:rPr>
          <w:rFonts w:ascii="Arial" w:cs="Arial" w:hAnsi="Arial"/>
          <w:sz w:val="4"/>
          <w:lang w:val="fr-FR"/>
        </w:rPr>
      </w:pPr>
    </w:p>
    <w:p w14:paraId="186EB724" w14:textId="77777777" w:rsidP="00CE60B3" w:rsidR="00CE60B3" w:rsidRDefault="00CE60B3" w:rsidRPr="00D21A29">
      <w:pPr>
        <w:tabs>
          <w:tab w:pos="7230" w:val="left"/>
        </w:tabs>
        <w:spacing w:after="200" w:line="276" w:lineRule="auto"/>
        <w:jc w:val="right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ab/>
        <w:t>D’une part,</w:t>
      </w:r>
    </w:p>
    <w:p w14:paraId="6A74A516" w14:textId="77777777" w:rsidP="00CE60B3" w:rsidR="00CE60B3" w:rsidRDefault="00CE60B3" w:rsidRPr="00D21A29">
      <w:pPr>
        <w:tabs>
          <w:tab w:pos="6804" w:val="left"/>
        </w:tabs>
        <w:spacing w:after="200" w:line="276" w:lineRule="auto"/>
        <w:jc w:val="center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>ET</w:t>
      </w:r>
    </w:p>
    <w:p w14:paraId="17EE2200" w14:textId="77777777" w:rsidP="00CE60B3" w:rsidR="00CE60B3" w:rsidRDefault="00CE60B3" w:rsidRPr="00D21A29">
      <w:pPr>
        <w:tabs>
          <w:tab w:pos="6804" w:val="left"/>
        </w:tabs>
        <w:spacing w:after="200" w:line="276" w:lineRule="auto"/>
        <w:rPr>
          <w:rFonts w:ascii="Arial" w:cs="Arial" w:hAnsi="Arial"/>
          <w:sz w:val="12"/>
          <w:lang w:val="fr-FR"/>
        </w:rPr>
      </w:pPr>
      <w:r w:rsidRPr="00D21A29">
        <w:rPr>
          <w:rFonts w:ascii="Arial" w:cs="Arial" w:hAnsi="Arial"/>
          <w:lang w:val="fr-FR"/>
        </w:rPr>
        <w:t>Les organisations syndicales ci-dessous :</w:t>
      </w:r>
    </w:p>
    <w:p w14:paraId="259B07C8" w14:textId="77777777" w:rsidP="00CE60B3" w:rsidR="00CE60B3" w:rsidRDefault="00CE60B3" w:rsidRPr="00D21A29">
      <w:pPr>
        <w:tabs>
          <w:tab w:pos="6804" w:val="left"/>
        </w:tabs>
        <w:spacing w:after="200" w:line="276" w:lineRule="auto"/>
        <w:rPr>
          <w:rFonts w:ascii="Arial" w:cs="Arial" w:hAnsi="Arial"/>
          <w:lang w:val="fr-FR"/>
        </w:rPr>
      </w:pPr>
    </w:p>
    <w:p w14:paraId="47865CD2" w14:textId="77777777" w:rsidP="00CE60B3" w:rsidR="00CE60B3" w:rsidRDefault="00CE60B3" w:rsidRPr="00D21A29">
      <w:pPr>
        <w:tabs>
          <w:tab w:pos="6804" w:val="left"/>
        </w:tabs>
        <w:spacing w:after="200" w:line="276" w:lineRule="auto"/>
        <w:rPr>
          <w:rFonts w:ascii="Arial" w:cs="Arial" w:hAnsi="Arial"/>
          <w:lang w:val="fr-FR"/>
        </w:rPr>
      </w:pPr>
    </w:p>
    <w:tbl>
      <w:tblPr>
        <w:tblW w:type="dxa" w:w="10065"/>
        <w:tblLayout w:type="fixed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5048"/>
        <w:gridCol w:w="5017"/>
      </w:tblGrid>
      <w:tr w14:paraId="21C2F585" w14:textId="77777777" w:rsidR="00CE60B3" w:rsidRPr="001E2A3B" w:rsidTr="00ED64FE">
        <w:trPr>
          <w:trHeight w:val="1816"/>
        </w:trPr>
        <w:tc>
          <w:tcPr>
            <w:tcW w:type="dxa" w:w="5048"/>
          </w:tcPr>
          <w:p w14:paraId="08A3C3FA" w14:textId="77777777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r w:rsidRPr="00D21A29">
              <w:rPr>
                <w:rFonts w:ascii="Arial" w:cs="Arial" w:hAnsi="Arial"/>
                <w:lang w:val="fr-FR"/>
              </w:rPr>
              <w:t>C.F.D.T.</w:t>
            </w:r>
          </w:p>
          <w:p w14:paraId="0DA1FF93" w14:textId="0C6E6462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proofErr w:type="gramStart"/>
            <w:r w:rsidRPr="00D21A29">
              <w:rPr>
                <w:rFonts w:ascii="Arial" w:cs="Arial" w:hAnsi="Arial"/>
                <w:lang w:val="fr-FR"/>
              </w:rPr>
              <w:t>représentée</w:t>
            </w:r>
            <w:proofErr w:type="gramEnd"/>
            <w:r w:rsidRPr="00D21A29">
              <w:rPr>
                <w:rFonts w:ascii="Arial" w:cs="Arial" w:hAnsi="Arial"/>
                <w:lang w:val="fr-FR"/>
              </w:rPr>
              <w:t xml:space="preserve"> par M. </w:t>
            </w:r>
            <w:r w:rsidR="001E2A3B">
              <w:rPr>
                <w:rFonts w:ascii="Arial" w:cs="Arial" w:hAnsi="Arial"/>
                <w:lang w:val="fr-FR"/>
              </w:rPr>
              <w:t>XX</w:t>
            </w:r>
          </w:p>
          <w:p w14:paraId="1AD67542" w14:textId="77777777" w:rsidP="00ED64FE" w:rsidR="00CE60B3" w:rsidRDefault="00CE60B3" w:rsidRPr="00D21A29">
            <w:pPr>
              <w:tabs>
                <w:tab w:pos="6804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</w:p>
        </w:tc>
        <w:tc>
          <w:tcPr>
            <w:tcW w:type="dxa" w:w="5017"/>
          </w:tcPr>
          <w:p w14:paraId="305D2A10" w14:textId="77777777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ind w:right="-189"/>
              <w:rPr>
                <w:rFonts w:ascii="Arial" w:cs="Arial" w:hAnsi="Arial"/>
                <w:lang w:val="fr-FR"/>
              </w:rPr>
            </w:pPr>
            <w:r w:rsidRPr="00D21A29">
              <w:rPr>
                <w:rFonts w:ascii="Arial" w:cs="Arial" w:hAnsi="Arial"/>
                <w:lang w:val="fr-FR"/>
              </w:rPr>
              <w:t>C.G.T.</w:t>
            </w:r>
          </w:p>
          <w:p w14:paraId="01236D6D" w14:textId="39FC0645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proofErr w:type="gramStart"/>
            <w:r w:rsidRPr="00D21A29">
              <w:rPr>
                <w:rFonts w:ascii="Arial" w:cs="Arial" w:hAnsi="Arial"/>
                <w:lang w:val="fr-FR"/>
              </w:rPr>
              <w:t>représentée</w:t>
            </w:r>
            <w:proofErr w:type="gramEnd"/>
            <w:r w:rsidRPr="00D21A29">
              <w:rPr>
                <w:rFonts w:ascii="Arial" w:cs="Arial" w:hAnsi="Arial"/>
                <w:lang w:val="fr-FR"/>
              </w:rPr>
              <w:t xml:space="preserve"> par M. </w:t>
            </w:r>
            <w:r w:rsidR="001E2A3B">
              <w:rPr>
                <w:rFonts w:ascii="Arial" w:cs="Arial" w:hAnsi="Arial"/>
                <w:lang w:val="fr-FR"/>
              </w:rPr>
              <w:t>XX</w:t>
            </w:r>
          </w:p>
          <w:p w14:paraId="47299842" w14:textId="77777777" w:rsidP="00ED64FE" w:rsidR="00CE60B3" w:rsidRDefault="00CE60B3" w:rsidRPr="00D21A29">
            <w:pPr>
              <w:tabs>
                <w:tab w:pos="6804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</w:p>
        </w:tc>
      </w:tr>
      <w:tr w14:paraId="0D71FA7E" w14:textId="77777777" w:rsidR="00CE60B3" w:rsidRPr="001E2A3B" w:rsidTr="00ED64FE">
        <w:trPr>
          <w:trHeight w:val="1367"/>
        </w:trPr>
        <w:tc>
          <w:tcPr>
            <w:tcW w:type="dxa" w:w="5048"/>
          </w:tcPr>
          <w:p w14:paraId="4F51B094" w14:textId="77777777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</w:p>
          <w:p w14:paraId="0BEFFFA0" w14:textId="77777777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r w:rsidRPr="00D21A29">
              <w:rPr>
                <w:rFonts w:ascii="Arial" w:cs="Arial" w:hAnsi="Arial"/>
                <w:lang w:val="fr-FR"/>
              </w:rPr>
              <w:t>C.F.E./C.G.C.</w:t>
            </w:r>
          </w:p>
          <w:p w14:paraId="112E5925" w14:textId="7D5541D4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proofErr w:type="gramStart"/>
            <w:r w:rsidRPr="00D21A29">
              <w:rPr>
                <w:rFonts w:ascii="Arial" w:cs="Arial" w:hAnsi="Arial"/>
                <w:lang w:val="fr-FR"/>
              </w:rPr>
              <w:t>représentée</w:t>
            </w:r>
            <w:proofErr w:type="gramEnd"/>
            <w:r w:rsidRPr="00D21A29">
              <w:rPr>
                <w:rFonts w:ascii="Arial" w:cs="Arial" w:hAnsi="Arial"/>
                <w:lang w:val="fr-FR"/>
              </w:rPr>
              <w:t xml:space="preserve"> par M. </w:t>
            </w:r>
            <w:r w:rsidR="001E2A3B">
              <w:rPr>
                <w:rFonts w:ascii="Arial" w:cs="Arial" w:hAnsi="Arial"/>
                <w:lang w:val="fr-FR"/>
              </w:rPr>
              <w:t>XX</w:t>
            </w:r>
          </w:p>
        </w:tc>
        <w:tc>
          <w:tcPr>
            <w:tcW w:type="dxa" w:w="5017"/>
          </w:tcPr>
          <w:p w14:paraId="3A1EA6E0" w14:textId="77777777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</w:p>
          <w:p w14:paraId="44F4AF53" w14:textId="77777777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r w:rsidRPr="00D21A29">
              <w:rPr>
                <w:rFonts w:ascii="Arial" w:cs="Arial" w:hAnsi="Arial"/>
                <w:lang w:val="fr-FR"/>
              </w:rPr>
              <w:t>F.O.</w:t>
            </w:r>
          </w:p>
          <w:p w14:paraId="79F6D5B8" w14:textId="7949CF3E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proofErr w:type="gramStart"/>
            <w:r w:rsidRPr="00D21A29">
              <w:rPr>
                <w:rFonts w:ascii="Arial" w:cs="Arial" w:hAnsi="Arial"/>
                <w:lang w:val="fr-FR"/>
              </w:rPr>
              <w:t>représentée</w:t>
            </w:r>
            <w:proofErr w:type="gramEnd"/>
            <w:r w:rsidRPr="00D21A29">
              <w:rPr>
                <w:rFonts w:ascii="Arial" w:cs="Arial" w:hAnsi="Arial"/>
                <w:lang w:val="fr-FR"/>
              </w:rPr>
              <w:t xml:space="preserve"> par </w:t>
            </w:r>
            <w:r w:rsidR="00751480">
              <w:rPr>
                <w:rFonts w:ascii="Arial" w:cs="Arial" w:hAnsi="Arial"/>
                <w:lang w:val="fr-FR"/>
              </w:rPr>
              <w:t xml:space="preserve">M. </w:t>
            </w:r>
            <w:r w:rsidR="001E2A3B">
              <w:rPr>
                <w:rFonts w:ascii="Arial" w:cs="Arial" w:hAnsi="Arial"/>
                <w:lang w:val="fr-FR"/>
              </w:rPr>
              <w:t>XX</w:t>
            </w:r>
          </w:p>
        </w:tc>
      </w:tr>
    </w:tbl>
    <w:p w14:paraId="68A376FB" w14:textId="77777777" w:rsidP="00CE60B3" w:rsidR="00CE60B3" w:rsidRDefault="00CE60B3" w:rsidRPr="00D21A29">
      <w:pPr>
        <w:tabs>
          <w:tab w:pos="7230" w:val="left"/>
        </w:tabs>
        <w:spacing w:after="200" w:line="276" w:lineRule="auto"/>
        <w:jc w:val="right"/>
        <w:rPr>
          <w:rFonts w:ascii="Arial" w:cs="Arial" w:hAnsi="Arial"/>
          <w:lang w:val="fr-FR"/>
        </w:rPr>
      </w:pPr>
    </w:p>
    <w:p w14:paraId="621878C3" w14:textId="77777777" w:rsidP="00CE60B3" w:rsidR="00CE60B3" w:rsidRDefault="00CE60B3" w:rsidRPr="00D21A29">
      <w:pPr>
        <w:tabs>
          <w:tab w:pos="7230" w:val="left"/>
        </w:tabs>
        <w:spacing w:after="200" w:line="276" w:lineRule="auto"/>
        <w:jc w:val="right"/>
        <w:rPr>
          <w:rFonts w:ascii="Arial" w:cs="Arial" w:hAnsi="Arial"/>
          <w:lang w:val="fr-FR"/>
        </w:rPr>
      </w:pPr>
    </w:p>
    <w:p w14:paraId="5FDDBB29" w14:textId="77777777" w:rsidP="00CE60B3" w:rsidR="00CE60B3" w:rsidRDefault="00CE60B3" w:rsidRPr="00D21A29">
      <w:pPr>
        <w:tabs>
          <w:tab w:pos="7230" w:val="left"/>
        </w:tabs>
        <w:spacing w:after="200" w:line="276" w:lineRule="auto"/>
        <w:jc w:val="right"/>
        <w:rPr>
          <w:rFonts w:ascii="Arial" w:cs="Arial" w:hAnsi="Arial"/>
          <w:sz w:val="16"/>
          <w:lang w:val="fr-FR"/>
        </w:rPr>
      </w:pPr>
    </w:p>
    <w:p w14:paraId="58620A6E" w14:textId="77777777" w:rsidP="00CE60B3" w:rsidR="00CE60B3" w:rsidRDefault="00CE60B3" w:rsidRPr="00D21A29">
      <w:pPr>
        <w:tabs>
          <w:tab w:pos="7230" w:val="left"/>
        </w:tabs>
        <w:spacing w:after="200" w:line="276" w:lineRule="auto"/>
        <w:jc w:val="right"/>
        <w:rPr>
          <w:rFonts w:ascii="Arial" w:cs="Arial" w:hAnsi="Arial"/>
          <w:lang w:val="fr-FR"/>
        </w:rPr>
      </w:pPr>
    </w:p>
    <w:p w14:paraId="44370570" w14:textId="77777777" w:rsidP="00CE60B3" w:rsidR="00CE60B3" w:rsidRDefault="00CE60B3">
      <w:pPr>
        <w:tabs>
          <w:tab w:pos="7230" w:val="left"/>
        </w:tabs>
        <w:spacing w:after="200" w:line="276" w:lineRule="auto"/>
        <w:jc w:val="right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>D’autre part,</w:t>
      </w:r>
    </w:p>
    <w:p w14:paraId="0DD86D9C" w14:textId="21D852C4" w:rsidR="00CE60B3" w:rsidRDefault="00CE60B3">
      <w:pPr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br w:type="page"/>
      </w:r>
    </w:p>
    <w:p w14:paraId="02EBE1C7" w14:textId="2E414817" w:rsidP="00CE60B3" w:rsidR="00CE60B3" w:rsidRDefault="00CE60B3">
      <w:pPr>
        <w:tabs>
          <w:tab w:pos="7230" w:val="left"/>
        </w:tabs>
        <w:spacing w:after="200" w:line="276" w:lineRule="auto"/>
        <w:jc w:val="right"/>
        <w:rPr>
          <w:rFonts w:ascii="Arial" w:cs="Arial" w:hAnsi="Arial"/>
          <w:lang w:val="fr-FR"/>
        </w:rPr>
      </w:pPr>
    </w:p>
    <w:p w14:paraId="19776810" w14:textId="77777777" w:rsidP="00CE60B3" w:rsidR="00CE60B3" w:rsidRDefault="00CE60B3">
      <w:pPr>
        <w:tabs>
          <w:tab w:pos="7230" w:val="left"/>
        </w:tabs>
        <w:spacing w:after="200" w:line="276" w:lineRule="auto"/>
        <w:jc w:val="right"/>
        <w:rPr>
          <w:rFonts w:ascii="Arial" w:cs="Arial" w:hAnsi="Arial"/>
          <w:lang w:val="fr-FR"/>
        </w:rPr>
      </w:pPr>
    </w:p>
    <w:p w14:paraId="42F1BDEF" w14:textId="77777777" w:rsidP="00CE60B3" w:rsidR="00CE60B3" w:rsidRDefault="00CE60B3" w:rsidRPr="00D21A2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spacing w:after="0"/>
        <w:jc w:val="center"/>
        <w:rPr>
          <w:rFonts w:ascii="Arial" w:cs="Arial" w:hAnsi="Arial"/>
          <w:b/>
          <w:smallCaps/>
          <w:sz w:val="32"/>
          <w:szCs w:val="32"/>
          <w:lang w:val="fr-FR"/>
        </w:rPr>
      </w:pPr>
      <w:r w:rsidRPr="00D21A29">
        <w:rPr>
          <w:rFonts w:ascii="Arial" w:cs="Arial" w:hAnsi="Arial"/>
          <w:b/>
          <w:smallCaps/>
          <w:sz w:val="32"/>
          <w:szCs w:val="32"/>
          <w:lang w:val="fr-FR"/>
        </w:rPr>
        <w:t>Préambule</w:t>
      </w:r>
    </w:p>
    <w:p w14:paraId="4F103F82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55437AC3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18C96761" w14:textId="77777777" w:rsidP="00CE60B3" w:rsidR="00CE60B3" w:rsidRDefault="00CE60B3" w:rsidRPr="00C7069A">
      <w:pPr>
        <w:jc w:val="both"/>
        <w:rPr>
          <w:rFonts w:ascii="Arial" w:cs="Arial" w:hAnsi="Arial"/>
          <w:lang w:val="fr-FR"/>
        </w:rPr>
      </w:pPr>
      <w:r w:rsidRPr="00C7069A">
        <w:rPr>
          <w:rFonts w:ascii="Arial" w:cs="Arial" w:hAnsi="Arial"/>
          <w:lang w:val="fr-FR"/>
        </w:rPr>
        <w:t xml:space="preserve">Conformément aux engagements pris dans l’accord du 30 septembre 2022, </w:t>
      </w:r>
      <w:r>
        <w:rPr>
          <w:rFonts w:ascii="Arial" w:cs="Arial" w:hAnsi="Arial"/>
          <w:lang w:val="fr-FR"/>
        </w:rPr>
        <w:t xml:space="preserve">intitulé </w:t>
      </w:r>
      <w:r w:rsidRPr="00C7069A">
        <w:rPr>
          <w:rFonts w:ascii="Arial" w:cs="Arial" w:hAnsi="Arial"/>
          <w:lang w:val="fr-FR"/>
        </w:rPr>
        <w:t xml:space="preserve">Plan global de soutien du pouvoir d’achat des Salariés de Renault Group, la négociation annuelle obligatoire sur les salaires pour </w:t>
      </w:r>
      <w:r>
        <w:rPr>
          <w:rFonts w:ascii="Arial" w:cs="Arial" w:hAnsi="Arial"/>
          <w:lang w:val="fr-FR"/>
        </w:rPr>
        <w:t>l</w:t>
      </w:r>
      <w:r w:rsidRPr="00C7069A">
        <w:rPr>
          <w:rFonts w:ascii="Arial" w:cs="Arial" w:hAnsi="Arial"/>
          <w:lang w:val="fr-FR"/>
        </w:rPr>
        <w:t>’année 2023 a été ouverte dès le 20 décembre 2022 et s’est poursuivie lors d</w:t>
      </w:r>
      <w:r>
        <w:rPr>
          <w:rFonts w:ascii="Arial" w:cs="Arial" w:hAnsi="Arial"/>
          <w:lang w:val="fr-FR"/>
        </w:rPr>
        <w:t xml:space="preserve">e la </w:t>
      </w:r>
      <w:r w:rsidRPr="00C7069A">
        <w:rPr>
          <w:rFonts w:ascii="Arial" w:cs="Arial" w:hAnsi="Arial"/>
          <w:lang w:val="fr-FR"/>
        </w:rPr>
        <w:t xml:space="preserve">réunion </w:t>
      </w:r>
      <w:r>
        <w:rPr>
          <w:rFonts w:ascii="Arial" w:cs="Arial" w:hAnsi="Arial"/>
          <w:lang w:val="fr-FR"/>
        </w:rPr>
        <w:t xml:space="preserve">du </w:t>
      </w:r>
      <w:r w:rsidRPr="00AC1A49">
        <w:rPr>
          <w:rFonts w:ascii="Arial" w:cs="Arial" w:hAnsi="Arial"/>
          <w:lang w:val="fr-FR"/>
        </w:rPr>
        <w:t>26 janvier 2023.</w:t>
      </w:r>
      <w:r w:rsidRPr="00C7069A">
        <w:rPr>
          <w:rFonts w:ascii="Arial" w:cs="Arial" w:hAnsi="Arial"/>
          <w:lang w:val="fr-FR"/>
        </w:rPr>
        <w:t xml:space="preserve"> </w:t>
      </w:r>
    </w:p>
    <w:p w14:paraId="018FB43B" w14:textId="77777777" w:rsidP="00CE60B3" w:rsidR="00CE60B3" w:rsidRDefault="00CE60B3" w:rsidRPr="00C7069A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Lors de ces réunions, la Direction a tenu à rappeler que malgré une année 2022 encore difficile pour l’activité industrielle, l’entreprise a mené une politique de rémunération globale avec un ensemble de mesures visant à maintenir et développer les rémunérations des Salariés dans un contexte de forte inflation. </w:t>
      </w:r>
      <w:r>
        <w:rPr>
          <w:rFonts w:ascii="Arial" w:hAnsi="Arial"/>
          <w:sz w:val="22"/>
          <w:szCs w:val="22"/>
        </w:rPr>
        <w:t xml:space="preserve">Celle-ci </w:t>
      </w:r>
      <w:proofErr w:type="spellStart"/>
      <w:r w:rsidRPr="00C7069A">
        <w:rPr>
          <w:rFonts w:ascii="Arial" w:hAnsi="Arial"/>
          <w:sz w:val="22"/>
          <w:szCs w:val="22"/>
        </w:rPr>
        <w:t>s’est</w:t>
      </w:r>
      <w:proofErr w:type="spellEnd"/>
      <w:r w:rsidRPr="00C7069A">
        <w:rPr>
          <w:rFonts w:ascii="Arial" w:hAnsi="Arial"/>
          <w:sz w:val="22"/>
          <w:szCs w:val="22"/>
        </w:rPr>
        <w:t xml:space="preserve"> </w:t>
      </w:r>
      <w:proofErr w:type="spellStart"/>
      <w:r w:rsidRPr="00C7069A">
        <w:rPr>
          <w:rFonts w:ascii="Arial" w:hAnsi="Arial"/>
          <w:sz w:val="22"/>
          <w:szCs w:val="22"/>
        </w:rPr>
        <w:t>concentré</w:t>
      </w:r>
      <w:r>
        <w:rPr>
          <w:rFonts w:ascii="Arial" w:hAnsi="Arial"/>
          <w:sz w:val="22"/>
          <w:szCs w:val="22"/>
        </w:rPr>
        <w:t>e</w:t>
      </w:r>
      <w:proofErr w:type="spellEnd"/>
      <w:r w:rsidRPr="00C7069A">
        <w:rPr>
          <w:rFonts w:ascii="Arial" w:hAnsi="Arial"/>
          <w:sz w:val="22"/>
          <w:szCs w:val="22"/>
        </w:rPr>
        <w:t xml:space="preserve"> </w:t>
      </w:r>
      <w:proofErr w:type="spellStart"/>
      <w:r w:rsidRPr="00C7069A">
        <w:rPr>
          <w:rFonts w:ascii="Arial" w:hAnsi="Arial"/>
          <w:sz w:val="22"/>
          <w:szCs w:val="22"/>
        </w:rPr>
        <w:t>autour</w:t>
      </w:r>
      <w:proofErr w:type="spellEnd"/>
      <w:r w:rsidRPr="00C7069A">
        <w:rPr>
          <w:rFonts w:ascii="Arial" w:hAnsi="Arial"/>
          <w:sz w:val="22"/>
          <w:szCs w:val="22"/>
        </w:rPr>
        <w:t xml:space="preserve"> de </w:t>
      </w:r>
      <w:r>
        <w:rPr>
          <w:rFonts w:ascii="Arial" w:hAnsi="Arial"/>
          <w:sz w:val="22"/>
          <w:szCs w:val="22"/>
        </w:rPr>
        <w:t>5</w:t>
      </w:r>
      <w:r w:rsidRPr="00C7069A">
        <w:rPr>
          <w:rFonts w:ascii="Arial" w:hAnsi="Arial"/>
          <w:sz w:val="22"/>
          <w:szCs w:val="22"/>
        </w:rPr>
        <w:t xml:space="preserve"> </w:t>
      </w:r>
      <w:proofErr w:type="gramStart"/>
      <w:r w:rsidRPr="00C7069A">
        <w:rPr>
          <w:rFonts w:ascii="Arial" w:hAnsi="Arial"/>
          <w:sz w:val="22"/>
          <w:szCs w:val="22"/>
        </w:rPr>
        <w:t>axes :</w:t>
      </w:r>
      <w:proofErr w:type="gramEnd"/>
    </w:p>
    <w:p w14:paraId="0101F38F" w14:textId="77777777" w:rsidP="00CE60B3" w:rsidR="00CE60B3" w:rsidRDefault="00CE60B3" w:rsidRPr="00C7069A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</w:rPr>
      </w:pPr>
    </w:p>
    <w:p w14:paraId="42E96A4D" w14:textId="77777777" w:rsidP="00CE60B3" w:rsidR="00CE60B3" w:rsidRDefault="00CE60B3">
      <w:pPr>
        <w:numPr>
          <w:ilvl w:val="0"/>
          <w:numId w:val="2"/>
        </w:numPr>
        <w:spacing w:after="0"/>
        <w:jc w:val="both"/>
        <w:rPr>
          <w:rFonts w:ascii="Arial" w:cs="Arial" w:hAnsi="Arial"/>
          <w:lang w:val="fr-FR"/>
        </w:rPr>
      </w:pPr>
      <w:r w:rsidRPr="001154DF">
        <w:rPr>
          <w:rFonts w:ascii="Arial" w:cs="Arial" w:hAnsi="Arial"/>
          <w:lang w:val="fr-FR"/>
        </w:rPr>
        <w:t xml:space="preserve">Maintenir les rémunérations des </w:t>
      </w:r>
      <w:r>
        <w:rPr>
          <w:rFonts w:ascii="Arial" w:cs="Arial" w:hAnsi="Arial"/>
          <w:lang w:val="fr-FR"/>
        </w:rPr>
        <w:t>S</w:t>
      </w:r>
      <w:r w:rsidRPr="001154DF">
        <w:rPr>
          <w:rFonts w:ascii="Arial" w:cs="Arial" w:hAnsi="Arial"/>
          <w:lang w:val="fr-FR"/>
        </w:rPr>
        <w:t>alariés pendant les périodes d’activité partielle</w:t>
      </w:r>
      <w:r>
        <w:rPr>
          <w:rFonts w:ascii="Arial" w:cs="Arial" w:hAnsi="Arial"/>
          <w:lang w:val="fr-FR"/>
        </w:rPr>
        <w:t> ;</w:t>
      </w:r>
    </w:p>
    <w:p w14:paraId="0F9FD78A" w14:textId="77777777" w:rsidP="00CE60B3" w:rsidR="00CE60B3" w:rsidRDefault="00CE60B3" w:rsidRPr="00656A91">
      <w:pPr>
        <w:numPr>
          <w:ilvl w:val="0"/>
          <w:numId w:val="2"/>
        </w:numPr>
        <w:spacing w:after="0"/>
        <w:jc w:val="both"/>
        <w:rPr>
          <w:lang w:val="fr-FR"/>
        </w:rPr>
      </w:pPr>
      <w:r w:rsidRPr="00656A91">
        <w:rPr>
          <w:rFonts w:ascii="Arial" w:cs="Arial" w:hAnsi="Arial"/>
          <w:lang w:val="fr-FR"/>
        </w:rPr>
        <w:t xml:space="preserve">Reconnaître la performance collective du Groupe ainsi que celle des établissements ; </w:t>
      </w:r>
    </w:p>
    <w:p w14:paraId="021C7FE9" w14:textId="77777777" w:rsidP="00CE60B3" w:rsidR="00CE60B3" w:rsidRDefault="00CE60B3" w:rsidRPr="00656A91">
      <w:pPr>
        <w:numPr>
          <w:ilvl w:val="0"/>
          <w:numId w:val="2"/>
        </w:numPr>
        <w:spacing w:after="0"/>
        <w:jc w:val="both"/>
        <w:rPr>
          <w:lang w:val="fr-FR"/>
        </w:rPr>
      </w:pPr>
      <w:r w:rsidRPr="00656A91">
        <w:rPr>
          <w:rFonts w:ascii="Arial" w:cs="Arial" w:hAnsi="Arial"/>
          <w:lang w:val="fr-FR"/>
        </w:rPr>
        <w:t>Valoriser la performance individuelle ;</w:t>
      </w:r>
    </w:p>
    <w:p w14:paraId="1A63B8A8" w14:textId="77777777" w:rsidP="00CE60B3" w:rsidR="00CE60B3" w:rsidRDefault="00CE60B3" w:rsidRPr="00304729">
      <w:pPr>
        <w:numPr>
          <w:ilvl w:val="0"/>
          <w:numId w:val="2"/>
        </w:numPr>
        <w:spacing w:after="0"/>
        <w:jc w:val="both"/>
        <w:rPr>
          <w:lang w:val="fr-FR"/>
        </w:rPr>
      </w:pPr>
      <w:r>
        <w:rPr>
          <w:rFonts w:ascii="Arial" w:cs="Arial" w:hAnsi="Arial"/>
          <w:lang w:val="fr-FR"/>
        </w:rPr>
        <w:t>A</w:t>
      </w:r>
      <w:r w:rsidRPr="00322E0B">
        <w:rPr>
          <w:rFonts w:ascii="Arial" w:cs="Arial" w:hAnsi="Arial"/>
          <w:lang w:val="fr-FR"/>
        </w:rPr>
        <w:t xml:space="preserve">ssocier l’ensemble des </w:t>
      </w:r>
      <w:r>
        <w:rPr>
          <w:rFonts w:ascii="Arial" w:cs="Arial" w:hAnsi="Arial"/>
          <w:lang w:val="fr-FR"/>
        </w:rPr>
        <w:t>S</w:t>
      </w:r>
      <w:r w:rsidRPr="00322E0B">
        <w:rPr>
          <w:rFonts w:ascii="Arial" w:cs="Arial" w:hAnsi="Arial"/>
          <w:lang w:val="fr-FR"/>
        </w:rPr>
        <w:t>alariés à la stratégie et à la réussite du Groupe par le développement de l’actionnariat</w:t>
      </w:r>
      <w:r>
        <w:rPr>
          <w:rFonts w:ascii="Arial" w:cs="Arial" w:hAnsi="Arial"/>
          <w:lang w:val="fr-FR"/>
        </w:rPr>
        <w:t xml:space="preserve"> ;</w:t>
      </w:r>
    </w:p>
    <w:p w14:paraId="7EAFC28C" w14:textId="77777777" w:rsidP="00CE60B3" w:rsidR="00CE60B3" w:rsidRDefault="00CE60B3">
      <w:pPr>
        <w:numPr>
          <w:ilvl w:val="0"/>
          <w:numId w:val="2"/>
        </w:numPr>
        <w:spacing w:after="0"/>
        <w:jc w:val="both"/>
        <w:rPr>
          <w:rFonts w:ascii="Arial" w:cs="Arial" w:hAnsi="Arial"/>
          <w:lang w:val="fr-FR"/>
        </w:rPr>
      </w:pPr>
      <w:r w:rsidRPr="00322E0B">
        <w:rPr>
          <w:rFonts w:ascii="Arial" w:cs="Arial" w:hAnsi="Arial"/>
          <w:lang w:val="fr-FR"/>
        </w:rPr>
        <w:t xml:space="preserve">Soutenir le pouvoir d’achat des </w:t>
      </w:r>
      <w:r>
        <w:rPr>
          <w:rFonts w:ascii="Arial" w:cs="Arial" w:hAnsi="Arial"/>
          <w:lang w:val="fr-FR"/>
        </w:rPr>
        <w:t>S</w:t>
      </w:r>
      <w:r w:rsidRPr="00322E0B">
        <w:rPr>
          <w:rFonts w:ascii="Arial" w:cs="Arial" w:hAnsi="Arial"/>
          <w:lang w:val="fr-FR"/>
        </w:rPr>
        <w:t>alariés dans un contexte spécifique via des actions immédiates</w:t>
      </w:r>
      <w:r>
        <w:rPr>
          <w:rFonts w:ascii="Arial" w:cs="Arial" w:hAnsi="Arial"/>
          <w:lang w:val="fr-FR"/>
        </w:rPr>
        <w:t>.</w:t>
      </w:r>
    </w:p>
    <w:p w14:paraId="37C76A93" w14:textId="77777777" w:rsidP="00CE60B3" w:rsidR="00CE60B3" w:rsidRDefault="00CE60B3" w:rsidRPr="001154DF">
      <w:pPr>
        <w:spacing w:after="0"/>
        <w:jc w:val="both"/>
        <w:rPr>
          <w:rFonts w:ascii="Arial" w:cs="Arial" w:hAnsi="Arial"/>
          <w:lang w:val="fr-FR"/>
        </w:rPr>
      </w:pPr>
    </w:p>
    <w:p w14:paraId="78504AA9" w14:textId="77777777" w:rsidP="00CE60B3" w:rsidR="00CE60B3" w:rsidRDefault="00CE60B3" w:rsidRPr="00C7069A">
      <w:pPr>
        <w:jc w:val="both"/>
        <w:rPr>
          <w:rFonts w:ascii="Arial" w:cs="Arial" w:hAnsi="Arial"/>
          <w:lang w:val="fr-FR"/>
        </w:rPr>
      </w:pPr>
      <w:r w:rsidRPr="00C7069A">
        <w:rPr>
          <w:rFonts w:ascii="Arial" w:cs="Arial" w:hAnsi="Arial"/>
          <w:lang w:val="fr-FR"/>
        </w:rPr>
        <w:t>Bien que les perspe</w:t>
      </w:r>
      <w:r>
        <w:rPr>
          <w:rFonts w:ascii="Arial" w:cs="Arial" w:hAnsi="Arial"/>
          <w:lang w:val="fr-FR"/>
        </w:rPr>
        <w:t>c</w:t>
      </w:r>
      <w:r w:rsidRPr="00C7069A">
        <w:rPr>
          <w:rFonts w:ascii="Arial" w:cs="Arial" w:hAnsi="Arial"/>
          <w:lang w:val="fr-FR"/>
        </w:rPr>
        <w:t xml:space="preserve">tives économiques pour 2023 s’améliorent, le contexte de l’entreprise reste encore incertain, en particulier en raison de la crise des semi-conducteurs qui se poursuit et </w:t>
      </w:r>
      <w:r>
        <w:rPr>
          <w:rFonts w:ascii="Arial" w:cs="Arial" w:hAnsi="Arial"/>
          <w:lang w:val="fr-FR"/>
        </w:rPr>
        <w:t>du</w:t>
      </w:r>
      <w:r w:rsidRPr="00C7069A">
        <w:rPr>
          <w:rFonts w:ascii="Arial" w:cs="Arial" w:hAnsi="Arial"/>
          <w:lang w:val="fr-FR"/>
        </w:rPr>
        <w:t xml:space="preserve"> coût de l’énergie qui ne cesse d’augmenter. Ces éléments restent des facteurs préoccupants pour l’activité de l’entreprise dans les mois à venir.</w:t>
      </w:r>
    </w:p>
    <w:p w14:paraId="3B4D3D9D" w14:textId="77777777" w:rsidP="00CE60B3" w:rsidR="00CE60B3" w:rsidRDefault="00CE60B3">
      <w:pPr>
        <w:jc w:val="both"/>
        <w:rPr>
          <w:rFonts w:ascii="Arial" w:cs="Arial" w:hAnsi="Arial"/>
          <w:lang w:val="fr-FR"/>
        </w:rPr>
      </w:pPr>
      <w:r w:rsidRPr="00C7069A">
        <w:rPr>
          <w:rFonts w:ascii="Arial" w:cs="Arial" w:hAnsi="Arial"/>
          <w:lang w:val="fr-FR"/>
        </w:rPr>
        <w:t xml:space="preserve">Conscients du contexte de forte inflation qui impacte le pouvoir d’achat et soucieux de continuer à reconnaître la performance individuelle et collective des </w:t>
      </w:r>
      <w:r>
        <w:rPr>
          <w:rFonts w:ascii="Arial" w:cs="Arial" w:hAnsi="Arial"/>
          <w:lang w:val="fr-FR"/>
        </w:rPr>
        <w:t>S</w:t>
      </w:r>
      <w:r w:rsidRPr="00C7069A">
        <w:rPr>
          <w:rFonts w:ascii="Arial" w:cs="Arial" w:hAnsi="Arial"/>
          <w:lang w:val="fr-FR"/>
        </w:rPr>
        <w:t xml:space="preserve">alariés, les partenaires sociaux ont convenu d’attribuer un budget global moyen </w:t>
      </w:r>
      <w:r w:rsidRPr="00C51F40">
        <w:rPr>
          <w:rFonts w:ascii="Arial" w:cs="Arial" w:hAnsi="Arial"/>
          <w:lang w:val="fr-FR"/>
        </w:rPr>
        <w:t>de 7,5% auxquels</w:t>
      </w:r>
      <w:r>
        <w:rPr>
          <w:rFonts w:ascii="Arial" w:cs="Arial" w:hAnsi="Arial"/>
          <w:lang w:val="fr-FR"/>
        </w:rPr>
        <w:t xml:space="preserve"> s’ajoutent </w:t>
      </w:r>
      <w:r w:rsidRPr="00C7069A">
        <w:rPr>
          <w:rFonts w:ascii="Arial" w:cs="Arial" w:hAnsi="Arial"/>
          <w:lang w:val="fr-FR"/>
        </w:rPr>
        <w:t xml:space="preserve">des mesures complémentaires. </w:t>
      </w:r>
      <w:r w:rsidRPr="0004608B">
        <w:rPr>
          <w:rFonts w:ascii="Arial" w:cs="Arial" w:hAnsi="Arial"/>
          <w:lang w:val="fr-FR"/>
        </w:rPr>
        <w:t xml:space="preserve">L’ensemble de ces mesures conduit à définir une politique salariale pour l’année 2023 supérieure à l’inflation constatée sur l’année 2022. </w:t>
      </w:r>
    </w:p>
    <w:p w14:paraId="1D419291" w14:textId="77777777" w:rsidP="00CE60B3" w:rsidR="00CE60B3" w:rsidRDefault="00CE60B3" w:rsidRPr="00C7069A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 xml:space="preserve">Enfin, </w:t>
      </w:r>
      <w:r w:rsidRPr="00C7069A">
        <w:rPr>
          <w:rFonts w:ascii="Arial" w:cs="Arial" w:hAnsi="Arial"/>
          <w:lang w:val="fr-FR"/>
        </w:rPr>
        <w:t xml:space="preserve">Renault </w:t>
      </w:r>
      <w:proofErr w:type="spellStart"/>
      <w:r w:rsidRPr="00C7069A">
        <w:rPr>
          <w:rFonts w:ascii="Arial" w:cs="Arial" w:hAnsi="Arial"/>
          <w:lang w:val="fr-FR"/>
        </w:rPr>
        <w:t>s.a.s</w:t>
      </w:r>
      <w:proofErr w:type="spellEnd"/>
      <w:r w:rsidRPr="00C7069A">
        <w:rPr>
          <w:rFonts w:ascii="Arial" w:cs="Arial" w:hAnsi="Arial"/>
          <w:lang w:val="fr-FR"/>
        </w:rPr>
        <w:t>. réaffirme son engagement visant à assurer à toute étape de la vie professionnelle de chaque salarié, une rémunération basée sur les performances de chacun. A ce titre, une attention particulière sera, comme chaque année, portée au respect de l’égalité salariale entre les femmes et les hommes.</w:t>
      </w:r>
    </w:p>
    <w:p w14:paraId="77A0990B" w14:textId="77777777" w:rsidP="00CE60B3" w:rsidR="00CE60B3" w:rsidRDefault="00CE60B3" w:rsidRPr="00C7069A">
      <w:pPr>
        <w:spacing w:after="0"/>
        <w:jc w:val="both"/>
        <w:rPr>
          <w:rFonts w:ascii="Arial" w:cs="Arial" w:hAnsi="Arial"/>
          <w:sz w:val="48"/>
          <w:szCs w:val="52"/>
          <w:lang w:val="fr-FR"/>
        </w:rPr>
      </w:pPr>
    </w:p>
    <w:p w14:paraId="671C2910" w14:textId="77777777" w:rsidP="00CE60B3" w:rsidR="00CE60B3" w:rsidRDefault="00CE60B3" w:rsidRPr="00CE60B3">
      <w:pPr>
        <w:pStyle w:val="Puces"/>
        <w:numPr>
          <w:ilvl w:val="0"/>
          <w:numId w:val="0"/>
        </w:numPr>
        <w:pBdr>
          <w:bottom w:color="7F7F7F" w:space="1" w:sz="18" w:themeColor="text1" w:themeTint="80" w:val="single"/>
        </w:pBdr>
        <w:spacing w:after="0"/>
        <w:rPr>
          <w:rFonts w:ascii="Arial" w:hAnsi="Arial"/>
          <w:b/>
          <w:smallCaps/>
          <w:color w:themeColor="text1" w:themeTint="80" w:val="7F7F7F"/>
          <w:sz w:val="28"/>
          <w:szCs w:val="28"/>
          <w:lang w:val="fr-FR"/>
        </w:rPr>
      </w:pPr>
      <w:r w:rsidRPr="00CE60B3">
        <w:rPr>
          <w:rFonts w:ascii="Arial" w:hAnsi="Arial"/>
          <w:b/>
          <w:smallCaps/>
          <w:color w:themeColor="text1" w:themeTint="80" w:val="7F7F7F"/>
          <w:sz w:val="28"/>
          <w:szCs w:val="28"/>
          <w:lang w:val="fr-FR"/>
        </w:rPr>
        <w:t>CHAPITRE 1</w:t>
      </w:r>
      <w:r w:rsidRPr="00CE60B3">
        <w:rPr>
          <w:rFonts w:ascii="Arial" w:hAnsi="Arial"/>
          <w:b/>
          <w:smallCaps/>
          <w:color w:themeColor="text1" w:themeTint="80" w:val="7F7F7F"/>
          <w:sz w:val="28"/>
          <w:szCs w:val="28"/>
          <w:vertAlign w:val="superscript"/>
          <w:lang w:val="fr-FR"/>
        </w:rPr>
        <w:t>er</w:t>
      </w:r>
      <w:r w:rsidRPr="00CE60B3">
        <w:rPr>
          <w:rFonts w:ascii="Arial" w:hAnsi="Arial"/>
          <w:b/>
          <w:smallCaps/>
          <w:color w:themeColor="text1" w:themeTint="80" w:val="7F7F7F"/>
          <w:sz w:val="28"/>
          <w:szCs w:val="28"/>
          <w:lang w:val="fr-FR"/>
        </w:rPr>
        <w:t xml:space="preserve"> – Champ d’application </w:t>
      </w:r>
    </w:p>
    <w:p w14:paraId="3E604492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12"/>
          <w:szCs w:val="12"/>
          <w:lang w:val="fr-FR"/>
        </w:rPr>
      </w:pPr>
    </w:p>
    <w:p w14:paraId="0E337540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Le présent accord s’applique à l’ensemble des Salariés de l’entreprise Renault </w:t>
      </w:r>
      <w:proofErr w:type="spellStart"/>
      <w:proofErr w:type="gramStart"/>
      <w:r w:rsidRPr="00CE60B3">
        <w:rPr>
          <w:rFonts w:ascii="Arial" w:hAnsi="Arial"/>
          <w:sz w:val="22"/>
          <w:szCs w:val="22"/>
          <w:lang w:val="fr-FR"/>
        </w:rPr>
        <w:t>s.a.s</w:t>
      </w:r>
      <w:proofErr w:type="spellEnd"/>
      <w:r w:rsidRPr="00CE60B3">
        <w:rPr>
          <w:rFonts w:ascii="Arial" w:hAnsi="Arial"/>
          <w:sz w:val="22"/>
          <w:szCs w:val="22"/>
          <w:lang w:val="fr-FR"/>
        </w:rPr>
        <w:t>..</w:t>
      </w:r>
      <w:proofErr w:type="gramEnd"/>
    </w:p>
    <w:p w14:paraId="6725D46A" w14:textId="14DFDFCB" w:rsidP="00CE60B3" w:rsidR="00CE60B3" w:rsidRDefault="00CE60B3">
      <w:pPr>
        <w:spacing w:after="0"/>
        <w:jc w:val="both"/>
        <w:rPr>
          <w:rFonts w:ascii="Arial" w:cs="Arial" w:hAnsi="Arial"/>
          <w:sz w:val="48"/>
          <w:szCs w:val="52"/>
          <w:lang w:val="fr-FR"/>
        </w:rPr>
      </w:pPr>
    </w:p>
    <w:p w14:paraId="6B992824" w14:textId="6DA5CC29" w:rsidP="00CE60B3" w:rsidR="00CE60B3" w:rsidRDefault="00CE60B3">
      <w:pPr>
        <w:spacing w:after="0"/>
        <w:jc w:val="both"/>
        <w:rPr>
          <w:rFonts w:ascii="Arial" w:cs="Arial" w:hAnsi="Arial"/>
          <w:sz w:val="48"/>
          <w:szCs w:val="52"/>
          <w:lang w:val="fr-FR"/>
        </w:rPr>
      </w:pPr>
    </w:p>
    <w:p w14:paraId="0C962E12" w14:textId="78720EAD" w:rsidP="00CE60B3" w:rsidR="00CE60B3" w:rsidRDefault="00CE60B3">
      <w:pPr>
        <w:spacing w:after="0"/>
        <w:jc w:val="both"/>
        <w:rPr>
          <w:rFonts w:ascii="Arial" w:cs="Arial" w:hAnsi="Arial"/>
          <w:lang w:val="fr-FR"/>
        </w:rPr>
      </w:pPr>
    </w:p>
    <w:p w14:paraId="4AA9EE25" w14:textId="77777777" w:rsidP="00CE60B3" w:rsidR="00CE60B3" w:rsidRDefault="00CE60B3" w:rsidRPr="00CE60B3">
      <w:pPr>
        <w:spacing w:after="0"/>
        <w:jc w:val="both"/>
        <w:rPr>
          <w:rFonts w:ascii="Arial" w:cs="Arial" w:hAnsi="Arial"/>
          <w:lang w:val="fr-FR"/>
        </w:rPr>
      </w:pPr>
    </w:p>
    <w:p w14:paraId="3152E13E" w14:textId="77777777" w:rsidP="00CE60B3" w:rsidR="00CE60B3" w:rsidRDefault="00CE60B3" w:rsidRPr="00CE60B3">
      <w:pPr>
        <w:pStyle w:val="Puces"/>
        <w:numPr>
          <w:ilvl w:val="0"/>
          <w:numId w:val="0"/>
        </w:numPr>
        <w:pBdr>
          <w:bottom w:color="7F7F7F" w:space="1" w:sz="18" w:themeColor="text1" w:themeTint="80" w:val="single"/>
        </w:pBdr>
        <w:spacing w:after="0"/>
        <w:rPr>
          <w:rFonts w:ascii="Arial" w:hAnsi="Arial"/>
          <w:b/>
          <w:smallCaps/>
          <w:color w:themeColor="text1" w:themeTint="80" w:val="7F7F7F"/>
          <w:sz w:val="28"/>
          <w:szCs w:val="28"/>
          <w:lang w:val="fr-FR"/>
        </w:rPr>
      </w:pPr>
      <w:r w:rsidRPr="00CE60B3">
        <w:rPr>
          <w:rFonts w:ascii="Arial" w:hAnsi="Arial"/>
          <w:b/>
          <w:smallCaps/>
          <w:color w:themeColor="text1" w:themeTint="80" w:val="7F7F7F"/>
          <w:sz w:val="28"/>
          <w:szCs w:val="28"/>
          <w:lang w:val="fr-FR"/>
        </w:rPr>
        <w:t>CHAPITRE 2 – Mesures salariales prévues au titre de l’année 2023</w:t>
      </w:r>
    </w:p>
    <w:p w14:paraId="5397CF3B" w14:textId="77777777" w:rsidP="00CE60B3" w:rsidR="00CE60B3" w:rsidRDefault="00CE60B3" w:rsidRPr="00D21A29">
      <w:pPr>
        <w:spacing w:after="0"/>
        <w:jc w:val="both"/>
        <w:rPr>
          <w:rFonts w:ascii="Arial" w:cs="Arial" w:hAnsi="Arial"/>
          <w:szCs w:val="24"/>
          <w:lang w:val="fr-FR"/>
        </w:rPr>
      </w:pPr>
    </w:p>
    <w:p w14:paraId="01F5DDC2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50490E5A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b/>
          <w:bCs/>
          <w:sz w:val="22"/>
          <w:szCs w:val="22"/>
          <w:u w:val="single"/>
          <w:lang w:val="fr-FR"/>
        </w:rPr>
      </w:pPr>
      <w:r w:rsidRPr="00CE60B3">
        <w:rPr>
          <w:rFonts w:ascii="Arial" w:hAnsi="Arial"/>
          <w:b/>
          <w:bCs/>
          <w:sz w:val="22"/>
          <w:szCs w:val="22"/>
          <w:u w:val="single"/>
          <w:lang w:val="fr-FR"/>
        </w:rPr>
        <w:t xml:space="preserve">Article 2.1 - Mesures comprises dans le budget global moyen de 7,5% </w:t>
      </w:r>
    </w:p>
    <w:p w14:paraId="1DB8795A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49143654" w14:textId="77777777" w:rsidP="00CE60B3" w:rsidR="00CE60B3" w:rsidRDefault="00CE60B3">
      <w:pPr>
        <w:jc w:val="both"/>
        <w:rPr>
          <w:rFonts w:ascii="Arial" w:hAnsi="Arial"/>
          <w:lang w:val="fr-FR"/>
        </w:rPr>
      </w:pPr>
      <w:r w:rsidRPr="00F86A83">
        <w:rPr>
          <w:rFonts w:ascii="Arial" w:hAnsi="Arial"/>
          <w:lang w:val="fr-FR"/>
        </w:rPr>
        <w:t xml:space="preserve">Il est alloué un budget global d’augmentation des salaires tous statuts (APR, ETAM et Cadres) de </w:t>
      </w:r>
      <w:r>
        <w:rPr>
          <w:rFonts w:ascii="Arial" w:hAnsi="Arial"/>
          <w:lang w:val="fr-FR"/>
        </w:rPr>
        <w:t>5</w:t>
      </w:r>
      <w:r w:rsidRPr="00F86A83">
        <w:rPr>
          <w:rFonts w:ascii="Arial" w:hAnsi="Arial"/>
          <w:lang w:val="fr-FR"/>
        </w:rPr>
        <w:t xml:space="preserve"> %</w:t>
      </w:r>
      <w:r>
        <w:rPr>
          <w:rFonts w:ascii="Arial" w:hAnsi="Arial"/>
          <w:lang w:val="fr-FR"/>
        </w:rPr>
        <w:t xml:space="preserve"> dans les conditions définies ci-dessous. </w:t>
      </w:r>
    </w:p>
    <w:p w14:paraId="27751D0B" w14:textId="77777777" w:rsidP="00CE60B3" w:rsidR="00CE60B3" w:rsidRDefault="00CE60B3">
      <w:pPr>
        <w:jc w:val="both"/>
        <w:rPr>
          <w:rFonts w:ascii="Arial" w:cs="Arial" w:hAnsi="Arial"/>
          <w:lang w:val="fr-FR"/>
        </w:rPr>
      </w:pPr>
      <w:r>
        <w:rPr>
          <w:rFonts w:ascii="Arial" w:hAnsi="Arial"/>
          <w:lang w:val="fr-FR"/>
        </w:rPr>
        <w:t>V</w:t>
      </w:r>
      <w:r w:rsidRPr="00D21A29">
        <w:rPr>
          <w:rFonts w:ascii="Arial" w:cs="Arial" w:hAnsi="Arial"/>
          <w:lang w:val="fr-FR"/>
        </w:rPr>
        <w:t>ien</w:t>
      </w:r>
      <w:r>
        <w:rPr>
          <w:rFonts w:ascii="Arial" w:cs="Arial" w:hAnsi="Arial"/>
          <w:lang w:val="fr-FR"/>
        </w:rPr>
        <w:t>t</w:t>
      </w:r>
      <w:r w:rsidRPr="00D21A29">
        <w:rPr>
          <w:rFonts w:ascii="Arial" w:cs="Arial" w:hAnsi="Arial"/>
          <w:lang w:val="fr-FR"/>
        </w:rPr>
        <w:t xml:space="preserve"> s’</w:t>
      </w:r>
      <w:r>
        <w:rPr>
          <w:rFonts w:ascii="Arial" w:cs="Arial" w:hAnsi="Arial"/>
          <w:lang w:val="fr-FR"/>
        </w:rPr>
        <w:t xml:space="preserve">y </w:t>
      </w:r>
      <w:r w:rsidRPr="00D21A29">
        <w:rPr>
          <w:rFonts w:ascii="Arial" w:cs="Arial" w:hAnsi="Arial"/>
          <w:lang w:val="fr-FR"/>
        </w:rPr>
        <w:t>ajouter,</w:t>
      </w:r>
      <w:r>
        <w:rPr>
          <w:rFonts w:ascii="Arial" w:cs="Arial" w:hAnsi="Arial"/>
          <w:lang w:val="fr-FR"/>
        </w:rPr>
        <w:t xml:space="preserve"> le versement </w:t>
      </w:r>
      <w:proofErr w:type="gramStart"/>
      <w:r>
        <w:rPr>
          <w:rFonts w:ascii="Arial" w:cs="Arial" w:hAnsi="Arial"/>
          <w:lang w:val="fr-FR"/>
        </w:rPr>
        <w:t>d’une prime soutien</w:t>
      </w:r>
      <w:proofErr w:type="gramEnd"/>
      <w:r>
        <w:rPr>
          <w:rFonts w:ascii="Arial" w:cs="Arial" w:hAnsi="Arial"/>
          <w:lang w:val="fr-FR"/>
        </w:rPr>
        <w:t xml:space="preserve"> pouvoir d’achat selon les modalités ci-après décrites. Par ailleurs, une prime de performance pourra être versée aux ETAM dans les conditions précisées ci-dessous. Les Cadres quant à eux sont éligibles à une part variable.</w:t>
      </w:r>
    </w:p>
    <w:p w14:paraId="52E7F162" w14:textId="77777777" w:rsidP="00CE60B3" w:rsidR="00CE60B3" w:rsidRDefault="00CE60B3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 xml:space="preserve">L’ensemble de ces dispositifs porte ainsi le budget </w:t>
      </w:r>
      <w:r w:rsidRPr="001256CF">
        <w:rPr>
          <w:rFonts w:ascii="Arial" w:cs="Arial" w:hAnsi="Arial"/>
          <w:lang w:val="fr-FR"/>
        </w:rPr>
        <w:t>global moyen à 7,5%.</w:t>
      </w:r>
    </w:p>
    <w:p w14:paraId="272413E5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14"/>
          <w:szCs w:val="14"/>
          <w:lang w:val="fr-FR"/>
        </w:rPr>
      </w:pPr>
    </w:p>
    <w:p w14:paraId="2E1C031F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cstheme="majorBidi" w:eastAsiaTheme="majorEastAsia" w:hAnsi="Arial"/>
          <w:iCs/>
          <w:color w:themeColor="accent1" w:val="4472C4"/>
          <w:sz w:val="22"/>
          <w:szCs w:val="22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 xml:space="preserve">Mesures salariales au bénéfice des Salariés APR </w:t>
      </w:r>
    </w:p>
    <w:p w14:paraId="03B08851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b/>
          <w:sz w:val="22"/>
          <w:szCs w:val="22"/>
          <w:u w:val="single"/>
          <w:lang w:val="fr-FR"/>
        </w:rPr>
      </w:pPr>
    </w:p>
    <w:p w14:paraId="266A4CEA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Renault </w:t>
      </w:r>
      <w:proofErr w:type="spellStart"/>
      <w:r w:rsidRPr="00CE60B3">
        <w:rPr>
          <w:rFonts w:ascii="Arial" w:hAnsi="Arial"/>
          <w:sz w:val="22"/>
          <w:szCs w:val="22"/>
          <w:lang w:val="fr-FR"/>
        </w:rPr>
        <w:t>s.a.s</w:t>
      </w:r>
      <w:proofErr w:type="spellEnd"/>
      <w:r w:rsidRPr="00CE60B3">
        <w:rPr>
          <w:rFonts w:ascii="Arial" w:hAnsi="Arial"/>
          <w:sz w:val="22"/>
          <w:szCs w:val="22"/>
          <w:lang w:val="fr-FR"/>
        </w:rPr>
        <w:t>. décide d’allouer une augmentation générale (AG) de 4%.</w:t>
      </w:r>
    </w:p>
    <w:p w14:paraId="57157D68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Cette mesure sera effective au 1</w:t>
      </w:r>
      <w:r w:rsidRPr="00CE60B3">
        <w:rPr>
          <w:rFonts w:ascii="Arial" w:hAnsi="Arial"/>
          <w:sz w:val="22"/>
          <w:szCs w:val="22"/>
          <w:vertAlign w:val="superscript"/>
          <w:lang w:val="fr-FR"/>
        </w:rPr>
        <w:t>er</w:t>
      </w:r>
      <w:r w:rsidRPr="00CE60B3">
        <w:rPr>
          <w:rFonts w:ascii="Arial" w:hAnsi="Arial"/>
          <w:sz w:val="22"/>
          <w:szCs w:val="22"/>
          <w:lang w:val="fr-FR"/>
        </w:rPr>
        <w:t xml:space="preserve"> février 2023.</w:t>
      </w:r>
    </w:p>
    <w:p w14:paraId="6E78D4CC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2C888408" w14:textId="2E2D56F1" w:rsidP="00CE60B3" w:rsidR="00CE60B3" w:rsidRDefault="00CE60B3" w:rsidRPr="00D21A29">
      <w:pPr>
        <w:pStyle w:val="NormalWeb"/>
        <w:spacing w:after="0" w:afterAutospacing="0" w:before="0" w:beforeAutospacing="0"/>
        <w:jc w:val="both"/>
        <w:rPr>
          <w:rFonts w:ascii="Arial" w:hAnsi="Arial"/>
          <w:sz w:val="22"/>
          <w:szCs w:val="22"/>
        </w:rPr>
      </w:pPr>
      <w:r w:rsidRPr="00D21A29">
        <w:rPr>
          <w:rFonts w:ascii="Arial" w:hAnsi="Arial"/>
          <w:sz w:val="22"/>
          <w:szCs w:val="22"/>
        </w:rPr>
        <w:t xml:space="preserve">Par ailleurs, un budget d’augmentations individuelles </w:t>
      </w:r>
      <w:r w:rsidRPr="007E51B3">
        <w:rPr>
          <w:rFonts w:ascii="Arial" w:hAnsi="Arial"/>
          <w:sz w:val="22"/>
          <w:szCs w:val="22"/>
        </w:rPr>
        <w:t>de 1 %, dont 0,2% au titre</w:t>
      </w:r>
      <w:r w:rsidRPr="00D21A29">
        <w:rPr>
          <w:rFonts w:ascii="Arial" w:hAnsi="Arial"/>
          <w:sz w:val="22"/>
          <w:szCs w:val="22"/>
        </w:rPr>
        <w:t xml:space="preserve"> de l’ancienneté, est prévu.</w:t>
      </w:r>
      <w:r>
        <w:rPr>
          <w:rFonts w:ascii="Arial" w:hAnsi="Arial"/>
          <w:sz w:val="22"/>
          <w:szCs w:val="22"/>
        </w:rPr>
        <w:t xml:space="preserve"> 75% des APR bénéficieront d’une mesure individuelle, </w:t>
      </w:r>
      <w:r w:rsidRPr="00D9609F">
        <w:rPr>
          <w:rFonts w:ascii="Arial" w:hAnsi="Arial"/>
          <w:sz w:val="22"/>
          <w:szCs w:val="22"/>
        </w:rPr>
        <w:t>étant précisé que ce ratio devra être atteint pour chaque sexe</w:t>
      </w:r>
      <w:r>
        <w:rPr>
          <w:rFonts w:ascii="Arial" w:hAnsi="Arial"/>
          <w:sz w:val="22"/>
          <w:szCs w:val="22"/>
        </w:rPr>
        <w:t>. C</w:t>
      </w:r>
      <w:r w:rsidRPr="00D21A29">
        <w:rPr>
          <w:rFonts w:ascii="Arial" w:hAnsi="Arial"/>
          <w:sz w:val="22"/>
          <w:szCs w:val="22"/>
        </w:rPr>
        <w:t>e budget se décompose comme suit :</w:t>
      </w:r>
    </w:p>
    <w:p w14:paraId="0C3DEC5E" w14:textId="77777777" w:rsidP="00CE60B3" w:rsidR="00CE60B3" w:rsidRDefault="00CE60B3" w:rsidRPr="00B2515D">
      <w:pPr>
        <w:pStyle w:val="Puces"/>
        <w:numPr>
          <w:ilvl w:val="0"/>
          <w:numId w:val="0"/>
        </w:numPr>
        <w:spacing w:after="0"/>
        <w:ind w:left="708"/>
        <w:rPr>
          <w:rFonts w:ascii="Arial" w:hAnsi="Arial"/>
          <w:b/>
          <w:sz w:val="22"/>
          <w:szCs w:val="22"/>
          <w:u w:val="single"/>
          <w:lang w:val="fr-FR"/>
        </w:rPr>
      </w:pPr>
    </w:p>
    <w:p w14:paraId="3EA1943C" w14:textId="77777777" w:rsidP="00CE60B3" w:rsidR="00CE60B3" w:rsidRDefault="00CE60B3" w:rsidRPr="00CE60B3">
      <w:pPr>
        <w:pStyle w:val="Puces"/>
        <w:numPr>
          <w:ilvl w:val="0"/>
          <w:numId w:val="3"/>
        </w:numPr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Attribution de blocs de compétences et/ou de promotions pour accompagner les parcours. Pour les coefficients inférieurs à 185, attribution de blocs de compétences en cohérence avec le poste tenu, sans limite de volume. Les blocs de compétences seront accordés dès le mois d’avril.</w:t>
      </w:r>
    </w:p>
    <w:p w14:paraId="57C0A394" w14:textId="77777777" w:rsidP="00CE60B3" w:rsidR="00CE60B3" w:rsidRDefault="00CE60B3" w:rsidRPr="00CE60B3">
      <w:pPr>
        <w:pStyle w:val="Puces"/>
        <w:numPr>
          <w:ilvl w:val="0"/>
          <w:numId w:val="0"/>
        </w:numPr>
        <w:ind w:left="720"/>
        <w:rPr>
          <w:rFonts w:ascii="Arial" w:hAnsi="Arial"/>
          <w:sz w:val="22"/>
          <w:szCs w:val="22"/>
          <w:lang w:val="fr-FR"/>
        </w:rPr>
      </w:pPr>
    </w:p>
    <w:p w14:paraId="1450402E" w14:textId="77777777" w:rsidP="00CE60B3" w:rsidR="00CE60B3" w:rsidRDefault="00CE60B3" w:rsidRPr="00CE60B3">
      <w:pPr>
        <w:pStyle w:val="Puces"/>
        <w:numPr>
          <w:ilvl w:val="0"/>
          <w:numId w:val="3"/>
        </w:numPr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En fonction de la performance individuelle des Salariés, des compléments de carrière (CC) pourront être attribués :</w:t>
      </w:r>
    </w:p>
    <w:p w14:paraId="65BAEF43" w14:textId="77777777" w:rsidP="00CE60B3" w:rsidR="00CE60B3" w:rsidRDefault="00CE60B3" w:rsidRPr="00CE60B3">
      <w:pPr>
        <w:pStyle w:val="Puces"/>
        <w:numPr>
          <w:ilvl w:val="1"/>
          <w:numId w:val="3"/>
        </w:numPr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Complément de carrière à 15 € bruts ;</w:t>
      </w:r>
    </w:p>
    <w:p w14:paraId="4F79D347" w14:textId="77777777" w:rsidP="00CE60B3" w:rsidR="00CE60B3" w:rsidRDefault="00CE60B3" w:rsidRPr="00CE60B3">
      <w:pPr>
        <w:pStyle w:val="Puces"/>
        <w:numPr>
          <w:ilvl w:val="1"/>
          <w:numId w:val="3"/>
        </w:numPr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Complément de carrière à 20 € bruts ; </w:t>
      </w:r>
    </w:p>
    <w:p w14:paraId="0FAB20E4" w14:textId="77777777" w:rsidP="00CE60B3" w:rsidR="00CE60B3" w:rsidRDefault="00CE60B3" w:rsidRPr="00CE60B3">
      <w:pPr>
        <w:pStyle w:val="Puces"/>
        <w:numPr>
          <w:ilvl w:val="1"/>
          <w:numId w:val="3"/>
        </w:numPr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Complément de carrière à 25 € bruts ;</w:t>
      </w:r>
    </w:p>
    <w:p w14:paraId="331972FE" w14:textId="77777777" w:rsidP="00CE60B3" w:rsidR="00CE60B3" w:rsidRDefault="00CE60B3" w:rsidRPr="00CE60B3">
      <w:pPr>
        <w:pStyle w:val="Puces"/>
        <w:numPr>
          <w:ilvl w:val="0"/>
          <w:numId w:val="0"/>
        </w:numPr>
        <w:ind w:left="72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Jusqu’au coefficient 185, possibilité de cumuler les blocs de compétences et les compléments de carrière.</w:t>
      </w:r>
    </w:p>
    <w:p w14:paraId="725D3B89" w14:textId="77777777" w:rsidP="00CE60B3" w:rsidR="00CE60B3" w:rsidRDefault="00CE60B3" w:rsidRPr="00CE60B3">
      <w:pPr>
        <w:pStyle w:val="Puces"/>
        <w:numPr>
          <w:ilvl w:val="0"/>
          <w:numId w:val="0"/>
        </w:numPr>
        <w:ind w:hanging="360" w:left="360"/>
        <w:rPr>
          <w:rFonts w:ascii="Arial" w:hAnsi="Arial"/>
          <w:sz w:val="22"/>
          <w:szCs w:val="22"/>
          <w:lang w:val="fr-FR"/>
        </w:rPr>
      </w:pPr>
    </w:p>
    <w:p w14:paraId="7DC1D89F" w14:textId="77777777" w:rsidP="00CE60B3" w:rsidR="00CE60B3" w:rsidRDefault="00CE60B3" w:rsidRPr="00CE60B3">
      <w:pPr>
        <w:pStyle w:val="Puces"/>
        <w:numPr>
          <w:ilvl w:val="0"/>
          <w:numId w:val="3"/>
        </w:numPr>
        <w:rPr>
          <w:rFonts w:ascii="Arial" w:hAnsi="Arial"/>
          <w:sz w:val="22"/>
          <w:szCs w:val="22"/>
          <w:lang w:val="fr-FR"/>
        </w:rPr>
      </w:pPr>
      <w:bookmarkStart w:id="0" w:name="_Hlk32858838"/>
      <w:r w:rsidRPr="00CE60B3">
        <w:rPr>
          <w:rFonts w:ascii="Arial" w:hAnsi="Arial"/>
          <w:sz w:val="22"/>
          <w:szCs w:val="22"/>
          <w:lang w:val="fr-FR"/>
        </w:rPr>
        <w:t xml:space="preserve">En lien avec les accords de l’entreprise, une attention particulière est portée aux situations suivantes : </w:t>
      </w:r>
    </w:p>
    <w:p w14:paraId="10A054A9" w14:textId="77777777" w:rsidP="00CE60B3" w:rsidR="00CE60B3" w:rsidRDefault="00CE60B3" w:rsidRPr="008409FD">
      <w:pPr>
        <w:pStyle w:val="Puces"/>
        <w:numPr>
          <w:ilvl w:val="1"/>
          <w:numId w:val="4"/>
        </w:numPr>
        <w:rPr>
          <w:rFonts w:ascii="Arial" w:hAnsi="Arial"/>
          <w:sz w:val="22"/>
          <w:szCs w:val="22"/>
        </w:rPr>
      </w:pPr>
      <w:r w:rsidRPr="008409FD">
        <w:rPr>
          <w:rFonts w:ascii="Arial" w:hAnsi="Arial"/>
          <w:sz w:val="22"/>
          <w:szCs w:val="22"/>
        </w:rPr>
        <w:t xml:space="preserve">Passage APR à </w:t>
      </w:r>
      <w:proofErr w:type="gramStart"/>
      <w:r w:rsidRPr="008409FD">
        <w:rPr>
          <w:rFonts w:ascii="Arial" w:hAnsi="Arial"/>
          <w:sz w:val="22"/>
          <w:szCs w:val="22"/>
        </w:rPr>
        <w:t>ETAM ;</w:t>
      </w:r>
      <w:proofErr w:type="gramEnd"/>
    </w:p>
    <w:p w14:paraId="71DC8579" w14:textId="77777777" w:rsidP="00CE60B3" w:rsidR="00CE60B3" w:rsidRDefault="00CE60B3" w:rsidRPr="00CE60B3">
      <w:pPr>
        <w:pStyle w:val="Puces"/>
        <w:numPr>
          <w:ilvl w:val="1"/>
          <w:numId w:val="4"/>
        </w:numPr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Accompagnement des parcours notamment OPS par l’octroi de blocs de compétences complémentaires ; </w:t>
      </w:r>
    </w:p>
    <w:p w14:paraId="33F967FF" w14:textId="77777777" w:rsidP="00CE60B3" w:rsidR="00CE60B3" w:rsidRDefault="00CE60B3" w:rsidRPr="00CE60B3">
      <w:pPr>
        <w:pStyle w:val="Puces"/>
        <w:numPr>
          <w:ilvl w:val="1"/>
          <w:numId w:val="4"/>
        </w:numPr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Parcours Accélérés futur CU F611</w:t>
      </w:r>
      <w:r w:rsidRPr="009B61F8">
        <w:rPr>
          <w:rFonts w:ascii="Arial" w:hAnsi="Arial"/>
          <w:sz w:val="22"/>
          <w:szCs w:val="22"/>
        </w:rPr>
        <w:sym w:char="F0E0" w:font="Wingdings"/>
      </w:r>
      <w:r w:rsidRPr="00CE60B3">
        <w:rPr>
          <w:rFonts w:ascii="Arial" w:hAnsi="Arial"/>
          <w:sz w:val="22"/>
          <w:szCs w:val="22"/>
          <w:lang w:val="fr-FR"/>
        </w:rPr>
        <w:t xml:space="preserve"> coefficient 215 à coefficient 260 positionnement à 5% minimum de la fourchette du coefficient 285 ;</w:t>
      </w:r>
    </w:p>
    <w:p w14:paraId="021770FD" w14:textId="1C6D14B9" w:rsidP="00CE60B3" w:rsidR="00CE60B3" w:rsidRDefault="00CE60B3">
      <w:pPr>
        <w:pStyle w:val="Puces"/>
        <w:numPr>
          <w:ilvl w:val="1"/>
          <w:numId w:val="3"/>
        </w:numPr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UEM 1 (40€ bruts) et UEM 2 (25€ bruts) pour 40% des P1CS éligibles.</w:t>
      </w:r>
    </w:p>
    <w:p w14:paraId="1FC0C763" w14:textId="4179DF60" w:rsidP="00B2515D" w:rsidR="00B2515D" w:rsidRDefault="00B2515D">
      <w:pPr>
        <w:pStyle w:val="Puces"/>
        <w:numPr>
          <w:ilvl w:val="0"/>
          <w:numId w:val="0"/>
        </w:numPr>
        <w:ind w:hanging="360" w:left="360"/>
        <w:rPr>
          <w:rFonts w:ascii="Arial" w:hAnsi="Arial"/>
          <w:sz w:val="22"/>
          <w:szCs w:val="22"/>
          <w:lang w:val="fr-FR"/>
        </w:rPr>
      </w:pPr>
    </w:p>
    <w:p w14:paraId="7B7B3BAA" w14:textId="6F188739" w:rsidP="00B2515D" w:rsidR="00B2515D" w:rsidRDefault="00B2515D">
      <w:pPr>
        <w:pStyle w:val="Puces"/>
        <w:numPr>
          <w:ilvl w:val="0"/>
          <w:numId w:val="0"/>
        </w:numPr>
        <w:ind w:hanging="360" w:left="360"/>
        <w:rPr>
          <w:rFonts w:ascii="Arial" w:hAnsi="Arial"/>
          <w:sz w:val="22"/>
          <w:szCs w:val="22"/>
          <w:lang w:val="fr-FR"/>
        </w:rPr>
      </w:pPr>
    </w:p>
    <w:p w14:paraId="1B08862D" w14:textId="472DD076" w:rsidP="00B2515D" w:rsidR="00B2515D" w:rsidRDefault="00B2515D">
      <w:pPr>
        <w:pStyle w:val="Puces"/>
        <w:numPr>
          <w:ilvl w:val="0"/>
          <w:numId w:val="0"/>
        </w:numPr>
        <w:ind w:hanging="360" w:left="360"/>
        <w:rPr>
          <w:rFonts w:ascii="Arial" w:hAnsi="Arial"/>
          <w:sz w:val="22"/>
          <w:szCs w:val="22"/>
          <w:lang w:val="fr-FR"/>
        </w:rPr>
      </w:pPr>
    </w:p>
    <w:p w14:paraId="43A315A2" w14:textId="77777777" w:rsidP="00B2515D" w:rsidR="00B2515D" w:rsidRDefault="00B2515D" w:rsidRPr="00CE60B3">
      <w:pPr>
        <w:pStyle w:val="Puces"/>
        <w:numPr>
          <w:ilvl w:val="0"/>
          <w:numId w:val="0"/>
        </w:numPr>
        <w:ind w:hanging="360" w:left="360"/>
        <w:rPr>
          <w:rFonts w:ascii="Arial" w:hAnsi="Arial"/>
          <w:sz w:val="22"/>
          <w:szCs w:val="22"/>
          <w:lang w:val="fr-FR"/>
        </w:rPr>
      </w:pPr>
    </w:p>
    <w:bookmarkEnd w:id="0"/>
    <w:p w14:paraId="58565B19" w14:textId="77777777" w:rsidP="00CE60B3" w:rsidR="00CE60B3" w:rsidRDefault="00CE60B3" w:rsidRPr="00F46204">
      <w:pPr>
        <w:spacing w:before="160"/>
        <w:jc w:val="both"/>
        <w:rPr>
          <w:rFonts w:ascii="Arial" w:cs="Arial" w:hAnsi="Arial"/>
          <w:lang w:val="fr-FR"/>
        </w:rPr>
      </w:pPr>
      <w:r w:rsidRPr="005B53C8"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 xml:space="preserve">Mesures salariales au </w:t>
      </w:r>
      <w:r w:rsidRPr="00F46204"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>bénéfice des Salariés ETAM</w:t>
      </w:r>
    </w:p>
    <w:p w14:paraId="03F1A8FA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Renault </w:t>
      </w:r>
      <w:proofErr w:type="spellStart"/>
      <w:r w:rsidRPr="00CE60B3">
        <w:rPr>
          <w:rFonts w:ascii="Arial" w:hAnsi="Arial"/>
          <w:sz w:val="22"/>
          <w:szCs w:val="22"/>
          <w:lang w:val="fr-FR"/>
        </w:rPr>
        <w:t>s.a.s</w:t>
      </w:r>
      <w:proofErr w:type="spellEnd"/>
      <w:r w:rsidRPr="00CE60B3">
        <w:rPr>
          <w:rFonts w:ascii="Arial" w:hAnsi="Arial"/>
          <w:sz w:val="22"/>
          <w:szCs w:val="22"/>
          <w:lang w:val="fr-FR"/>
        </w:rPr>
        <w:t>. décide d’allouer une augmentation générale (AG) de 3%.</w:t>
      </w:r>
    </w:p>
    <w:p w14:paraId="68EC2F99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Cette mesure sera effective au 1</w:t>
      </w:r>
      <w:r w:rsidRPr="00CE60B3">
        <w:rPr>
          <w:rFonts w:ascii="Arial" w:hAnsi="Arial"/>
          <w:sz w:val="22"/>
          <w:szCs w:val="22"/>
          <w:vertAlign w:val="superscript"/>
          <w:lang w:val="fr-FR"/>
        </w:rPr>
        <w:t>er</w:t>
      </w:r>
      <w:r w:rsidRPr="00CE60B3">
        <w:rPr>
          <w:rFonts w:ascii="Arial" w:hAnsi="Arial"/>
          <w:sz w:val="22"/>
          <w:szCs w:val="22"/>
          <w:lang w:val="fr-FR"/>
        </w:rPr>
        <w:t xml:space="preserve"> février 2023.</w:t>
      </w:r>
    </w:p>
    <w:p w14:paraId="47EAE3F0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1937427C" w14:textId="77777777" w:rsidP="00CE60B3" w:rsidR="00CE60B3" w:rsidRDefault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Par ailleurs, un budget d’augmentations individuelles de 2 %, dont 0,2% au titre de l’ancienneté, est prévu. 85% des ETAM bénéficieront d’une mesure individuelle, </w:t>
      </w:r>
      <w:r w:rsidRPr="00CE60B3">
        <w:rPr>
          <w:rFonts w:ascii="Arial" w:eastAsia="Times New Roman" w:hAnsi="Arial"/>
          <w:sz w:val="22"/>
          <w:szCs w:val="22"/>
          <w:lang w:val="fr-FR"/>
        </w:rPr>
        <w:t>étant précisé que ce ratio devra être atteint pour chaque sexe</w:t>
      </w:r>
      <w:r w:rsidRPr="00CE60B3">
        <w:rPr>
          <w:rFonts w:ascii="Arial" w:cs="Times New Roman" w:eastAsia="Times New Roman" w:hAnsi="Arial"/>
          <w:sz w:val="22"/>
          <w:szCs w:val="22"/>
          <w:lang w:eastAsia="fr-FR" w:val="fr-FR"/>
        </w:rPr>
        <w:t xml:space="preserve">. </w:t>
      </w:r>
      <w:r>
        <w:rPr>
          <w:rFonts w:ascii="Arial" w:hAnsi="Arial"/>
          <w:sz w:val="22"/>
          <w:szCs w:val="22"/>
        </w:rPr>
        <w:t>Ce budget</w:t>
      </w:r>
      <w:r w:rsidRPr="00453274">
        <w:rPr>
          <w:rFonts w:ascii="Arial" w:hAnsi="Arial"/>
          <w:sz w:val="22"/>
          <w:szCs w:val="22"/>
        </w:rPr>
        <w:t xml:space="preserve"> se </w:t>
      </w:r>
      <w:proofErr w:type="spellStart"/>
      <w:r w:rsidRPr="00453274">
        <w:rPr>
          <w:rFonts w:ascii="Arial" w:hAnsi="Arial"/>
          <w:sz w:val="22"/>
          <w:szCs w:val="22"/>
        </w:rPr>
        <w:t>décompose</w:t>
      </w:r>
      <w:proofErr w:type="spellEnd"/>
      <w:r w:rsidRPr="00453274">
        <w:rPr>
          <w:rFonts w:ascii="Arial" w:hAnsi="Arial"/>
          <w:sz w:val="22"/>
          <w:szCs w:val="22"/>
        </w:rPr>
        <w:t xml:space="preserve"> </w:t>
      </w:r>
      <w:proofErr w:type="spellStart"/>
      <w:r w:rsidRPr="00453274">
        <w:rPr>
          <w:rFonts w:ascii="Arial" w:hAnsi="Arial"/>
          <w:sz w:val="22"/>
          <w:szCs w:val="22"/>
        </w:rPr>
        <w:t>comme</w:t>
      </w:r>
      <w:proofErr w:type="spellEnd"/>
      <w:r w:rsidRPr="00453274">
        <w:rPr>
          <w:rFonts w:ascii="Arial" w:hAnsi="Arial"/>
          <w:sz w:val="22"/>
          <w:szCs w:val="22"/>
        </w:rPr>
        <w:t xml:space="preserve"> </w:t>
      </w:r>
      <w:proofErr w:type="gramStart"/>
      <w:r w:rsidRPr="00453274">
        <w:rPr>
          <w:rFonts w:ascii="Arial" w:hAnsi="Arial"/>
          <w:sz w:val="22"/>
          <w:szCs w:val="22"/>
        </w:rPr>
        <w:t>suit :</w:t>
      </w:r>
      <w:proofErr w:type="gramEnd"/>
    </w:p>
    <w:p w14:paraId="77FE4FC8" w14:textId="77777777" w:rsidP="00CE60B3" w:rsidR="00CE60B3" w:rsidRDefault="00CE60B3">
      <w:pPr>
        <w:pStyle w:val="Puces"/>
        <w:numPr>
          <w:ilvl w:val="0"/>
          <w:numId w:val="0"/>
        </w:numPr>
        <w:spacing w:after="0"/>
        <w:ind w:left="814"/>
        <w:rPr>
          <w:rFonts w:ascii="Arial" w:hAnsi="Arial"/>
          <w:sz w:val="22"/>
          <w:szCs w:val="22"/>
        </w:rPr>
      </w:pPr>
    </w:p>
    <w:p w14:paraId="7247A975" w14:textId="77777777" w:rsidP="00CE60B3" w:rsidR="00CE60B3" w:rsidRDefault="00CE60B3" w:rsidRPr="00CE60B3">
      <w:pPr>
        <w:pStyle w:val="Puces"/>
        <w:numPr>
          <w:ilvl w:val="0"/>
          <w:numId w:val="5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Des augmentations individuelles à hauteur de 2% à 6% accompagnant ou non une promotion pourront être attribuées.</w:t>
      </w:r>
    </w:p>
    <w:p w14:paraId="423CECCF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ind w:left="720"/>
        <w:rPr>
          <w:rFonts w:ascii="Arial" w:hAnsi="Arial"/>
          <w:sz w:val="22"/>
          <w:szCs w:val="22"/>
          <w:lang w:val="fr-FR"/>
        </w:rPr>
      </w:pPr>
    </w:p>
    <w:p w14:paraId="36558C0E" w14:textId="77777777" w:rsidP="00CE60B3" w:rsidR="00CE60B3" w:rsidRDefault="00CE60B3" w:rsidRPr="00CE60B3">
      <w:pPr>
        <w:pStyle w:val="Puces"/>
        <w:numPr>
          <w:ilvl w:val="0"/>
          <w:numId w:val="5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Une attention particulière est portée aux populations et situations suivantes :</w:t>
      </w:r>
    </w:p>
    <w:p w14:paraId="0AEABA2C" w14:textId="77777777" w:rsidP="00CE60B3" w:rsidR="00CE60B3" w:rsidRDefault="00CE60B3" w:rsidRPr="00CE60B3">
      <w:pPr>
        <w:pStyle w:val="Puces"/>
        <w:numPr>
          <w:ilvl w:val="0"/>
          <w:numId w:val="8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Aux ETAM ayant une ancienneté supérieure à 10 ans dans le même coefficient ;</w:t>
      </w:r>
    </w:p>
    <w:p w14:paraId="69F4EF97" w14:textId="77777777" w:rsidP="00CE60B3" w:rsidR="00CE60B3" w:rsidRDefault="00CE60B3" w:rsidRPr="00CE60B3">
      <w:pPr>
        <w:pStyle w:val="Puces"/>
        <w:numPr>
          <w:ilvl w:val="0"/>
          <w:numId w:val="8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A l’accompagnement des Parcours accélérés CU F611 : les ETAM identifiés au coefficient 260 pourront être promus au coefficient 285 à 8% de la fourchette du coefficient 285 ;</w:t>
      </w:r>
    </w:p>
    <w:p w14:paraId="74986A3D" w14:textId="77777777" w:rsidP="00CE60B3" w:rsidR="00CE60B3" w:rsidRDefault="00CE60B3" w:rsidRPr="00CE60B3">
      <w:pPr>
        <w:pStyle w:val="Puces"/>
        <w:numPr>
          <w:ilvl w:val="0"/>
          <w:numId w:val="7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Aux promotions au statut cadre définies comme suit :</w:t>
      </w:r>
    </w:p>
    <w:p w14:paraId="1630A611" w14:textId="77777777" w:rsidP="00CE60B3" w:rsidR="00CE60B3" w:rsidRDefault="00CE60B3" w:rsidRPr="00CE60B3">
      <w:pPr>
        <w:pStyle w:val="Puces"/>
        <w:numPr>
          <w:ilvl w:val="2"/>
          <w:numId w:val="6"/>
        </w:numPr>
        <w:spacing w:after="0" w:line="254" w:lineRule="auto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Promotion au titre de la reconnaissance des responsabilités exercées (PRRE) : augmentation de 3 à 5 %, accompagnée ou non d’une prime déterminée par le manager ; </w:t>
      </w:r>
    </w:p>
    <w:p w14:paraId="635F900C" w14:textId="77777777" w:rsidP="00CE60B3" w:rsidR="00CE60B3" w:rsidRDefault="00CE60B3" w:rsidRPr="00CE60B3">
      <w:pPr>
        <w:pStyle w:val="Puces"/>
        <w:numPr>
          <w:ilvl w:val="2"/>
          <w:numId w:val="6"/>
        </w:numPr>
        <w:spacing w:after="0" w:line="254" w:lineRule="auto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Promotion Cadre Cours de Carrière (PCCC) : augmentation de 5 à 7%, accompagnée d’une prime de 700 € bruts ou de 1 000€ bruts si mention spéciale Jury ;</w:t>
      </w:r>
    </w:p>
    <w:p w14:paraId="64260D33" w14:textId="77777777" w:rsidP="00CE60B3" w:rsidR="00CE60B3" w:rsidRDefault="00CE60B3" w:rsidRPr="00CE60B3">
      <w:pPr>
        <w:pStyle w:val="Puces"/>
        <w:numPr>
          <w:ilvl w:val="2"/>
          <w:numId w:val="6"/>
        </w:numPr>
        <w:spacing w:after="0" w:line="254" w:lineRule="auto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Promotion supérieure diplômante (PSD) : augmentation de 10 à 12%, accompagnée d’une prime de 1 000 € bruts.</w:t>
      </w:r>
    </w:p>
    <w:p w14:paraId="22D54C80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 w:line="254" w:lineRule="auto"/>
        <w:ind w:left="2868"/>
        <w:rPr>
          <w:rFonts w:ascii="Arial" w:hAnsi="Arial"/>
          <w:sz w:val="22"/>
          <w:szCs w:val="22"/>
          <w:lang w:val="fr-FR"/>
        </w:rPr>
      </w:pPr>
    </w:p>
    <w:p w14:paraId="37D010D9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En outre, les managers ont la possibilité de reconnaître la performance et l’engagement individuel par l’attribution d’une prime individuelle de performance. Pour ce faire, trois niveaux de prime sont mis en œuvre : </w:t>
      </w:r>
    </w:p>
    <w:p w14:paraId="442319B1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119D725F" w14:textId="77777777" w:rsidP="00CE60B3" w:rsidR="00CE60B3" w:rsidRDefault="00CE60B3" w:rsidRPr="00D21A29">
      <w:pPr>
        <w:pStyle w:val="Puces"/>
        <w:numPr>
          <w:ilvl w:val="0"/>
          <w:numId w:val="11"/>
        </w:numPr>
        <w:spacing w:after="0"/>
        <w:rPr>
          <w:rFonts w:ascii="Arial" w:hAnsi="Arial"/>
          <w:sz w:val="22"/>
          <w:szCs w:val="22"/>
        </w:rPr>
      </w:pPr>
      <w:r w:rsidRPr="00D21A29">
        <w:rPr>
          <w:rFonts w:ascii="Arial" w:hAnsi="Arial"/>
          <w:sz w:val="22"/>
          <w:szCs w:val="22"/>
        </w:rPr>
        <w:t xml:space="preserve">400 € </w:t>
      </w:r>
      <w:proofErr w:type="spellStart"/>
      <w:proofErr w:type="gramStart"/>
      <w:r w:rsidRPr="00D21A29">
        <w:rPr>
          <w:rFonts w:ascii="Arial" w:hAnsi="Arial"/>
          <w:sz w:val="22"/>
          <w:szCs w:val="22"/>
        </w:rPr>
        <w:t>bruts</w:t>
      </w:r>
      <w:proofErr w:type="spellEnd"/>
      <w:r w:rsidRPr="00D21A29">
        <w:rPr>
          <w:rFonts w:ascii="Arial" w:hAnsi="Arial"/>
          <w:sz w:val="22"/>
          <w:szCs w:val="22"/>
        </w:rPr>
        <w:t xml:space="preserve"> ;</w:t>
      </w:r>
      <w:proofErr w:type="gramEnd"/>
    </w:p>
    <w:p w14:paraId="60395C89" w14:textId="77777777" w:rsidP="00CE60B3" w:rsidR="00CE60B3" w:rsidRDefault="00CE60B3" w:rsidRPr="00D21A29">
      <w:pPr>
        <w:pStyle w:val="Puces"/>
        <w:numPr>
          <w:ilvl w:val="0"/>
          <w:numId w:val="11"/>
        </w:numPr>
        <w:spacing w:after="0"/>
        <w:rPr>
          <w:rFonts w:ascii="Arial" w:hAnsi="Arial"/>
          <w:sz w:val="22"/>
          <w:szCs w:val="22"/>
        </w:rPr>
      </w:pPr>
      <w:r w:rsidRPr="00D21A29">
        <w:rPr>
          <w:rFonts w:ascii="Arial" w:hAnsi="Arial"/>
          <w:sz w:val="22"/>
          <w:szCs w:val="22"/>
        </w:rPr>
        <w:t xml:space="preserve">700 € </w:t>
      </w:r>
      <w:proofErr w:type="spellStart"/>
      <w:proofErr w:type="gramStart"/>
      <w:r w:rsidRPr="00D21A29">
        <w:rPr>
          <w:rFonts w:ascii="Arial" w:hAnsi="Arial"/>
          <w:sz w:val="22"/>
          <w:szCs w:val="22"/>
        </w:rPr>
        <w:t>bruts</w:t>
      </w:r>
      <w:proofErr w:type="spellEnd"/>
      <w:r w:rsidRPr="00D21A29">
        <w:rPr>
          <w:rFonts w:ascii="Arial" w:hAnsi="Arial"/>
          <w:sz w:val="22"/>
          <w:szCs w:val="22"/>
        </w:rPr>
        <w:t xml:space="preserve"> ;</w:t>
      </w:r>
      <w:proofErr w:type="gramEnd"/>
    </w:p>
    <w:p w14:paraId="139FCC30" w14:textId="77777777" w:rsidP="00CE60B3" w:rsidR="00CE60B3" w:rsidRDefault="00CE60B3" w:rsidRPr="00D21A29">
      <w:pPr>
        <w:pStyle w:val="Puces"/>
        <w:numPr>
          <w:ilvl w:val="0"/>
          <w:numId w:val="11"/>
        </w:numPr>
        <w:spacing w:after="0"/>
        <w:rPr>
          <w:rFonts w:ascii="Arial" w:hAnsi="Arial"/>
          <w:sz w:val="22"/>
          <w:szCs w:val="22"/>
        </w:rPr>
      </w:pPr>
      <w:r w:rsidRPr="00D21A29">
        <w:rPr>
          <w:rFonts w:ascii="Arial" w:hAnsi="Arial"/>
          <w:sz w:val="22"/>
          <w:szCs w:val="22"/>
        </w:rPr>
        <w:t xml:space="preserve">1 000 € </w:t>
      </w:r>
      <w:proofErr w:type="spellStart"/>
      <w:r w:rsidRPr="00D21A29">
        <w:rPr>
          <w:rFonts w:ascii="Arial" w:hAnsi="Arial"/>
          <w:sz w:val="22"/>
          <w:szCs w:val="22"/>
        </w:rPr>
        <w:t>bruts</w:t>
      </w:r>
      <w:proofErr w:type="spellEnd"/>
      <w:r w:rsidRPr="00D21A29">
        <w:rPr>
          <w:rFonts w:ascii="Arial" w:hAnsi="Arial"/>
          <w:sz w:val="22"/>
          <w:szCs w:val="22"/>
        </w:rPr>
        <w:t>.</w:t>
      </w:r>
    </w:p>
    <w:p w14:paraId="74690DCC" w14:textId="77777777" w:rsidP="00CE60B3" w:rsidR="00CE60B3" w:rsidRDefault="00CE60B3" w:rsidRPr="00B2515D">
      <w:pPr>
        <w:jc w:val="both"/>
        <w:rPr>
          <w:rFonts w:ascii="Arial" w:cs="Arial" w:hAnsi="Arial"/>
          <w:sz w:val="14"/>
          <w:szCs w:val="14"/>
          <w:lang w:val="fr-FR"/>
        </w:rPr>
      </w:pPr>
    </w:p>
    <w:p w14:paraId="7D434C6F" w14:textId="77777777" w:rsidP="00CE60B3" w:rsidR="00CE60B3" w:rsidRDefault="00CE60B3" w:rsidRPr="005B5ECE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L</w:t>
      </w:r>
      <w:r w:rsidRPr="00F34C1C">
        <w:rPr>
          <w:rFonts w:ascii="Arial" w:cs="Arial" w:hAnsi="Arial"/>
          <w:lang w:val="fr-FR"/>
        </w:rPr>
        <w:t>e taux de couverture des primes</w:t>
      </w:r>
      <w:r>
        <w:rPr>
          <w:rFonts w:ascii="Arial" w:cs="Arial" w:hAnsi="Arial"/>
          <w:lang w:val="fr-FR"/>
        </w:rPr>
        <w:t xml:space="preserve"> de performance</w:t>
      </w:r>
      <w:r w:rsidRPr="00F34C1C">
        <w:rPr>
          <w:rFonts w:ascii="Arial" w:cs="Arial" w:hAnsi="Arial"/>
          <w:lang w:val="fr-FR"/>
        </w:rPr>
        <w:t xml:space="preserve"> </w:t>
      </w:r>
      <w:r>
        <w:rPr>
          <w:rFonts w:ascii="Arial" w:cs="Arial" w:hAnsi="Arial"/>
          <w:lang w:val="fr-FR"/>
        </w:rPr>
        <w:t>est de</w:t>
      </w:r>
      <w:r w:rsidRPr="00F34C1C">
        <w:rPr>
          <w:rFonts w:ascii="Arial" w:cs="Arial" w:hAnsi="Arial"/>
          <w:lang w:val="fr-FR"/>
        </w:rPr>
        <w:t xml:space="preserve"> 70 % des ETAM.</w:t>
      </w:r>
    </w:p>
    <w:p w14:paraId="19D82BF2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ind w:hanging="360" w:left="360"/>
        <w:rPr>
          <w:rFonts w:ascii="Arial" w:hAnsi="Arial"/>
          <w:sz w:val="22"/>
          <w:szCs w:val="22"/>
          <w:lang w:val="fr-FR"/>
        </w:rPr>
      </w:pPr>
    </w:p>
    <w:p w14:paraId="151AB2DE" w14:textId="77777777" w:rsidP="00CE60B3" w:rsidR="00CE60B3" w:rsidRDefault="00CE60B3" w:rsidRPr="00A3670B">
      <w:pPr>
        <w:spacing w:before="160"/>
        <w:jc w:val="both"/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</w:pPr>
      <w:r w:rsidRPr="00A3670B"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 xml:space="preserve">Mesures salariales au bénéfice des </w:t>
      </w:r>
      <w:r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>S</w:t>
      </w:r>
      <w:r w:rsidRPr="00A3670B"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>alariés Cadres</w:t>
      </w:r>
    </w:p>
    <w:p w14:paraId="3C4C9ADB" w14:textId="77777777" w:rsidP="00CE60B3" w:rsidR="00CE60B3" w:rsidRDefault="00CE60B3">
      <w:pPr>
        <w:jc w:val="both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 xml:space="preserve">Un budget </w:t>
      </w:r>
      <w:r w:rsidRPr="00B30B7B">
        <w:rPr>
          <w:rFonts w:ascii="Arial" w:cs="Arial" w:hAnsi="Arial"/>
          <w:lang w:val="fr-FR"/>
        </w:rPr>
        <w:t>d’augmentations individuelles de 5 % est prévu, permettant d’accompagner notamment les promotions. 90% des Cadres bénéficieront d’une augmentation individuelle d’au moins 2%.</w:t>
      </w:r>
    </w:p>
    <w:p w14:paraId="61DDA3D7" w14:textId="61A876C6" w:rsidP="00CE60B3" w:rsidR="00CE60B3" w:rsidRDefault="00CE60B3">
      <w:pPr>
        <w:jc w:val="both"/>
        <w:rPr>
          <w:i/>
          <w:iCs/>
          <w:lang w:val="fr-FR"/>
        </w:rPr>
      </w:pPr>
      <w:r>
        <w:rPr>
          <w:rFonts w:ascii="Arial" w:cs="Arial" w:hAnsi="Arial"/>
          <w:lang w:val="fr-FR"/>
        </w:rPr>
        <w:t>C</w:t>
      </w:r>
      <w:r w:rsidRPr="005B5669">
        <w:rPr>
          <w:rFonts w:ascii="Arial" w:cs="Arial" w:hAnsi="Arial"/>
          <w:lang w:val="fr-FR"/>
        </w:rPr>
        <w:t>onformément à la politique définie par Renault Group en la matière, les cadres sont éligibles à une part variable.</w:t>
      </w:r>
      <w:r>
        <w:rPr>
          <w:rFonts w:ascii="Arial" w:cs="Arial" w:hAnsi="Arial"/>
          <w:lang w:val="fr-FR"/>
        </w:rPr>
        <w:t xml:space="preserve"> A titre informatif, l</w:t>
      </w:r>
      <w:r w:rsidRPr="005B5669">
        <w:rPr>
          <w:rFonts w:ascii="Arial" w:cs="Arial" w:hAnsi="Arial"/>
          <w:lang w:val="fr-FR"/>
        </w:rPr>
        <w:t>’enveloppe de la part variable payée en 2023 serait d’un niveau équivalent à 2022, soit significativement supérieur au budget habituel, sous réserve de la confirmation des résultats financiers. Cette part variable sera versée en une seule fois sur la paie d’avril.</w:t>
      </w:r>
      <w:r w:rsidRPr="005B5669">
        <w:rPr>
          <w:i/>
          <w:iCs/>
          <w:lang w:val="fr-FR"/>
        </w:rPr>
        <w:t> </w:t>
      </w:r>
    </w:p>
    <w:p w14:paraId="16E17DD9" w14:textId="77777777" w:rsidP="00CE60B3" w:rsidR="000F0DCE" w:rsidRDefault="000F0DCE" w:rsidRPr="005B5669">
      <w:pPr>
        <w:jc w:val="both"/>
        <w:rPr>
          <w:rFonts w:ascii="Arial" w:cs="Arial" w:hAnsi="Arial"/>
          <w:lang w:val="fr-FR"/>
        </w:rPr>
      </w:pPr>
    </w:p>
    <w:p w14:paraId="0EE3589C" w14:textId="77777777" w:rsidP="00CE60B3" w:rsidR="00CE60B3" w:rsidRDefault="00CE60B3">
      <w:pPr>
        <w:jc w:val="both"/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</w:pPr>
      <w:r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>Mesure commune aux APR, ETAM et Cadres : l</w:t>
      </w:r>
      <w:r w:rsidRPr="00695883"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 xml:space="preserve">a </w:t>
      </w:r>
      <w:r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>P</w:t>
      </w:r>
      <w:r w:rsidRPr="00695883"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 xml:space="preserve">rime </w:t>
      </w:r>
      <w:r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>soutien pouvoir d’achat</w:t>
      </w:r>
    </w:p>
    <w:p w14:paraId="42CB028F" w14:textId="77777777" w:rsidP="00CE60B3" w:rsidR="00CE60B3" w:rsidRDefault="00CE60B3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La loi portant mesure d’urgence pour la protection du pouvoir d’achat du 16 août dernier a créé la « prime de partage de la valeur ».</w:t>
      </w:r>
    </w:p>
    <w:p w14:paraId="012DF009" w14:textId="77777777" w:rsidP="00CE60B3" w:rsidR="00CE60B3" w:rsidRDefault="00CE60B3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 xml:space="preserve">Dans le but d’accompagner les Salariés face au </w:t>
      </w:r>
      <w:r w:rsidRPr="00524E38">
        <w:rPr>
          <w:rFonts w:ascii="Arial" w:cs="Arial" w:hAnsi="Arial"/>
          <w:lang w:val="fr-FR"/>
        </w:rPr>
        <w:t xml:space="preserve">contexte d’inflation </w:t>
      </w:r>
      <w:r w:rsidRPr="00375471">
        <w:rPr>
          <w:rFonts w:ascii="Arial" w:cs="Arial" w:hAnsi="Arial"/>
          <w:lang w:val="fr-FR"/>
        </w:rPr>
        <w:t xml:space="preserve">inédit </w:t>
      </w:r>
      <w:r w:rsidRPr="00737FD6">
        <w:rPr>
          <w:rFonts w:ascii="Arial" w:cs="Arial" w:hAnsi="Arial"/>
          <w:lang w:val="fr-FR"/>
        </w:rPr>
        <w:t>constaté</w:t>
      </w:r>
      <w:r w:rsidRPr="00E109AF">
        <w:rPr>
          <w:rFonts w:ascii="Arial" w:cs="Arial" w:hAnsi="Arial"/>
          <w:lang w:val="fr-FR"/>
        </w:rPr>
        <w:t xml:space="preserve">, les </w:t>
      </w:r>
      <w:r w:rsidRPr="00386134">
        <w:rPr>
          <w:rFonts w:ascii="Arial" w:cs="Arial" w:hAnsi="Arial"/>
          <w:lang w:val="fr-FR"/>
        </w:rPr>
        <w:t>partenaires sociaux ont souhaité user de ce nouveau dispositif dès septembre 2022.</w:t>
      </w:r>
      <w:r>
        <w:rPr>
          <w:rFonts w:ascii="Arial" w:cs="Arial" w:hAnsi="Arial"/>
          <w:lang w:val="fr-FR"/>
        </w:rPr>
        <w:t xml:space="preserve"> Dans le cadre de la présente négociation, il a été décidé de reconduire l’attribution de cette prime sur l’année 2023, renommée « prime soutien pouvoir d’achat » au sein de Renault Group, dans les conditions décrites ci-dessous.</w:t>
      </w:r>
    </w:p>
    <w:p w14:paraId="5A5E32B4" w14:textId="77777777" w:rsidP="00CE60B3" w:rsidR="00CE60B3" w:rsidRDefault="00CE60B3" w:rsidRPr="00863410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Elle</w:t>
      </w:r>
      <w:r w:rsidRPr="00B173CF">
        <w:rPr>
          <w:rFonts w:ascii="Arial" w:cs="Arial" w:hAnsi="Arial"/>
          <w:lang w:val="fr-FR"/>
        </w:rPr>
        <w:t xml:space="preserve"> est </w:t>
      </w:r>
      <w:r>
        <w:rPr>
          <w:rFonts w:ascii="Arial" w:cs="Arial" w:hAnsi="Arial"/>
          <w:lang w:val="fr-FR"/>
        </w:rPr>
        <w:t xml:space="preserve">attribuée aux Salariés remplissant les conditions cumulatives </w:t>
      </w:r>
      <w:r w:rsidRPr="00863410">
        <w:rPr>
          <w:rFonts w:ascii="Arial" w:cs="Arial" w:hAnsi="Arial"/>
          <w:lang w:val="fr-FR"/>
        </w:rPr>
        <w:t>suivantes au moment du dépôt de l’accord :</w:t>
      </w:r>
    </w:p>
    <w:p w14:paraId="6ACC0E63" w14:textId="7F2A21A9" w:rsidP="00CE60B3" w:rsidR="00CE60B3" w:rsidRDefault="00D27D71" w:rsidRPr="008E439D">
      <w:pPr>
        <w:pStyle w:val="Paragraphedeliste"/>
        <w:numPr>
          <w:ilvl w:val="0"/>
          <w:numId w:val="12"/>
        </w:numPr>
        <w:jc w:val="both"/>
        <w:rPr>
          <w:rFonts w:ascii="Arial" w:cs="Arial" w:hAnsi="Arial"/>
          <w:lang w:val="fr-FR"/>
        </w:rPr>
      </w:pPr>
      <w:proofErr w:type="spellStart"/>
      <w:r>
        <w:rPr>
          <w:rFonts w:ascii="Arial" w:cs="Arial" w:hAnsi="Arial"/>
          <w:lang w:val="fr-FR"/>
        </w:rPr>
        <w:t>E</w:t>
      </w:r>
      <w:r w:rsidR="00CE60B3">
        <w:rPr>
          <w:rFonts w:ascii="Arial" w:cs="Arial" w:hAnsi="Arial"/>
          <w:lang w:val="fr-FR"/>
        </w:rPr>
        <w:t>tre</w:t>
      </w:r>
      <w:proofErr w:type="spellEnd"/>
      <w:r w:rsidR="00CE60B3">
        <w:rPr>
          <w:rFonts w:ascii="Arial" w:cs="Arial" w:hAnsi="Arial"/>
          <w:lang w:val="fr-FR"/>
        </w:rPr>
        <w:t xml:space="preserve"> titulaire d’un contrat de travail en </w:t>
      </w:r>
      <w:r w:rsidR="00CE60B3" w:rsidRPr="008E439D">
        <w:rPr>
          <w:rFonts w:ascii="Arial" w:cs="Arial" w:hAnsi="Arial"/>
          <w:lang w:val="fr-FR"/>
        </w:rPr>
        <w:t>cours</w:t>
      </w:r>
      <w:r w:rsidR="00CE60B3">
        <w:rPr>
          <w:rFonts w:ascii="Arial" w:cs="Arial" w:hAnsi="Arial"/>
          <w:lang w:val="fr-FR"/>
        </w:rPr>
        <w:t xml:space="preserve"> </w:t>
      </w:r>
      <w:r w:rsidR="00CE60B3" w:rsidRPr="008E439D">
        <w:rPr>
          <w:rFonts w:ascii="Arial" w:cs="Arial" w:hAnsi="Arial"/>
          <w:lang w:val="fr-FR"/>
        </w:rPr>
        <w:t>;</w:t>
      </w:r>
    </w:p>
    <w:p w14:paraId="3150DFF4" w14:textId="3BBE594A" w:rsidP="00CE60B3" w:rsidR="00CE60B3" w:rsidRDefault="00D27D71" w:rsidRPr="008E439D">
      <w:pPr>
        <w:pStyle w:val="Paragraphedeliste"/>
        <w:numPr>
          <w:ilvl w:val="0"/>
          <w:numId w:val="12"/>
        </w:num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A</w:t>
      </w:r>
      <w:r w:rsidR="00CE60B3" w:rsidRPr="008E439D">
        <w:rPr>
          <w:rFonts w:ascii="Arial" w:cs="Arial" w:hAnsi="Arial"/>
          <w:lang w:val="fr-FR"/>
        </w:rPr>
        <w:t xml:space="preserve">voir perçu, </w:t>
      </w:r>
      <w:r w:rsidR="00CE60B3">
        <w:rPr>
          <w:rFonts w:ascii="Arial" w:cs="Arial" w:hAnsi="Arial"/>
          <w:lang w:val="fr-FR"/>
        </w:rPr>
        <w:t xml:space="preserve">au cours des </w:t>
      </w:r>
      <w:r w:rsidR="00CE60B3" w:rsidRPr="008E439D">
        <w:rPr>
          <w:rFonts w:ascii="Arial" w:cs="Arial" w:hAnsi="Arial"/>
          <w:lang w:val="fr-FR"/>
        </w:rPr>
        <w:t xml:space="preserve">12 </w:t>
      </w:r>
      <w:r w:rsidR="00CE60B3">
        <w:rPr>
          <w:rFonts w:ascii="Arial" w:cs="Arial" w:hAnsi="Arial"/>
          <w:lang w:val="fr-FR"/>
        </w:rPr>
        <w:t xml:space="preserve">derniers </w:t>
      </w:r>
      <w:r w:rsidR="00CE60B3" w:rsidRPr="008E439D">
        <w:rPr>
          <w:rFonts w:ascii="Arial" w:cs="Arial" w:hAnsi="Arial"/>
          <w:lang w:val="fr-FR"/>
        </w:rPr>
        <w:t>mois</w:t>
      </w:r>
      <w:r w:rsidR="00CE60B3">
        <w:rPr>
          <w:rFonts w:ascii="Arial" w:cs="Arial" w:hAnsi="Arial"/>
          <w:lang w:val="fr-FR"/>
        </w:rPr>
        <w:t xml:space="preserve"> précédent, une rémunération brute totale inférieure à </w:t>
      </w:r>
      <w:r w:rsidR="00CE60B3" w:rsidRPr="008E439D">
        <w:rPr>
          <w:rFonts w:ascii="Arial" w:cs="Arial" w:hAnsi="Arial"/>
          <w:lang w:val="fr-FR"/>
        </w:rPr>
        <w:t>59 550€</w:t>
      </w:r>
      <w:r w:rsidR="00CE60B3">
        <w:rPr>
          <w:rFonts w:ascii="Arial" w:cs="Arial" w:hAnsi="Arial"/>
          <w:lang w:val="fr-FR"/>
        </w:rPr>
        <w:t>, soit à titre indicatif 3 SMIC au jour de la signature de l’accord</w:t>
      </w:r>
      <w:r w:rsidR="00CE60B3" w:rsidRPr="008E439D">
        <w:rPr>
          <w:rFonts w:ascii="Arial" w:cs="Arial" w:hAnsi="Arial"/>
          <w:lang w:val="fr-FR"/>
        </w:rPr>
        <w:t>.</w:t>
      </w:r>
    </w:p>
    <w:p w14:paraId="06AC7460" w14:textId="77777777" w:rsidP="00CE60B3" w:rsidR="00CE60B3" w:rsidRDefault="00CE60B3">
      <w:pPr>
        <w:shd w:color="auto" w:fill="FFFFFF" w:val="clear"/>
        <w:spacing w:after="0" w:before="160" w:line="240" w:lineRule="auto"/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Pour les Salariés remplissant les conditions ci-dessus, son</w:t>
      </w:r>
      <w:r w:rsidRPr="008F0838">
        <w:rPr>
          <w:rFonts w:ascii="Arial" w:cs="Arial" w:hAnsi="Arial"/>
          <w:lang w:val="fr-FR"/>
        </w:rPr>
        <w:t xml:space="preserve"> montant est fixé à </w:t>
      </w:r>
      <w:r w:rsidRPr="005A6908">
        <w:rPr>
          <w:rFonts w:ascii="Arial" w:cs="Arial" w:hAnsi="Arial"/>
          <w:b/>
          <w:bCs/>
          <w:lang w:val="fr-FR"/>
        </w:rPr>
        <w:t>700 €</w:t>
      </w:r>
      <w:r>
        <w:rPr>
          <w:rFonts w:ascii="Arial" w:cs="Arial" w:hAnsi="Arial"/>
          <w:b/>
          <w:bCs/>
          <w:lang w:val="fr-FR"/>
        </w:rPr>
        <w:t xml:space="preserve"> bruts</w:t>
      </w:r>
      <w:r w:rsidRPr="005A6908">
        <w:rPr>
          <w:rFonts w:ascii="Arial" w:cs="Arial" w:hAnsi="Arial"/>
          <w:b/>
          <w:bCs/>
          <w:lang w:val="fr-FR"/>
        </w:rPr>
        <w:t xml:space="preserve"> pour l’année 2023</w:t>
      </w:r>
      <w:r>
        <w:rPr>
          <w:rFonts w:ascii="Arial" w:cs="Arial" w:hAnsi="Arial"/>
          <w:b/>
          <w:bCs/>
          <w:lang w:val="fr-FR"/>
        </w:rPr>
        <w:t xml:space="preserve"> </w:t>
      </w:r>
      <w:r w:rsidRPr="006A7B3E">
        <w:rPr>
          <w:rFonts w:ascii="Arial" w:cs="Arial" w:hAnsi="Arial"/>
          <w:lang w:val="fr-FR"/>
        </w:rPr>
        <w:t>dès lors qu’ils sont</w:t>
      </w:r>
      <w:r w:rsidRPr="00D66F68">
        <w:rPr>
          <w:rFonts w:ascii="Arial" w:cs="Arial" w:hAnsi="Arial"/>
          <w:lang w:val="fr-FR"/>
        </w:rPr>
        <w:t xml:space="preserve"> présents durant les 12 mois précédant la date de versement de la</w:t>
      </w:r>
      <w:r w:rsidRPr="008F0838">
        <w:rPr>
          <w:rFonts w:ascii="Arial" w:cs="Arial" w:hAnsi="Arial"/>
          <w:lang w:val="fr-FR"/>
        </w:rPr>
        <w:t xml:space="preserve"> </w:t>
      </w:r>
      <w:r w:rsidRPr="00D66F68">
        <w:rPr>
          <w:rFonts w:ascii="Arial" w:cs="Arial" w:hAnsi="Arial"/>
          <w:lang w:val="fr-FR"/>
        </w:rPr>
        <w:t>prime.</w:t>
      </w:r>
      <w:r>
        <w:rPr>
          <w:rFonts w:ascii="Arial" w:cs="Arial" w:hAnsi="Arial"/>
          <w:lang w:val="fr-FR"/>
        </w:rPr>
        <w:t xml:space="preserve"> </w:t>
      </w:r>
    </w:p>
    <w:p w14:paraId="20F94D76" w14:textId="77777777" w:rsidP="00CE60B3" w:rsidR="00CE60B3" w:rsidRDefault="00CE60B3">
      <w:pPr>
        <w:shd w:color="auto" w:fill="FFFFFF" w:val="clear"/>
        <w:spacing w:after="0" w:before="160" w:line="240" w:lineRule="auto"/>
        <w:jc w:val="both"/>
        <w:rPr>
          <w:rFonts w:ascii="Arial" w:cs="Arial" w:hAnsi="Arial"/>
          <w:lang w:val="fr-FR"/>
        </w:rPr>
      </w:pPr>
      <w:r w:rsidRPr="00837F31">
        <w:rPr>
          <w:rFonts w:ascii="Arial" w:cs="Arial" w:hAnsi="Arial"/>
          <w:lang w:val="fr-FR"/>
        </w:rPr>
        <w:t>Pour procéder à l’appréciation du critère de présence évoqué ci-dessus, sont considérées comme temps de travail effectif</w:t>
      </w:r>
      <w:r>
        <w:rPr>
          <w:rFonts w:ascii="Arial" w:cs="Arial" w:hAnsi="Arial"/>
          <w:lang w:val="fr-FR"/>
        </w:rPr>
        <w:t xml:space="preserve"> :</w:t>
      </w:r>
    </w:p>
    <w:p w14:paraId="171D5F64" w14:textId="5789BD0B" w:rsidP="00CE60B3" w:rsidR="00CE60B3" w:rsidRDefault="00D27D71">
      <w:pPr>
        <w:pStyle w:val="Paragraphedeliste"/>
        <w:numPr>
          <w:ilvl w:val="0"/>
          <w:numId w:val="13"/>
        </w:numPr>
        <w:shd w:color="auto" w:fill="FFFFFF" w:val="clear"/>
        <w:spacing w:after="0" w:before="160" w:line="240" w:lineRule="auto"/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L</w:t>
      </w:r>
      <w:r w:rsidR="00CE60B3" w:rsidRPr="00837F31">
        <w:rPr>
          <w:rFonts w:ascii="Arial" w:cs="Arial" w:hAnsi="Arial"/>
          <w:lang w:val="fr-FR"/>
        </w:rPr>
        <w:t>es absences assimilées à du temps de travail effectifs telles que définies pour l</w:t>
      </w:r>
      <w:r w:rsidR="00CE60B3">
        <w:rPr>
          <w:rFonts w:ascii="Arial" w:cs="Arial" w:hAnsi="Arial"/>
          <w:lang w:val="fr-FR"/>
        </w:rPr>
        <w:t xml:space="preserve">a répartition de la part fixe de l’intéressement Groupe de </w:t>
      </w:r>
      <w:r w:rsidR="00CE60B3" w:rsidRPr="00837F31">
        <w:rPr>
          <w:rFonts w:ascii="Arial" w:cs="Arial" w:hAnsi="Arial"/>
          <w:lang w:val="fr-FR"/>
        </w:rPr>
        <w:t xml:space="preserve">l’accord </w:t>
      </w:r>
      <w:r w:rsidR="00CE60B3">
        <w:rPr>
          <w:rFonts w:ascii="Arial" w:cs="Arial" w:hAnsi="Arial"/>
          <w:lang w:val="fr-FR"/>
        </w:rPr>
        <w:t xml:space="preserve">du </w:t>
      </w:r>
      <w:r w:rsidR="00CE60B3" w:rsidRPr="00837F31">
        <w:rPr>
          <w:rFonts w:ascii="Arial" w:cs="Arial" w:hAnsi="Arial"/>
          <w:lang w:val="fr-FR"/>
        </w:rPr>
        <w:t>14 avril 2022</w:t>
      </w:r>
      <w:r w:rsidR="00CE60B3">
        <w:rPr>
          <w:rFonts w:ascii="Arial" w:cs="Arial" w:hAnsi="Arial"/>
          <w:lang w:val="fr-FR"/>
        </w:rPr>
        <w:t xml:space="preserve"> (article 2.2) ;</w:t>
      </w:r>
    </w:p>
    <w:p w14:paraId="5CE149A8" w14:textId="04B74E64" w:rsidP="00CE60B3" w:rsidR="00CE60B3" w:rsidRDefault="00D27D71" w:rsidRPr="00837F31">
      <w:pPr>
        <w:pStyle w:val="Paragraphedeliste"/>
        <w:numPr>
          <w:ilvl w:val="0"/>
          <w:numId w:val="13"/>
        </w:numPr>
        <w:shd w:color="auto" w:fill="FFFFFF" w:val="clear"/>
        <w:spacing w:after="0" w:before="160" w:line="240" w:lineRule="auto"/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L</w:t>
      </w:r>
      <w:r w:rsidR="00CE60B3" w:rsidRPr="00837F31">
        <w:rPr>
          <w:rFonts w:ascii="Arial" w:cs="Arial" w:hAnsi="Arial"/>
          <w:lang w:val="fr-FR"/>
        </w:rPr>
        <w:t>es absences visées par le deuxièmement du III de l’article 1</w:t>
      </w:r>
      <w:r w:rsidR="00CE60B3" w:rsidRPr="002F3DBF">
        <w:rPr>
          <w:rFonts w:ascii="Arial" w:cs="Arial" w:hAnsi="Arial"/>
          <w:vertAlign w:val="superscript"/>
          <w:lang w:val="fr-FR"/>
        </w:rPr>
        <w:t>er</w:t>
      </w:r>
      <w:r w:rsidR="00CE60B3" w:rsidRPr="00837F31">
        <w:rPr>
          <w:rFonts w:ascii="Arial" w:cs="Arial" w:hAnsi="Arial"/>
          <w:lang w:val="fr-FR"/>
        </w:rPr>
        <w:t xml:space="preserve"> de la loi n° 2022-1158 du 16 août 2022 portant mesures d'urgence pour la protection du pouvoir d'achat</w:t>
      </w:r>
      <w:r w:rsidR="00CE60B3">
        <w:rPr>
          <w:rFonts w:ascii="Arial" w:cs="Arial" w:hAnsi="Arial"/>
          <w:lang w:val="fr-FR"/>
        </w:rPr>
        <w:t>.</w:t>
      </w:r>
    </w:p>
    <w:p w14:paraId="49D39310" w14:textId="77777777" w:rsidP="00CE60B3" w:rsidR="00CE60B3" w:rsidRDefault="00CE60B3">
      <w:pPr>
        <w:shd w:color="auto" w:fill="FFFFFF" w:val="clear"/>
        <w:spacing w:after="0" w:before="160" w:line="240" w:lineRule="auto"/>
        <w:jc w:val="both"/>
        <w:rPr>
          <w:rFonts w:ascii="Arial" w:cs="Arial" w:hAnsi="Arial"/>
          <w:lang w:val="fr-FR"/>
        </w:rPr>
      </w:pPr>
    </w:p>
    <w:p w14:paraId="54BDAF44" w14:textId="77777777" w:rsidP="00CE60B3" w:rsidR="00CE60B3" w:rsidRDefault="00CE60B3">
      <w:pPr>
        <w:shd w:color="auto" w:fill="FFFFFF" w:val="clear"/>
        <w:spacing w:after="0" w:line="240" w:lineRule="auto"/>
        <w:jc w:val="both"/>
        <w:rPr>
          <w:rFonts w:ascii="Arial" w:cs="Arial" w:hAnsi="Arial"/>
          <w:lang w:val="fr-FR"/>
        </w:rPr>
      </w:pPr>
      <w:r w:rsidRPr="007A1621">
        <w:rPr>
          <w:rFonts w:ascii="Arial" w:cs="Arial" w:hAnsi="Arial"/>
          <w:lang w:val="fr-FR"/>
        </w:rPr>
        <w:t xml:space="preserve">Si, durant cette période, le bénéficiaire s'est absenté pour un autre motif que ceux visés ci-avant, le montant de </w:t>
      </w:r>
      <w:r>
        <w:rPr>
          <w:rFonts w:ascii="Arial" w:cs="Arial" w:hAnsi="Arial"/>
          <w:lang w:val="fr-FR"/>
        </w:rPr>
        <w:t>s</w:t>
      </w:r>
      <w:r w:rsidRPr="007A1621">
        <w:rPr>
          <w:rFonts w:ascii="Arial" w:cs="Arial" w:hAnsi="Arial"/>
          <w:lang w:val="fr-FR"/>
        </w:rPr>
        <w:t xml:space="preserve">a </w:t>
      </w:r>
      <w:r w:rsidRPr="007A1621">
        <w:rPr>
          <w:rFonts w:ascii="Arial" w:hAnsi="Arial"/>
          <w:lang w:val="fr-FR"/>
        </w:rPr>
        <w:t xml:space="preserve">prime </w:t>
      </w:r>
      <w:r w:rsidRPr="007A1621">
        <w:rPr>
          <w:rFonts w:ascii="Arial" w:cs="Arial" w:hAnsi="Arial"/>
          <w:lang w:val="fr-FR"/>
        </w:rPr>
        <w:t>est réduit à due proportio</w:t>
      </w:r>
      <w:r>
        <w:rPr>
          <w:rFonts w:ascii="Arial" w:cs="Arial" w:hAnsi="Arial"/>
          <w:lang w:val="fr-FR"/>
        </w:rPr>
        <w:t>n.</w:t>
      </w:r>
    </w:p>
    <w:p w14:paraId="0BF9B779" w14:textId="77777777" w:rsidP="00CE60B3" w:rsidR="00CE60B3" w:rsidRDefault="00CE60B3">
      <w:pPr>
        <w:shd w:color="auto" w:fill="FFFFFF" w:val="clear"/>
        <w:spacing w:after="0" w:line="240" w:lineRule="auto"/>
        <w:jc w:val="both"/>
        <w:rPr>
          <w:rFonts w:ascii="Arial" w:cs="Arial" w:hAnsi="Arial"/>
          <w:lang w:val="fr-FR"/>
        </w:rPr>
      </w:pPr>
    </w:p>
    <w:p w14:paraId="0600426D" w14:textId="77777777" w:rsidP="00CE60B3" w:rsidR="00CE60B3" w:rsidRDefault="00CE60B3" w:rsidRPr="00C53681">
      <w:pPr>
        <w:jc w:val="both"/>
        <w:rPr>
          <w:rFonts w:ascii="Arial" w:cs="Arial" w:hAnsi="Arial"/>
          <w:lang w:val="fr-FR"/>
        </w:rPr>
      </w:pPr>
      <w:r w:rsidRPr="003F0D19">
        <w:rPr>
          <w:rFonts w:ascii="Arial" w:cs="Arial" w:hAnsi="Arial"/>
          <w:lang w:val="fr-FR"/>
        </w:rPr>
        <w:t xml:space="preserve">La présente prime est versée en 2 fois de la manière suivante : 400 € sur la paie de </w:t>
      </w:r>
      <w:r>
        <w:rPr>
          <w:rFonts w:ascii="Arial" w:cs="Arial" w:hAnsi="Arial"/>
          <w:lang w:val="fr-FR"/>
        </w:rPr>
        <w:t>février</w:t>
      </w:r>
      <w:r w:rsidRPr="003F0D19">
        <w:rPr>
          <w:rFonts w:ascii="Arial" w:cs="Arial" w:hAnsi="Arial"/>
          <w:lang w:val="fr-FR"/>
        </w:rPr>
        <w:t xml:space="preserve"> et 300€ sur la paie d’octobre.</w:t>
      </w:r>
      <w:r w:rsidRPr="00C53681">
        <w:rPr>
          <w:rFonts w:ascii="Arial" w:cs="Arial" w:hAnsi="Arial"/>
          <w:lang w:val="fr-FR"/>
        </w:rPr>
        <w:t xml:space="preserve"> </w:t>
      </w:r>
    </w:p>
    <w:p w14:paraId="5300FC2E" w14:textId="77777777" w:rsidP="00CE60B3" w:rsidR="00CE60B3" w:rsidRDefault="00CE60B3">
      <w:pPr>
        <w:jc w:val="both"/>
        <w:rPr>
          <w:rFonts w:ascii="Arial" w:cs="Arial" w:hAnsi="Arial"/>
          <w:lang w:val="fr-FR"/>
        </w:rPr>
      </w:pPr>
      <w:r w:rsidRPr="00E915EF">
        <w:rPr>
          <w:rFonts w:ascii="Arial" w:cs="Arial" w:hAnsi="Arial"/>
          <w:lang w:val="fr-FR"/>
        </w:rPr>
        <w:t>Les travailleurs</w:t>
      </w:r>
      <w:r>
        <w:rPr>
          <w:rFonts w:ascii="Arial" w:cs="Arial" w:hAnsi="Arial"/>
          <w:lang w:val="fr-FR"/>
        </w:rPr>
        <w:t xml:space="preserve"> </w:t>
      </w:r>
      <w:r w:rsidRPr="00E915EF">
        <w:rPr>
          <w:rFonts w:ascii="Arial" w:cs="Arial" w:hAnsi="Arial"/>
          <w:lang w:val="fr-FR"/>
        </w:rPr>
        <w:t xml:space="preserve">mis à la disposition de l'entreprise </w:t>
      </w:r>
      <w:r>
        <w:rPr>
          <w:rFonts w:ascii="Arial" w:cs="Arial" w:hAnsi="Arial"/>
          <w:lang w:val="fr-FR"/>
        </w:rPr>
        <w:t xml:space="preserve">venant d’une entreprise de travail temporaire ou d’un groupement d’employeur </w:t>
      </w:r>
      <w:r w:rsidRPr="00E915EF">
        <w:rPr>
          <w:rFonts w:ascii="Arial" w:cs="Arial" w:hAnsi="Arial"/>
          <w:lang w:val="fr-FR"/>
        </w:rPr>
        <w:t xml:space="preserve">bénéficient également de </w:t>
      </w:r>
      <w:r>
        <w:rPr>
          <w:rFonts w:ascii="Arial" w:cs="Arial" w:hAnsi="Arial"/>
          <w:lang w:val="fr-FR"/>
        </w:rPr>
        <w:t>cette prime</w:t>
      </w:r>
      <w:r w:rsidRPr="00E915EF">
        <w:rPr>
          <w:rFonts w:ascii="Arial" w:cs="Arial" w:hAnsi="Arial"/>
          <w:lang w:val="fr-FR"/>
        </w:rPr>
        <w:t xml:space="preserve">, dans les conditions prévues par le présent </w:t>
      </w:r>
      <w:r>
        <w:rPr>
          <w:rFonts w:ascii="Arial" w:cs="Arial" w:hAnsi="Arial"/>
          <w:lang w:val="fr-FR"/>
        </w:rPr>
        <w:t>article</w:t>
      </w:r>
      <w:r w:rsidRPr="00E915EF">
        <w:rPr>
          <w:rFonts w:ascii="Arial" w:cs="Arial" w:hAnsi="Arial"/>
          <w:lang w:val="fr-FR"/>
        </w:rPr>
        <w:t>.</w:t>
      </w:r>
    </w:p>
    <w:p w14:paraId="49C3EFDA" w14:textId="77777777" w:rsidP="00CE60B3" w:rsidR="00CE60B3" w:rsidRDefault="00CE60B3">
      <w:pPr>
        <w:tabs>
          <w:tab w:pos="7450" w:val="left"/>
        </w:tabs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ab/>
      </w:r>
    </w:p>
    <w:p w14:paraId="7CD55050" w14:textId="77777777" w:rsidP="00CE60B3" w:rsidR="00CE60B3" w:rsidRDefault="00CE60B3">
      <w:pPr>
        <w:jc w:val="both"/>
        <w:rPr>
          <w:rFonts w:ascii="Arial" w:cs="Arial" w:hAnsi="Arial"/>
          <w:b/>
          <w:u w:val="single"/>
          <w:lang w:val="fr-FR"/>
        </w:rPr>
      </w:pPr>
      <w:r w:rsidRPr="00D21A29">
        <w:rPr>
          <w:rFonts w:ascii="Arial" w:cs="Arial" w:hAnsi="Arial"/>
          <w:b/>
          <w:u w:val="single"/>
          <w:lang w:val="fr-FR"/>
        </w:rPr>
        <w:t>Article 2.</w:t>
      </w:r>
      <w:r>
        <w:rPr>
          <w:rFonts w:ascii="Arial" w:cs="Arial" w:hAnsi="Arial"/>
          <w:b/>
          <w:u w:val="single"/>
          <w:lang w:val="fr-FR"/>
        </w:rPr>
        <w:t>2</w:t>
      </w:r>
      <w:r w:rsidRPr="00D21A29">
        <w:rPr>
          <w:rFonts w:ascii="Arial" w:cs="Arial" w:hAnsi="Arial"/>
          <w:b/>
          <w:u w:val="single"/>
          <w:lang w:val="fr-FR"/>
        </w:rPr>
        <w:t xml:space="preserve"> - Mesures complémentaires </w:t>
      </w:r>
      <w:r>
        <w:rPr>
          <w:rFonts w:ascii="Arial" w:cs="Arial" w:hAnsi="Arial"/>
          <w:b/>
          <w:u w:val="single"/>
          <w:lang w:val="fr-FR"/>
        </w:rPr>
        <w:t xml:space="preserve">au profit de tous les statuts </w:t>
      </w:r>
    </w:p>
    <w:p w14:paraId="1E771044" w14:textId="77777777" w:rsidP="00CE60B3" w:rsidR="00CE60B3" w:rsidRDefault="00CE60B3" w:rsidRPr="00883486">
      <w:pPr>
        <w:jc w:val="both"/>
        <w:rPr>
          <w:rFonts w:ascii="Arial" w:cs="Arial" w:hAnsi="Arial"/>
          <w:b/>
          <w:u w:val="single"/>
          <w:lang w:val="fr-FR"/>
        </w:rPr>
      </w:pPr>
      <w:r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>I</w:t>
      </w:r>
      <w:r w:rsidRPr="007E52E5">
        <w:rPr>
          <w:rFonts w:ascii="Arial" w:cstheme="majorBidi" w:eastAsiaTheme="majorEastAsia" w:hAnsi="Arial"/>
          <w:iCs/>
          <w:color w:themeColor="accent1" w:val="4472C4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>ntégration de la « Garanties accessoires » dans la rémunération</w:t>
      </w:r>
    </w:p>
    <w:p w14:paraId="58B7B647" w14:textId="77777777" w:rsidP="00CE60B3" w:rsidR="00CE60B3" w:rsidRDefault="00CE60B3" w:rsidRPr="00D21A29">
      <w:pPr>
        <w:jc w:val="both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>La « Garantie accessoire</w:t>
      </w:r>
      <w:r>
        <w:rPr>
          <w:rFonts w:ascii="Arial" w:cs="Arial" w:hAnsi="Arial"/>
          <w:lang w:val="fr-FR"/>
        </w:rPr>
        <w:t>s</w:t>
      </w:r>
      <w:r w:rsidRPr="00D21A29">
        <w:rPr>
          <w:rFonts w:ascii="Arial" w:cs="Arial" w:hAnsi="Arial"/>
          <w:lang w:val="fr-FR"/>
        </w:rPr>
        <w:t> » consiste à maintenir de manière temporaire, le versement de certaines primes quand un salarié a notamment un changement de situation professionnelle.</w:t>
      </w:r>
    </w:p>
    <w:p w14:paraId="1AD896C4" w14:textId="51A21D02" w:rsidP="00CE60B3" w:rsidR="00CE60B3" w:rsidRDefault="00CE60B3">
      <w:pPr>
        <w:jc w:val="both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>Ainsi, la première année, la « Garantie accessoire</w:t>
      </w:r>
      <w:r>
        <w:rPr>
          <w:rFonts w:ascii="Arial" w:cs="Arial" w:hAnsi="Arial"/>
          <w:lang w:val="fr-FR"/>
        </w:rPr>
        <w:t>s</w:t>
      </w:r>
      <w:r w:rsidRPr="00D21A29">
        <w:rPr>
          <w:rFonts w:ascii="Arial" w:cs="Arial" w:hAnsi="Arial"/>
          <w:lang w:val="fr-FR"/>
        </w:rPr>
        <w:t xml:space="preserve"> » est augmentée des éventuelles </w:t>
      </w:r>
      <w:r>
        <w:rPr>
          <w:rFonts w:ascii="Arial" w:cs="Arial" w:hAnsi="Arial"/>
          <w:lang w:val="fr-FR"/>
        </w:rPr>
        <w:t>a</w:t>
      </w:r>
      <w:r w:rsidRPr="00D21A29">
        <w:rPr>
          <w:rFonts w:ascii="Arial" w:cs="Arial" w:hAnsi="Arial"/>
          <w:lang w:val="fr-FR"/>
        </w:rPr>
        <w:t xml:space="preserve">ugmentations générales des salaires et est diminuée des augmentations individuelles potentielles. Les années suivantes, elle est diminuée des augmentations éventuelles intervenues quelle qu’en soit la nature. </w:t>
      </w:r>
    </w:p>
    <w:p w14:paraId="533FC9F1" w14:textId="77777777" w:rsidP="00CE60B3" w:rsidR="000F0DCE" w:rsidRDefault="000F0DCE" w:rsidRPr="00D21A29">
      <w:pPr>
        <w:jc w:val="both"/>
        <w:rPr>
          <w:rFonts w:ascii="Arial" w:cs="Arial" w:hAnsi="Arial"/>
          <w:lang w:val="fr-FR"/>
        </w:rPr>
      </w:pPr>
    </w:p>
    <w:p w14:paraId="021C8FEF" w14:textId="77777777" w:rsidP="00CE60B3" w:rsidR="00CE60B3" w:rsidRDefault="00CE60B3" w:rsidRPr="00D21A29">
      <w:pPr>
        <w:jc w:val="both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 xml:space="preserve">Afin de faire bénéficier pleinement les </w:t>
      </w:r>
      <w:r>
        <w:rPr>
          <w:rFonts w:ascii="Arial" w:cs="Arial" w:hAnsi="Arial"/>
          <w:lang w:val="fr-FR"/>
        </w:rPr>
        <w:t>S</w:t>
      </w:r>
      <w:r w:rsidRPr="00D21A29">
        <w:rPr>
          <w:rFonts w:ascii="Arial" w:cs="Arial" w:hAnsi="Arial"/>
          <w:lang w:val="fr-FR"/>
        </w:rPr>
        <w:t>alariés percevant une « Garantie accessoire</w:t>
      </w:r>
      <w:r>
        <w:rPr>
          <w:rFonts w:ascii="Arial" w:cs="Arial" w:hAnsi="Arial"/>
          <w:lang w:val="fr-FR"/>
        </w:rPr>
        <w:t>s</w:t>
      </w:r>
      <w:r w:rsidRPr="00D21A29">
        <w:rPr>
          <w:rFonts w:ascii="Arial" w:cs="Arial" w:hAnsi="Arial"/>
          <w:lang w:val="fr-FR"/>
        </w:rPr>
        <w:t xml:space="preserve"> » </w:t>
      </w:r>
      <w:r>
        <w:rPr>
          <w:rFonts w:ascii="Arial" w:cs="Arial" w:hAnsi="Arial"/>
          <w:lang w:val="fr-FR"/>
        </w:rPr>
        <w:t>des</w:t>
      </w:r>
      <w:r w:rsidRPr="00D21A29">
        <w:rPr>
          <w:rFonts w:ascii="Arial" w:cs="Arial" w:hAnsi="Arial"/>
          <w:lang w:val="fr-FR"/>
        </w:rPr>
        <w:t xml:space="preserve"> mesures d’</w:t>
      </w:r>
      <w:r>
        <w:rPr>
          <w:rFonts w:ascii="Arial" w:cs="Arial" w:hAnsi="Arial"/>
          <w:lang w:val="fr-FR"/>
        </w:rPr>
        <w:t>a</w:t>
      </w:r>
      <w:r w:rsidRPr="00D21A29">
        <w:rPr>
          <w:rFonts w:ascii="Arial" w:cs="Arial" w:hAnsi="Arial"/>
          <w:lang w:val="fr-FR"/>
        </w:rPr>
        <w:t xml:space="preserve">ugmentations </w:t>
      </w:r>
      <w:r>
        <w:rPr>
          <w:rFonts w:ascii="Arial" w:cs="Arial" w:hAnsi="Arial"/>
          <w:lang w:val="fr-FR"/>
        </w:rPr>
        <w:t>arrêtées</w:t>
      </w:r>
      <w:r w:rsidRPr="00D21A29">
        <w:rPr>
          <w:rFonts w:ascii="Arial" w:cs="Arial" w:hAnsi="Arial"/>
          <w:lang w:val="fr-FR"/>
        </w:rPr>
        <w:t xml:space="preserve">, il est décidé d’intégrer une partie de cette garantie sous forme de complément </w:t>
      </w:r>
      <w:r>
        <w:rPr>
          <w:rFonts w:ascii="Arial" w:cs="Arial" w:hAnsi="Arial"/>
          <w:lang w:val="fr-FR"/>
        </w:rPr>
        <w:t>de</w:t>
      </w:r>
      <w:r w:rsidRPr="00D21A29">
        <w:rPr>
          <w:rFonts w:ascii="Arial" w:cs="Arial" w:hAnsi="Arial"/>
          <w:lang w:val="fr-FR"/>
        </w:rPr>
        <w:t xml:space="preserve"> rémunération à concurrence de 100 € </w:t>
      </w:r>
      <w:proofErr w:type="gramStart"/>
      <w:r w:rsidRPr="00D21A29">
        <w:rPr>
          <w:rFonts w:ascii="Arial" w:cs="Arial" w:hAnsi="Arial"/>
          <w:lang w:val="fr-FR"/>
        </w:rPr>
        <w:t>bruts maximum</w:t>
      </w:r>
      <w:proofErr w:type="gramEnd"/>
      <w:r w:rsidRPr="00D21A29">
        <w:rPr>
          <w:rFonts w:ascii="Arial" w:cs="Arial" w:hAnsi="Arial"/>
          <w:lang w:val="fr-FR"/>
        </w:rPr>
        <w:t>.</w:t>
      </w:r>
    </w:p>
    <w:p w14:paraId="1CCA762E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Cette réintégration sera réalisée avant la mise en œuvre des mesures salariales 2023.</w:t>
      </w:r>
    </w:p>
    <w:p w14:paraId="1E247897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cstheme="majorBidi" w:eastAsiaTheme="majorEastAsia" w:hAnsi="Arial"/>
          <w:iCs/>
          <w:color w:themeColor="accent1" w:val="4472C4"/>
          <w:sz w:val="22"/>
          <w:szCs w:val="22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</w:pPr>
    </w:p>
    <w:p w14:paraId="7832F3F9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160"/>
        <w:rPr>
          <w:rFonts w:ascii="Arial" w:cstheme="majorBidi" w:eastAsiaTheme="majorEastAsia" w:hAnsi="Arial"/>
          <w:iCs/>
          <w:color w:themeColor="accent1" w:val="4472C4"/>
          <w:sz w:val="22"/>
          <w:szCs w:val="22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</w:pPr>
      <w:r w:rsidRPr="00CE60B3">
        <w:rPr>
          <w:rFonts w:ascii="Arial" w:cstheme="majorBidi" w:eastAsiaTheme="majorEastAsia" w:hAnsi="Arial"/>
          <w:iCs/>
          <w:color w:themeColor="accent1" w:val="4472C4"/>
          <w:sz w:val="22"/>
          <w:szCs w:val="22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>Maintien de l’abondement annuel par l’employeur des versements volontaires affectées au PERECO.</w:t>
      </w:r>
    </w:p>
    <w:p w14:paraId="55C67D5C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Les versements volontaires (hors intéressement, participation ou transfert de jours CT/CTI) du bénéficiaire du PERECO font, depuis 2020, l’objet d’un abondement de l’employeur. Il est convenu que ce dispositif est maintenu. </w:t>
      </w:r>
    </w:p>
    <w:p w14:paraId="3AC40D76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0E4535F2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160"/>
        <w:rPr>
          <w:rFonts w:ascii="Arial" w:cstheme="majorBidi" w:eastAsiaTheme="majorEastAsia" w:hAnsi="Arial"/>
          <w:iCs/>
          <w:color w:themeColor="accent1" w:val="4472C4"/>
          <w:sz w:val="22"/>
          <w:szCs w:val="22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</w:pPr>
      <w:r w:rsidRPr="00CE60B3">
        <w:rPr>
          <w:rFonts w:ascii="Arial" w:cstheme="majorBidi" w:eastAsiaTheme="majorEastAsia" w:hAnsi="Arial"/>
          <w:iCs/>
          <w:color w:themeColor="accent1" w:val="4472C4"/>
          <w:sz w:val="22"/>
          <w:szCs w:val="22"/>
          <w:u w:val="single"/>
          <w:lang w:val="fr-FR"/>
          <w14:shadow w14:algn="ctr" w14:blurRad="38100" w14:dir="5400000" w14:dist="25400" w14:kx="0" w14:ky="0" w14:sx="100000" w14:sy="100000">
            <w14:srgbClr w14:val="6E747A">
              <w14:alpha w14:val="57255"/>
            </w14:srgbClr>
          </w14:shadow>
        </w:rPr>
        <w:t xml:space="preserve">Plan d’actionnariat </w:t>
      </w:r>
    </w:p>
    <w:p w14:paraId="103342BC" w14:textId="77777777" w:rsidP="00CE60B3" w:rsidR="00CE60B3" w:rsidRDefault="00CE60B3" w:rsidRPr="00CE60B3">
      <w:pPr>
        <w:pStyle w:val="Puces"/>
        <w:numPr>
          <w:ilvl w:val="0"/>
          <w:numId w:val="0"/>
        </w:numPr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A titre informatif, après le succès du </w:t>
      </w:r>
      <w:proofErr w:type="spellStart"/>
      <w:r w:rsidRPr="00CE60B3">
        <w:rPr>
          <w:rFonts w:ascii="Arial" w:hAnsi="Arial"/>
          <w:sz w:val="22"/>
          <w:szCs w:val="22"/>
          <w:lang w:val="fr-FR"/>
        </w:rPr>
        <w:t>Renaulution</w:t>
      </w:r>
      <w:proofErr w:type="spellEnd"/>
      <w:r w:rsidRPr="00CE60B3">
        <w:rPr>
          <w:rFonts w:ascii="Arial" w:hAnsi="Arial"/>
          <w:sz w:val="22"/>
          <w:szCs w:val="22"/>
          <w:lang w:val="fr-FR"/>
        </w:rPr>
        <w:t xml:space="preserve"> </w:t>
      </w:r>
      <w:proofErr w:type="spellStart"/>
      <w:r w:rsidRPr="00CE60B3">
        <w:rPr>
          <w:rFonts w:ascii="Arial" w:hAnsi="Arial"/>
          <w:sz w:val="22"/>
          <w:szCs w:val="22"/>
          <w:lang w:val="fr-FR"/>
        </w:rPr>
        <w:t>Shareplan</w:t>
      </w:r>
      <w:proofErr w:type="spellEnd"/>
      <w:r w:rsidRPr="00CE60B3">
        <w:rPr>
          <w:rFonts w:ascii="Arial" w:hAnsi="Arial"/>
          <w:sz w:val="22"/>
          <w:szCs w:val="22"/>
          <w:lang w:val="fr-FR"/>
        </w:rPr>
        <w:t xml:space="preserve"> 2022 auprès des Salariés, Renault Group souhaite continuer de les associer à la performance du Groupe sur le long terme. L’ambition du Groupe en la matière est que d’ici 2030, 10% du capital soit détenu par ses Salariés.</w:t>
      </w:r>
    </w:p>
    <w:p w14:paraId="1993D428" w14:textId="77777777" w:rsidP="00CE60B3" w:rsidR="00CE60B3" w:rsidRDefault="00CE60B3" w:rsidRPr="00CE60B3">
      <w:pPr>
        <w:pStyle w:val="Puces"/>
        <w:numPr>
          <w:ilvl w:val="0"/>
          <w:numId w:val="0"/>
        </w:numPr>
        <w:rPr>
          <w:rFonts w:ascii="Arial" w:hAnsi="Arial"/>
          <w:sz w:val="22"/>
          <w:szCs w:val="22"/>
          <w:highlight w:val="cyan"/>
          <w:lang w:val="fr-FR"/>
        </w:rPr>
      </w:pPr>
    </w:p>
    <w:p w14:paraId="573EBC4D" w14:textId="6FFD1D7E" w:rsidP="00CE60B3" w:rsidR="00CE60B3" w:rsidRDefault="00CE60B3">
      <w:pPr>
        <w:jc w:val="both"/>
        <w:rPr>
          <w:rFonts w:ascii="Arial" w:cs="Arial" w:hAnsi="Arial"/>
          <w:lang w:val="fr-FR"/>
        </w:rPr>
      </w:pPr>
      <w:r>
        <w:rPr>
          <w:rFonts w:ascii="Arial" w:hAnsi="Arial"/>
          <w:lang w:val="fr-FR"/>
        </w:rPr>
        <w:t>S</w:t>
      </w:r>
      <w:r w:rsidRPr="002D506C">
        <w:rPr>
          <w:rFonts w:ascii="Arial" w:hAnsi="Arial"/>
          <w:lang w:val="fr-FR"/>
        </w:rPr>
        <w:t>ous réserve</w:t>
      </w:r>
      <w:r>
        <w:rPr>
          <w:rFonts w:ascii="Arial" w:hAnsi="Arial"/>
          <w:lang w:val="fr-FR"/>
        </w:rPr>
        <w:t xml:space="preserve"> </w:t>
      </w:r>
      <w:r w:rsidRPr="002D506C">
        <w:rPr>
          <w:rFonts w:ascii="Arial" w:hAnsi="Arial"/>
          <w:lang w:val="fr-FR"/>
        </w:rPr>
        <w:t>de</w:t>
      </w:r>
      <w:r>
        <w:rPr>
          <w:rFonts w:ascii="Arial" w:hAnsi="Arial"/>
          <w:lang w:val="fr-FR"/>
        </w:rPr>
        <w:t>s</w:t>
      </w:r>
      <w:r w:rsidRPr="002D506C">
        <w:rPr>
          <w:rFonts w:ascii="Arial" w:hAnsi="Arial"/>
          <w:lang w:val="fr-FR"/>
        </w:rPr>
        <w:t xml:space="preserve"> validation</w:t>
      </w:r>
      <w:r>
        <w:rPr>
          <w:rFonts w:ascii="Arial" w:hAnsi="Arial"/>
          <w:lang w:val="fr-FR"/>
        </w:rPr>
        <w:t>s</w:t>
      </w:r>
      <w:r w:rsidRPr="002D506C">
        <w:rPr>
          <w:rFonts w:ascii="Arial" w:hAnsi="Arial"/>
          <w:lang w:val="fr-FR"/>
        </w:rPr>
        <w:t xml:space="preserve"> par le Conseil d’administration</w:t>
      </w:r>
      <w:r>
        <w:rPr>
          <w:rFonts w:ascii="Arial" w:hAnsi="Arial"/>
          <w:lang w:val="fr-FR"/>
        </w:rPr>
        <w:t xml:space="preserve"> et d</w:t>
      </w:r>
      <w:r w:rsidRPr="00936697">
        <w:rPr>
          <w:rFonts w:ascii="Arial" w:cs="Arial" w:hAnsi="Arial"/>
          <w:lang w:val="fr-FR"/>
        </w:rPr>
        <w:t xml:space="preserve">e l’AMF et plus généralement </w:t>
      </w:r>
      <w:r>
        <w:rPr>
          <w:rFonts w:ascii="Arial" w:cs="Arial" w:hAnsi="Arial"/>
          <w:lang w:val="fr-FR"/>
        </w:rPr>
        <w:t>de toutes l</w:t>
      </w:r>
      <w:r w:rsidRPr="00936697">
        <w:rPr>
          <w:rFonts w:ascii="Arial" w:cs="Arial" w:hAnsi="Arial"/>
          <w:lang w:val="fr-FR"/>
        </w:rPr>
        <w:t xml:space="preserve">es formalités réglementaires qui en découleront, un plan d’actionnariat au bénéfice de l’ensemble des </w:t>
      </w:r>
      <w:r>
        <w:rPr>
          <w:rFonts w:ascii="Arial" w:cs="Arial" w:hAnsi="Arial"/>
          <w:lang w:val="fr-FR"/>
        </w:rPr>
        <w:t>S</w:t>
      </w:r>
      <w:r w:rsidRPr="00936697">
        <w:rPr>
          <w:rFonts w:ascii="Arial" w:cs="Arial" w:hAnsi="Arial"/>
          <w:lang w:val="fr-FR"/>
        </w:rPr>
        <w:t xml:space="preserve">alariés du Groupe et ainsi de Renault </w:t>
      </w:r>
      <w:proofErr w:type="spellStart"/>
      <w:r w:rsidRPr="00936697">
        <w:rPr>
          <w:rFonts w:ascii="Arial" w:cs="Arial" w:hAnsi="Arial"/>
          <w:lang w:val="fr-FR"/>
        </w:rPr>
        <w:t>s.a.s</w:t>
      </w:r>
      <w:proofErr w:type="spellEnd"/>
      <w:r w:rsidRPr="00936697">
        <w:rPr>
          <w:rFonts w:ascii="Arial" w:cs="Arial" w:hAnsi="Arial"/>
          <w:lang w:val="fr-FR"/>
        </w:rPr>
        <w:t>., serait mis en plac</w:t>
      </w:r>
      <w:r>
        <w:rPr>
          <w:rFonts w:ascii="Arial" w:cs="Arial" w:hAnsi="Arial"/>
          <w:lang w:val="fr-FR"/>
        </w:rPr>
        <w:t xml:space="preserve">e. Le calendrier de mise en œuvre du plan se ferait </w:t>
      </w:r>
      <w:r w:rsidR="0018297D">
        <w:rPr>
          <w:rFonts w:ascii="Arial" w:cs="Arial" w:hAnsi="Arial"/>
          <w:lang w:val="fr-FR"/>
        </w:rPr>
        <w:t xml:space="preserve">en </w:t>
      </w:r>
      <w:r>
        <w:rPr>
          <w:rFonts w:ascii="Arial" w:cs="Arial" w:hAnsi="Arial"/>
          <w:lang w:val="fr-FR"/>
        </w:rPr>
        <w:t>fonction des possibilités techniques du marché.</w:t>
      </w:r>
    </w:p>
    <w:p w14:paraId="1CCAB18A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2709AD43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Par ailleurs, dans l’hypothèse où le plan d’actionnariat permettrait comme l’an dernier l’achat d’actions par les Salariés avec abondement employeur, Renault </w:t>
      </w:r>
      <w:proofErr w:type="spellStart"/>
      <w:r w:rsidRPr="00CE60B3">
        <w:rPr>
          <w:rFonts w:ascii="Arial" w:hAnsi="Arial"/>
          <w:sz w:val="22"/>
          <w:szCs w:val="22"/>
          <w:lang w:val="fr-FR"/>
        </w:rPr>
        <w:t>s.a.s</w:t>
      </w:r>
      <w:proofErr w:type="spellEnd"/>
      <w:r w:rsidRPr="00CE60B3">
        <w:rPr>
          <w:rFonts w:ascii="Arial" w:hAnsi="Arial"/>
          <w:sz w:val="22"/>
          <w:szCs w:val="22"/>
          <w:lang w:val="fr-FR"/>
        </w:rPr>
        <w:t>. s’engage à reconduire les mesures exceptionnelles suivantes afin d’en faciliter le financement :</w:t>
      </w:r>
    </w:p>
    <w:p w14:paraId="3948AAAC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33C85F54" w14:textId="77777777" w:rsidP="00CE60B3" w:rsidR="00CE60B3" w:rsidRDefault="00CE60B3" w:rsidRPr="00CE60B3">
      <w:pPr>
        <w:pStyle w:val="Puces"/>
        <w:numPr>
          <w:ilvl w:val="0"/>
          <w:numId w:val="14"/>
        </w:numPr>
        <w:spacing w:after="0"/>
        <w:rPr>
          <w:rFonts w:ascii="Arial" w:hAnsi="Arial"/>
          <w:color w:themeColor="text1" w:val="000000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Ajout temporaire d’un nouveau motif de monétisation des jours du Compte Transitoire (CT) </w:t>
      </w:r>
      <w:r w:rsidRPr="00CE60B3">
        <w:rPr>
          <w:rFonts w:ascii="Arial" w:hAnsi="Arial"/>
          <w:color w:themeColor="text1" w:val="000000"/>
          <w:sz w:val="22"/>
          <w:szCs w:val="22"/>
          <w:lang w:val="fr-FR"/>
        </w:rPr>
        <w:t>ou du Compteur Temps Individuel (CTI) ;</w:t>
      </w:r>
    </w:p>
    <w:p w14:paraId="28FDE100" w14:textId="77777777" w:rsidP="00CE60B3" w:rsidR="00CE60B3" w:rsidRDefault="00CE60B3" w:rsidRPr="00CE60B3">
      <w:pPr>
        <w:pStyle w:val="Puces"/>
        <w:numPr>
          <w:ilvl w:val="0"/>
          <w:numId w:val="14"/>
        </w:numPr>
        <w:spacing w:after="0"/>
        <w:rPr>
          <w:rFonts w:ascii="Arial" w:hAnsi="Arial"/>
          <w:color w:themeColor="text1" w:val="000000"/>
          <w:sz w:val="22"/>
          <w:szCs w:val="22"/>
          <w:lang w:val="fr-FR"/>
        </w:rPr>
      </w:pPr>
      <w:r w:rsidRPr="00CE60B3">
        <w:rPr>
          <w:rFonts w:ascii="Arial" w:hAnsi="Arial"/>
          <w:color w:themeColor="text1" w:val="000000"/>
          <w:sz w:val="22"/>
          <w:szCs w:val="22"/>
          <w:lang w:val="fr-FR"/>
        </w:rPr>
        <w:t>Monétisation possible de jours du Compte Temps Entreprise (CTE) sous réserve que le compteur soit supérieur à 10 jours avant le prélèvement nécessaire à l’achat.</w:t>
      </w:r>
    </w:p>
    <w:p w14:paraId="2EAD7B6B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5064771C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 xml:space="preserve">Ces cas exceptionnels de monétisation seront limités strictement au financement des actions générant un abondement de l’employeur visées ci-dessus. </w:t>
      </w:r>
    </w:p>
    <w:p w14:paraId="393A52B3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Les modalités précises de ce plan d’actionnariat salarié seront détaillées lors de son éventuelle mise en œuvre.</w:t>
      </w:r>
    </w:p>
    <w:p w14:paraId="0D837B97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08290C2D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29C4D64B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7F5DBAB5" w14:textId="77777777" w:rsidP="00CE60B3" w:rsidR="00CE60B3" w:rsidRDefault="00CE60B3" w:rsidRPr="00CE60B3">
      <w:pPr>
        <w:pStyle w:val="Puces"/>
        <w:numPr>
          <w:ilvl w:val="0"/>
          <w:numId w:val="0"/>
        </w:numPr>
        <w:pBdr>
          <w:bottom w:color="7F7F7F" w:space="1" w:sz="18" w:themeColor="text1" w:themeTint="80" w:val="single"/>
        </w:pBdr>
        <w:spacing w:after="0"/>
        <w:rPr>
          <w:rFonts w:ascii="Arial" w:hAnsi="Arial"/>
          <w:b/>
          <w:smallCaps/>
          <w:color w:themeColor="text1" w:themeTint="80" w:val="7F7F7F"/>
          <w:sz w:val="28"/>
          <w:szCs w:val="28"/>
          <w:lang w:val="fr-FR"/>
        </w:rPr>
      </w:pPr>
      <w:r w:rsidRPr="00CE60B3">
        <w:rPr>
          <w:rFonts w:ascii="Arial" w:hAnsi="Arial"/>
          <w:b/>
          <w:smallCaps/>
          <w:color w:themeColor="text1" w:themeTint="80" w:val="7F7F7F"/>
          <w:sz w:val="28"/>
          <w:szCs w:val="28"/>
          <w:lang w:val="fr-FR"/>
        </w:rPr>
        <w:t>CHAPITRE 3 – Dispositions administratives et juridiques</w:t>
      </w:r>
    </w:p>
    <w:p w14:paraId="49D0AC30" w14:textId="77777777" w:rsidP="00CE60B3" w:rsidR="00CE60B3" w:rsidRDefault="00CE60B3" w:rsidRPr="00D21A29">
      <w:pPr>
        <w:spacing w:after="0" w:line="240" w:lineRule="auto"/>
        <w:jc w:val="both"/>
        <w:rPr>
          <w:rFonts w:ascii="Arial" w:cs="Arial" w:eastAsia="Times New Roman" w:hAnsi="Arial"/>
          <w:color w:themeColor="text1" w:val="000000"/>
          <w:lang w:val="fr-FR"/>
        </w:rPr>
      </w:pPr>
    </w:p>
    <w:p w14:paraId="656A7FC8" w14:textId="77777777" w:rsidP="00CE60B3" w:rsidR="00CE60B3" w:rsidRDefault="00CE60B3" w:rsidRPr="00D73352">
      <w:pPr>
        <w:spacing w:after="0" w:line="240" w:lineRule="auto"/>
        <w:jc w:val="both"/>
        <w:rPr>
          <w:rFonts w:ascii="Arial" w:cs="Arial" w:hAnsi="Arial"/>
          <w:b/>
          <w:u w:val="single"/>
          <w:lang w:val="fr-FR"/>
        </w:rPr>
      </w:pPr>
      <w:r w:rsidRPr="00D73352">
        <w:rPr>
          <w:rFonts w:ascii="Arial" w:cs="Arial" w:eastAsia="Times New Roman" w:hAnsi="Arial"/>
          <w:b/>
          <w:bCs/>
          <w:color w:themeColor="text1" w:val="000000"/>
          <w:u w:val="single"/>
          <w:lang w:val="fr-FR"/>
        </w:rPr>
        <w:t>Article 3</w:t>
      </w:r>
      <w:r w:rsidRPr="00D73352">
        <w:rPr>
          <w:rFonts w:ascii="Arial" w:cs="Arial" w:hAnsi="Arial"/>
          <w:b/>
          <w:u w:val="single"/>
          <w:lang w:val="fr-FR"/>
        </w:rPr>
        <w:t>.1 - Durée et conditions d’application de l’accord</w:t>
      </w:r>
    </w:p>
    <w:p w14:paraId="41B50D66" w14:textId="77777777" w:rsidP="00CE60B3" w:rsidR="00CE60B3" w:rsidRDefault="00CE60B3" w:rsidRPr="00D21A29">
      <w:pPr>
        <w:spacing w:after="0" w:line="240" w:lineRule="auto"/>
        <w:jc w:val="both"/>
        <w:rPr>
          <w:rFonts w:ascii="Arial" w:cs="Arial" w:eastAsia="Times New Roman" w:hAnsi="Arial"/>
          <w:color w:themeColor="text1" w:val="000000"/>
          <w:lang w:val="fr-FR"/>
        </w:rPr>
      </w:pPr>
    </w:p>
    <w:p w14:paraId="59CFD18D" w14:textId="5132F1D3" w:rsidP="00CE60B3" w:rsidR="00CE60B3" w:rsidRDefault="00CE60B3">
      <w:pPr>
        <w:spacing w:after="0" w:line="240" w:lineRule="auto"/>
        <w:jc w:val="both"/>
        <w:rPr>
          <w:rFonts w:ascii="Arial" w:cs="Arial" w:eastAsia="Times New Roman" w:hAnsi="Arial"/>
          <w:color w:themeColor="text1" w:val="000000"/>
          <w:lang w:val="fr-FR"/>
        </w:rPr>
      </w:pPr>
      <w:r w:rsidRPr="00D21A29">
        <w:rPr>
          <w:rFonts w:ascii="Arial" w:cs="Arial" w:eastAsia="Times New Roman" w:hAnsi="Arial"/>
          <w:color w:themeColor="text1" w:val="000000"/>
          <w:lang w:val="fr-FR"/>
        </w:rPr>
        <w:t xml:space="preserve">Les mesures décrites ci-dessus entrent en vigueur </w:t>
      </w:r>
      <w:r>
        <w:rPr>
          <w:rFonts w:ascii="Arial" w:cs="Arial" w:eastAsia="Times New Roman" w:hAnsi="Arial"/>
          <w:color w:themeColor="text1" w:val="000000"/>
          <w:lang w:val="fr-FR"/>
        </w:rPr>
        <w:t>selon les modalités suivantes :</w:t>
      </w:r>
    </w:p>
    <w:p w14:paraId="2A740C3D" w14:textId="410638CE" w:rsidP="00CE60B3" w:rsidR="000F0DCE" w:rsidRDefault="000F0DCE">
      <w:pPr>
        <w:spacing w:after="0" w:line="240" w:lineRule="auto"/>
        <w:jc w:val="both"/>
        <w:rPr>
          <w:rFonts w:ascii="Arial" w:cs="Arial" w:eastAsia="Times New Roman" w:hAnsi="Arial"/>
          <w:color w:themeColor="text1" w:val="000000"/>
          <w:lang w:val="fr-FR"/>
        </w:rPr>
      </w:pPr>
    </w:p>
    <w:p w14:paraId="26BE1CF7" w14:textId="6669F94F" w:rsidP="00CE60B3" w:rsidR="000F0DCE" w:rsidRDefault="000F0DCE">
      <w:pPr>
        <w:spacing w:after="0" w:line="240" w:lineRule="auto"/>
        <w:jc w:val="both"/>
        <w:rPr>
          <w:rFonts w:ascii="Arial" w:cs="Arial" w:eastAsia="Times New Roman" w:hAnsi="Arial"/>
          <w:color w:themeColor="text1" w:val="000000"/>
          <w:lang w:val="fr-FR"/>
        </w:rPr>
      </w:pPr>
    </w:p>
    <w:p w14:paraId="0A8E33C7" w14:textId="77777777" w:rsidP="00CE60B3" w:rsidR="000F0DCE" w:rsidRDefault="000F0DCE">
      <w:pPr>
        <w:spacing w:after="0" w:line="240" w:lineRule="auto"/>
        <w:jc w:val="both"/>
        <w:rPr>
          <w:rFonts w:ascii="Arial" w:cs="Arial" w:eastAsia="Times New Roman" w:hAnsi="Arial"/>
          <w:color w:themeColor="text1" w:val="000000"/>
          <w:lang w:val="fr-FR"/>
        </w:rPr>
      </w:pPr>
    </w:p>
    <w:p w14:paraId="14A703B7" w14:textId="77777777" w:rsidP="00CE60B3" w:rsidR="00CE60B3" w:rsidRDefault="00CE60B3" w:rsidRPr="00D21A29">
      <w:pPr>
        <w:spacing w:after="0" w:line="240" w:lineRule="auto"/>
        <w:jc w:val="both"/>
        <w:rPr>
          <w:rFonts w:ascii="Arial" w:cs="Arial" w:eastAsia="Times New Roman" w:hAnsi="Arial"/>
          <w:color w:themeColor="text1" w:val="000000"/>
          <w:lang w:val="fr-FR"/>
        </w:rPr>
      </w:pPr>
    </w:p>
    <w:tbl>
      <w:tblPr>
        <w:tblStyle w:val="Grilledutableau"/>
        <w:tblW w:type="dxa" w:w="10338"/>
        <w:tblInd w:type="dxa" w:w="-147"/>
        <w:shd w:color="auto" w:fill="auto" w:val="pct10"/>
        <w:tblLayout w:type="fixed"/>
        <w:tblLook w:firstColumn="1" w:firstRow="1" w:lastColumn="0" w:lastRow="0" w:noHBand="0" w:noVBand="1" w:val="04A0"/>
      </w:tblPr>
      <w:tblGrid>
        <w:gridCol w:w="24"/>
        <w:gridCol w:w="4219"/>
        <w:gridCol w:w="4536"/>
        <w:gridCol w:w="1559"/>
      </w:tblGrid>
      <w:tr w14:paraId="2DA33318" w14:textId="77777777" w:rsidR="00CE60B3" w:rsidRPr="001E2A3B" w:rsidTr="000F0DCE">
        <w:tc>
          <w:tcPr>
            <w:tcW w:type="dxa" w:w="10338"/>
            <w:gridSpan w:val="4"/>
            <w:tcBorders>
              <w:top w:color="auto" w:space="0" w:sz="12" w:val="single"/>
              <w:left w:color="auto" w:space="0" w:sz="12" w:val="single"/>
              <w:right w:color="auto" w:space="0" w:sz="12" w:val="single"/>
            </w:tcBorders>
            <w:shd w:color="auto" w:fill="B4C6E7" w:themeFill="accent1" w:themeFillTint="66" w:val="clear"/>
          </w:tcPr>
          <w:p w14:paraId="66462FC3" w14:textId="77777777" w:rsidP="00ED64FE" w:rsidR="00CE60B3" w:rsidRDefault="00CE60B3" w:rsidRPr="006307BC">
            <w:pPr>
              <w:jc w:val="center"/>
              <w:rPr>
                <w:rFonts w:ascii="Arial" w:cs="Arial" w:eastAsia="Times New Roman" w:hAnsi="Arial"/>
                <w:color w:themeColor="text1" w:val="000000"/>
                <w:lang w:val="fr-FR"/>
              </w:rPr>
            </w:pPr>
            <w:r w:rsidRPr="00C229C6">
              <w:rPr>
                <w:rFonts w:ascii="Arial" w:hAnsi="Arial"/>
                <w:b/>
                <w:sz w:val="20"/>
                <w:szCs w:val="20"/>
                <w:lang w:val="fr-FR"/>
              </w:rPr>
              <w:t>CALENDRIER DE MISE EN ŒUVRE 2023 ET DUREE DES MESURES VISEES PAR LE PRESENT ACCORD</w:t>
            </w:r>
          </w:p>
        </w:tc>
      </w:tr>
      <w:tr w14:paraId="05E5AACE" w14:textId="77777777" w:rsidR="00CE60B3" w:rsidTr="000F0DCE">
        <w:tc>
          <w:tcPr>
            <w:tcW w:type="dxa" w:w="4243"/>
            <w:gridSpan w:val="2"/>
            <w:tcBorders>
              <w:left w:color="auto" w:space="0" w:sz="12" w:val="single"/>
              <w:bottom w:color="auto" w:space="0" w:sz="12" w:val="single"/>
            </w:tcBorders>
            <w:shd w:color="auto" w:fill="B4C6E7" w:themeFill="accent1" w:themeFillTint="66" w:val="clear"/>
          </w:tcPr>
          <w:p w14:paraId="68EBDEBB" w14:textId="77777777" w:rsidP="00ED64FE" w:rsidR="00CE60B3" w:rsidRDefault="00CE60B3" w:rsidRPr="00081386">
            <w:pPr>
              <w:jc w:val="center"/>
              <w:rPr>
                <w:rFonts w:ascii="Arial" w:cs="Arial" w:eastAsia="Times New Roman" w:hAnsi="Arial"/>
                <w:b/>
                <w:bCs/>
                <w:color w:themeColor="text1" w:val="000000"/>
                <w:lang w:val="fr-FR"/>
              </w:rPr>
            </w:pPr>
            <w:r w:rsidRPr="00081386">
              <w:rPr>
                <w:rFonts w:ascii="Arial" w:cs="Arial" w:eastAsia="Times New Roman" w:hAnsi="Arial"/>
                <w:b/>
                <w:bCs/>
                <w:color w:themeColor="text1" w:val="000000"/>
                <w:lang w:val="fr-FR"/>
              </w:rPr>
              <w:t>Mesures</w:t>
            </w:r>
          </w:p>
        </w:tc>
        <w:tc>
          <w:tcPr>
            <w:tcW w:type="dxa" w:w="4536"/>
            <w:tcBorders>
              <w:bottom w:color="auto" w:space="0" w:sz="12" w:val="single"/>
            </w:tcBorders>
            <w:shd w:color="auto" w:fill="B4C6E7" w:themeFill="accent1" w:themeFillTint="66" w:val="clear"/>
          </w:tcPr>
          <w:p w14:paraId="3BCCA2EC" w14:textId="77777777" w:rsidP="00ED64FE" w:rsidR="00CE60B3" w:rsidRDefault="00CE60B3" w:rsidRPr="00081386">
            <w:pPr>
              <w:jc w:val="center"/>
              <w:rPr>
                <w:rFonts w:ascii="Arial" w:cs="Arial" w:eastAsia="Times New Roman" w:hAnsi="Arial"/>
                <w:b/>
                <w:bCs/>
                <w:color w:themeColor="text1" w:val="000000"/>
                <w:lang w:val="fr-FR"/>
              </w:rPr>
            </w:pPr>
            <w:r w:rsidRPr="00081386">
              <w:rPr>
                <w:rFonts w:ascii="Arial" w:cs="Arial" w:eastAsia="Times New Roman" w:hAnsi="Arial"/>
                <w:b/>
                <w:bCs/>
                <w:color w:themeColor="text1" w:val="000000"/>
                <w:lang w:val="fr-FR"/>
              </w:rPr>
              <w:t>Dates d’application</w:t>
            </w:r>
          </w:p>
        </w:tc>
        <w:tc>
          <w:tcPr>
            <w:tcW w:type="dxa" w:w="1559"/>
            <w:tcBorders>
              <w:bottom w:color="auto" w:space="0" w:sz="12" w:val="single"/>
              <w:right w:color="auto" w:space="0" w:sz="12" w:val="single"/>
            </w:tcBorders>
            <w:shd w:color="auto" w:fill="B4C6E7" w:themeFill="accent1" w:themeFillTint="66" w:val="clear"/>
          </w:tcPr>
          <w:p w14:paraId="3492FC4B" w14:textId="77777777" w:rsidP="00ED64FE" w:rsidR="00CE60B3" w:rsidRDefault="00CE60B3" w:rsidRPr="00081386">
            <w:pPr>
              <w:jc w:val="center"/>
              <w:rPr>
                <w:rFonts w:ascii="Arial" w:cs="Arial" w:eastAsia="Times New Roman" w:hAnsi="Arial"/>
                <w:b/>
                <w:bCs/>
                <w:color w:themeColor="text1" w:val="000000"/>
                <w:lang w:val="fr-FR"/>
              </w:rPr>
            </w:pPr>
            <w:r w:rsidRPr="00081386">
              <w:rPr>
                <w:rFonts w:ascii="Arial" w:cs="Arial" w:eastAsia="Times New Roman" w:hAnsi="Arial"/>
                <w:b/>
                <w:bCs/>
                <w:color w:themeColor="text1" w:val="000000"/>
                <w:lang w:val="fr-FR"/>
              </w:rPr>
              <w:t>Durée</w:t>
            </w:r>
          </w:p>
        </w:tc>
      </w:tr>
      <w:tr w14:paraId="7DE2F4BD" w14:textId="77777777" w:rsidR="00CE60B3" w:rsidRPr="001E2A3B" w:rsidTr="000F0DCE">
        <w:trPr>
          <w:gridBefore w:val="1"/>
          <w:wBefore w:type="dxa" w:w="24"/>
        </w:trPr>
        <w:tc>
          <w:tcPr>
            <w:tcW w:type="dxa" w:w="8755"/>
            <w:gridSpan w:val="2"/>
            <w:tcBorders>
              <w:top w:color="auto" w:space="0" w:sz="12" w:val="single"/>
              <w:left w:color="auto" w:space="0" w:sz="12" w:val="single"/>
              <w:right w:color="auto" w:space="0" w:sz="12" w:val="single"/>
            </w:tcBorders>
            <w:shd w:color="auto" w:fill="auto" w:val="pct10"/>
          </w:tcPr>
          <w:p w14:paraId="56D66758" w14:textId="77777777" w:rsidP="00ED64FE" w:rsidR="00CE60B3" w:rsidRDefault="00CE60B3" w:rsidRPr="003A62C4">
            <w:pPr>
              <w:jc w:val="center"/>
              <w:rPr>
                <w:rFonts w:ascii="Arial" w:cs="Arial" w:eastAsia="Times New Roman" w:hAnsi="Arial"/>
                <w:b/>
                <w:bCs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hAnsi="Arial"/>
                <w:b/>
                <w:bCs/>
                <w:sz w:val="20"/>
                <w:szCs w:val="20"/>
                <w:lang w:val="fr-FR"/>
              </w:rPr>
              <w:t>Mesures salariales au bénéfice des Salariés APR (article 2.1)</w:t>
            </w:r>
          </w:p>
        </w:tc>
        <w:tc>
          <w:tcPr>
            <w:tcW w:type="dxa" w:w="1559"/>
            <w:vMerge w:val="restart"/>
            <w:tcBorders>
              <w:top w:color="auto" w:space="0" w:sz="12" w:val="single"/>
              <w:left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7A4771E2" w14:textId="77777777" w:rsidP="00ED64FE" w:rsidR="00CE60B3" w:rsidRDefault="00CE60B3" w:rsidRPr="003A62C4">
            <w:pPr>
              <w:jc w:val="center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>Exclusivement au titre de l’année 2023</w:t>
            </w:r>
          </w:p>
          <w:p w14:paraId="21E8DFEB" w14:textId="77777777" w:rsidP="00ED64FE" w:rsidR="00CE60B3" w:rsidRDefault="00CE60B3" w:rsidRPr="003A62C4">
            <w:pPr>
              <w:jc w:val="center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</w:p>
        </w:tc>
      </w:tr>
      <w:tr w14:paraId="72450596" w14:textId="77777777" w:rsidR="00CE60B3" w:rsidRPr="00196754" w:rsidTr="000F0DCE">
        <w:trPr>
          <w:gridBefore w:val="1"/>
          <w:wBefore w:type="dxa" w:w="24"/>
        </w:trPr>
        <w:tc>
          <w:tcPr>
            <w:tcW w:type="dxa" w:w="4219"/>
            <w:tcBorders>
              <w:top w:color="auto" w:space="0" w:sz="12" w:val="single"/>
              <w:left w:color="auto" w:space="0" w:sz="12" w:val="single"/>
            </w:tcBorders>
            <w:shd w:color="auto" w:fill="FFFFFF" w:themeFill="background1" w:val="clear"/>
          </w:tcPr>
          <w:p w14:paraId="06D3E39C" w14:textId="77777777" w:rsidP="00CE60B3" w:rsidR="00CE60B3" w:rsidRDefault="00CE60B3" w:rsidRPr="003A62C4">
            <w:pPr>
              <w:pStyle w:val="Paragraphedeliste"/>
              <w:numPr>
                <w:ilvl w:val="0"/>
                <w:numId w:val="9"/>
              </w:numPr>
              <w:rPr>
                <w:rFonts w:ascii="Arial" w:cs="Arial" w:eastAsia="Times New Roman" w:hAnsi="Arial"/>
                <w:i/>
                <w:iCs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cs="Arial" w:eastAsia="Times New Roman" w:hAnsi="Arial"/>
                <w:i/>
                <w:iCs/>
                <w:color w:themeColor="text1" w:val="000000"/>
                <w:sz w:val="20"/>
                <w:szCs w:val="20"/>
                <w:lang w:val="fr-FR"/>
              </w:rPr>
              <w:t>AG</w:t>
            </w:r>
          </w:p>
        </w:tc>
        <w:tc>
          <w:tcPr>
            <w:tcW w:type="dxa" w:w="4536"/>
            <w:tcBorders>
              <w:top w:color="auto" w:space="0" w:sz="12" w:val="single"/>
              <w:right w:color="auto" w:space="0" w:sz="12" w:val="single"/>
            </w:tcBorders>
            <w:shd w:color="auto" w:fill="FFFFFF" w:themeFill="background1" w:val="clear"/>
          </w:tcPr>
          <w:p w14:paraId="09CF8F59" w14:textId="77777777" w:rsidP="00ED64FE" w:rsidR="00CE60B3" w:rsidRDefault="00CE60B3" w:rsidRPr="003A62C4">
            <w:pPr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 xml:space="preserve">Février </w:t>
            </w:r>
          </w:p>
        </w:tc>
        <w:tc>
          <w:tcPr>
            <w:tcW w:type="dxa" w:w="1559"/>
            <w:vMerge/>
            <w:tcBorders>
              <w:left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7ABAFB3B" w14:textId="77777777" w:rsidP="00ED64FE" w:rsidR="00CE60B3" w:rsidRDefault="00CE60B3" w:rsidRPr="003A62C4">
            <w:pPr>
              <w:jc w:val="center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</w:p>
        </w:tc>
      </w:tr>
      <w:tr w14:paraId="330141B3" w14:textId="77777777" w:rsidR="00CE60B3" w:rsidRPr="001E2A3B" w:rsidTr="000F0DCE">
        <w:trPr>
          <w:gridBefore w:val="1"/>
          <w:wBefore w:type="dxa" w:w="24"/>
        </w:trPr>
        <w:tc>
          <w:tcPr>
            <w:tcW w:type="dxa" w:w="4219"/>
            <w:tcBorders>
              <w:left w:color="auto" w:space="0" w:sz="12" w:val="single"/>
            </w:tcBorders>
            <w:shd w:color="auto" w:fill="FFFFFF" w:themeFill="background1" w:val="clear"/>
          </w:tcPr>
          <w:p w14:paraId="5CF42EC5" w14:textId="77777777" w:rsidP="00CE60B3" w:rsidR="00CE60B3" w:rsidRDefault="00CE60B3" w:rsidRPr="003A62C4">
            <w:pPr>
              <w:pStyle w:val="Paragraphedeliste"/>
              <w:numPr>
                <w:ilvl w:val="0"/>
                <w:numId w:val="9"/>
              </w:numPr>
              <w:rPr>
                <w:rFonts w:ascii="Arial" w:cs="Arial" w:eastAsia="Times New Roman" w:hAnsi="Arial"/>
                <w:i/>
                <w:iCs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cs="Arial" w:eastAsia="Times New Roman" w:hAnsi="Arial"/>
                <w:i/>
                <w:iCs/>
                <w:color w:themeColor="text1" w:val="000000"/>
                <w:sz w:val="20"/>
                <w:szCs w:val="20"/>
                <w:lang w:val="fr-FR"/>
              </w:rPr>
              <w:t>Mesures individuelles des APR</w:t>
            </w:r>
          </w:p>
        </w:tc>
        <w:tc>
          <w:tcPr>
            <w:tcW w:type="dxa" w:w="4536"/>
            <w:tcBorders>
              <w:right w:color="auto" w:space="0" w:sz="12" w:val="single"/>
            </w:tcBorders>
            <w:shd w:color="auto" w:fill="FFFFFF" w:themeFill="background1" w:val="clear"/>
          </w:tcPr>
          <w:p w14:paraId="1EB32F55" w14:textId="77777777" w:rsidP="00ED64FE" w:rsidR="00CE60B3" w:rsidRDefault="00CE60B3" w:rsidRPr="004B2D08">
            <w:pPr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>Av</w:t>
            </w:r>
            <w:r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 xml:space="preserve">ril, </w:t>
            </w:r>
            <w:r w:rsidRPr="003A62C4"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 xml:space="preserve">juillet, </w:t>
            </w:r>
            <w:r w:rsidRPr="003F6934"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>octobre</w:t>
            </w:r>
            <w:r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>, décembre</w:t>
            </w:r>
            <w:r w:rsidRPr="003F6934"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>(principalement)</w:t>
            </w:r>
          </w:p>
        </w:tc>
        <w:tc>
          <w:tcPr>
            <w:tcW w:type="dxa" w:w="1559"/>
            <w:vMerge/>
            <w:tcBorders>
              <w:left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5B2B9BB4" w14:textId="77777777" w:rsidP="00ED64FE" w:rsidR="00CE60B3" w:rsidRDefault="00CE60B3" w:rsidRPr="003A62C4">
            <w:pPr>
              <w:jc w:val="center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</w:p>
        </w:tc>
      </w:tr>
      <w:tr w14:paraId="1BC593EB" w14:textId="77777777" w:rsidR="00CE60B3" w:rsidRPr="001E2A3B" w:rsidTr="000F0DCE">
        <w:trPr>
          <w:gridBefore w:val="1"/>
          <w:wBefore w:type="dxa" w:w="24"/>
        </w:trPr>
        <w:tc>
          <w:tcPr>
            <w:tcW w:type="dxa" w:w="8755"/>
            <w:gridSpan w:val="2"/>
            <w:tcBorders>
              <w:top w:color="auto" w:space="0" w:sz="12" w:val="single"/>
              <w:left w:color="auto" w:space="0" w:sz="12" w:val="single"/>
              <w:right w:color="auto" w:space="0" w:sz="12" w:val="single"/>
            </w:tcBorders>
            <w:shd w:color="auto" w:fill="auto" w:val="pct10"/>
          </w:tcPr>
          <w:p w14:paraId="52424CCA" w14:textId="77777777" w:rsidP="00ED64FE" w:rsidR="00CE60B3" w:rsidRDefault="00CE60B3" w:rsidRPr="003A62C4">
            <w:pPr>
              <w:jc w:val="center"/>
              <w:rPr>
                <w:rFonts w:ascii="Arial" w:cs="Arial" w:eastAsia="Times New Roman" w:hAnsi="Arial"/>
                <w:b/>
                <w:bCs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hAnsi="Arial"/>
                <w:b/>
                <w:bCs/>
                <w:sz w:val="20"/>
                <w:szCs w:val="20"/>
                <w:lang w:val="fr-FR"/>
              </w:rPr>
              <w:t xml:space="preserve">Mesures Salariales au bénéfice des </w:t>
            </w:r>
            <w:r>
              <w:rPr>
                <w:rFonts w:ascii="Arial" w:hAnsi="Arial"/>
                <w:b/>
                <w:bCs/>
                <w:sz w:val="20"/>
                <w:szCs w:val="20"/>
                <w:lang w:val="fr-FR"/>
              </w:rPr>
              <w:t>S</w:t>
            </w:r>
            <w:r w:rsidRPr="003A62C4">
              <w:rPr>
                <w:rFonts w:ascii="Arial" w:hAnsi="Arial"/>
                <w:b/>
                <w:bCs/>
                <w:sz w:val="20"/>
                <w:szCs w:val="20"/>
                <w:lang w:val="fr-FR"/>
              </w:rPr>
              <w:t>alariés ETAM (article 2.1)</w:t>
            </w:r>
          </w:p>
        </w:tc>
        <w:tc>
          <w:tcPr>
            <w:tcW w:type="dxa" w:w="1559"/>
            <w:vMerge/>
            <w:tcBorders>
              <w:left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5488B647" w14:textId="77777777" w:rsidP="00ED64FE" w:rsidR="00CE60B3" w:rsidRDefault="00CE60B3" w:rsidRPr="003A62C4">
            <w:pPr>
              <w:jc w:val="center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</w:p>
        </w:tc>
      </w:tr>
      <w:tr w14:paraId="18CFE507" w14:textId="77777777" w:rsidR="00CE60B3" w:rsidTr="000F0DCE">
        <w:trPr>
          <w:gridBefore w:val="1"/>
          <w:wBefore w:type="dxa" w:w="24"/>
        </w:trPr>
        <w:tc>
          <w:tcPr>
            <w:tcW w:type="dxa" w:w="4219"/>
            <w:tcBorders>
              <w:top w:color="auto" w:space="0" w:sz="12" w:val="single"/>
              <w:left w:color="auto" w:space="0" w:sz="12" w:val="single"/>
            </w:tcBorders>
            <w:shd w:color="auto" w:fill="FFFFFF" w:themeFill="background1" w:val="clear"/>
          </w:tcPr>
          <w:p w14:paraId="05C854D9" w14:textId="77777777" w:rsidP="00CE60B3" w:rsidR="00CE60B3" w:rsidRDefault="00CE60B3" w:rsidRPr="003A62C4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="Arial" w:cs="Arial" w:eastAsia="Times New Roman" w:hAnsi="Arial"/>
                <w:i/>
                <w:iCs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cs="Arial" w:eastAsia="Times New Roman" w:hAnsi="Arial"/>
                <w:i/>
                <w:iCs/>
                <w:color w:themeColor="text1" w:val="000000"/>
                <w:sz w:val="20"/>
                <w:szCs w:val="20"/>
                <w:lang w:val="fr-FR"/>
              </w:rPr>
              <w:t>A</w:t>
            </w:r>
            <w:r>
              <w:rPr>
                <w:rFonts w:ascii="Arial" w:cs="Arial" w:eastAsia="Times New Roman" w:hAnsi="Arial"/>
                <w:i/>
                <w:iCs/>
                <w:color w:themeColor="text1" w:val="000000"/>
                <w:sz w:val="20"/>
                <w:szCs w:val="20"/>
                <w:lang w:val="fr-FR"/>
              </w:rPr>
              <w:t>G</w:t>
            </w:r>
            <w:r w:rsidRPr="003A62C4">
              <w:rPr>
                <w:rFonts w:ascii="Arial" w:cs="Arial" w:eastAsia="Times New Roman" w:hAnsi="Arial"/>
                <w:i/>
                <w:iCs/>
                <w:color w:themeColor="text1" w:val="00000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type="dxa" w:w="4536"/>
            <w:tcBorders>
              <w:top w:color="auto" w:space="0" w:sz="12" w:val="single"/>
              <w:right w:color="auto" w:space="0" w:sz="12" w:val="single"/>
            </w:tcBorders>
            <w:shd w:color="auto" w:fill="FFFFFF" w:themeFill="background1" w:val="clear"/>
          </w:tcPr>
          <w:p w14:paraId="716BBE54" w14:textId="77777777" w:rsidP="00ED64FE" w:rsidR="00CE60B3" w:rsidRDefault="00CE60B3" w:rsidRPr="003A62C4">
            <w:pPr>
              <w:jc w:val="both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 xml:space="preserve">Février </w:t>
            </w:r>
          </w:p>
        </w:tc>
        <w:tc>
          <w:tcPr>
            <w:tcW w:type="dxa" w:w="1559"/>
            <w:vMerge/>
            <w:tcBorders>
              <w:left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4D7190E1" w14:textId="77777777" w:rsidP="00ED64FE" w:rsidR="00CE60B3" w:rsidRDefault="00CE60B3" w:rsidRPr="003A62C4">
            <w:pPr>
              <w:jc w:val="center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</w:p>
        </w:tc>
      </w:tr>
      <w:tr w14:paraId="13379760" w14:textId="77777777" w:rsidR="00CE60B3" w:rsidTr="000F0DCE">
        <w:trPr>
          <w:gridBefore w:val="1"/>
          <w:wBefore w:type="dxa" w:w="24"/>
        </w:trPr>
        <w:tc>
          <w:tcPr>
            <w:tcW w:type="dxa" w:w="4219"/>
            <w:tcBorders>
              <w:left w:color="auto" w:space="0" w:sz="12" w:val="single"/>
            </w:tcBorders>
            <w:shd w:color="auto" w:fill="FFFFFF" w:themeFill="background1" w:val="clear"/>
          </w:tcPr>
          <w:p w14:paraId="7A91F67C" w14:textId="77777777" w:rsidP="00CE60B3" w:rsidR="00CE60B3" w:rsidRDefault="00CE60B3" w:rsidRPr="003A62C4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="Arial" w:cs="Arial" w:eastAsia="Times New Roman" w:hAnsi="Arial"/>
                <w:i/>
                <w:iCs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cs="Arial" w:eastAsia="Times New Roman" w:hAnsi="Arial"/>
                <w:i/>
                <w:iCs/>
                <w:color w:themeColor="text1" w:val="000000"/>
                <w:sz w:val="20"/>
                <w:szCs w:val="20"/>
                <w:lang w:val="fr-FR"/>
              </w:rPr>
              <w:t>Mesures individuelles des ETAM</w:t>
            </w:r>
          </w:p>
        </w:tc>
        <w:tc>
          <w:tcPr>
            <w:tcW w:type="dxa" w:w="4536"/>
            <w:tcBorders>
              <w:right w:color="auto" w:space="0" w:sz="12" w:val="single"/>
            </w:tcBorders>
            <w:shd w:color="auto" w:fill="FFFFFF" w:themeFill="background1" w:val="clear"/>
          </w:tcPr>
          <w:p w14:paraId="4CA9F50C" w14:textId="77777777" w:rsidP="00ED64FE" w:rsidR="00CE60B3" w:rsidRDefault="00CE60B3" w:rsidRPr="003A62C4">
            <w:pPr>
              <w:jc w:val="both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 xml:space="preserve">Avril </w:t>
            </w:r>
            <w:r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>(principalement)</w:t>
            </w:r>
          </w:p>
        </w:tc>
        <w:tc>
          <w:tcPr>
            <w:tcW w:type="dxa" w:w="1559"/>
            <w:vMerge/>
            <w:tcBorders>
              <w:left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2F2AACE5" w14:textId="77777777" w:rsidP="00ED64FE" w:rsidR="00CE60B3" w:rsidRDefault="00CE60B3" w:rsidRPr="003A62C4">
            <w:pPr>
              <w:jc w:val="center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</w:p>
        </w:tc>
      </w:tr>
      <w:tr w14:paraId="70A8101B" w14:textId="77777777" w:rsidR="00CE60B3" w:rsidRPr="00160F08" w:rsidTr="000F0DCE">
        <w:trPr>
          <w:gridBefore w:val="1"/>
          <w:wBefore w:type="dxa" w:w="24"/>
        </w:trPr>
        <w:tc>
          <w:tcPr>
            <w:tcW w:type="dxa" w:w="4219"/>
            <w:tcBorders>
              <w:top w:color="auto" w:space="0" w:sz="12" w:val="single"/>
              <w:left w:color="auto" w:space="0" w:sz="12" w:val="single"/>
            </w:tcBorders>
            <w:shd w:color="auto" w:fill="auto" w:val="pct10"/>
          </w:tcPr>
          <w:p w14:paraId="56B6EA9B" w14:textId="77777777" w:rsidP="00ED64FE" w:rsidR="00CE60B3" w:rsidRDefault="00CE60B3" w:rsidRPr="003A62C4">
            <w:pPr>
              <w:jc w:val="both"/>
              <w:rPr>
                <w:rFonts w:ascii="Arial" w:cs="Arial" w:eastAsia="Times New Roman" w:hAnsi="Arial"/>
                <w:b/>
                <w:bCs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hAnsi="Arial"/>
                <w:b/>
                <w:bCs/>
                <w:sz w:val="20"/>
                <w:szCs w:val="20"/>
                <w:lang w:val="fr-FR"/>
              </w:rPr>
              <w:t>Mesures salariales au bénéfice des Salariés Cadres (article 2.1)</w:t>
            </w:r>
          </w:p>
        </w:tc>
        <w:tc>
          <w:tcPr>
            <w:tcW w:type="dxa" w:w="4536"/>
            <w:tcBorders>
              <w:top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42532702" w14:textId="77777777" w:rsidP="00ED64FE" w:rsidR="00CE60B3" w:rsidRDefault="00CE60B3" w:rsidRPr="003A62C4">
            <w:pPr>
              <w:jc w:val="both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 xml:space="preserve">Avril </w:t>
            </w:r>
          </w:p>
        </w:tc>
        <w:tc>
          <w:tcPr>
            <w:tcW w:type="dxa" w:w="1559"/>
            <w:vMerge/>
            <w:tcBorders>
              <w:left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0B0C4462" w14:textId="77777777" w:rsidP="00ED64FE" w:rsidR="00CE60B3" w:rsidRDefault="00CE60B3" w:rsidRPr="003A62C4">
            <w:pPr>
              <w:jc w:val="center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</w:p>
        </w:tc>
      </w:tr>
      <w:tr w14:paraId="0D333E8D" w14:textId="77777777" w:rsidR="00CE60B3" w:rsidRPr="00253ABF" w:rsidTr="000F0DCE">
        <w:trPr>
          <w:gridBefore w:val="1"/>
          <w:wBefore w:type="dxa" w:w="24"/>
        </w:trPr>
        <w:tc>
          <w:tcPr>
            <w:tcW w:type="dxa" w:w="4219"/>
            <w:tcBorders>
              <w:top w:color="auto" w:space="0" w:sz="12" w:val="single"/>
              <w:left w:color="auto" w:space="0" w:sz="12" w:val="single"/>
              <w:bottom w:color="auto" w:space="0" w:sz="12" w:val="single"/>
            </w:tcBorders>
            <w:shd w:color="auto" w:fill="auto" w:val="pct10"/>
          </w:tcPr>
          <w:p w14:paraId="7A7ED7F6" w14:textId="77777777" w:rsidP="00ED64FE" w:rsidR="00CE60B3" w:rsidRDefault="00CE60B3" w:rsidRPr="003A62C4">
            <w:pPr>
              <w:jc w:val="both"/>
              <w:rPr>
                <w:rFonts w:ascii="Arial" w:cs="Arial" w:eastAsia="Times New Roman" w:hAnsi="Arial"/>
                <w:b/>
                <w:bCs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cs="Arial" w:hAnsi="Arial"/>
                <w:b/>
                <w:bCs/>
                <w:sz w:val="20"/>
                <w:szCs w:val="20"/>
                <w:lang w:val="fr-FR"/>
              </w:rPr>
              <w:t>Prime soutien pouvoir d’achat (article 2.1)</w:t>
            </w:r>
          </w:p>
        </w:tc>
        <w:tc>
          <w:tcPr>
            <w:tcW w:type="dxa" w:w="4536"/>
            <w:tcBorders>
              <w:top w:color="auto" w:space="0" w:sz="12" w:val="single"/>
              <w:bottom w:color="auto" w:space="0" w:sz="12" w:val="single"/>
              <w:right w:color="auto" w:space="0" w:sz="12" w:val="single"/>
            </w:tcBorders>
            <w:shd w:color="auto" w:fill="FFFFFF" w:themeFill="background1" w:val="clear"/>
          </w:tcPr>
          <w:p w14:paraId="6F2FF7D1" w14:textId="77777777" w:rsidP="00ED64FE" w:rsidR="00CE60B3" w:rsidRDefault="00CE60B3" w:rsidRPr="003A62C4">
            <w:pPr>
              <w:jc w:val="both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  <w:r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  <w:t>Février et octobre</w:t>
            </w:r>
          </w:p>
        </w:tc>
        <w:tc>
          <w:tcPr>
            <w:tcW w:type="dxa" w:w="1559"/>
            <w:vMerge/>
            <w:tcBorders>
              <w:left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1E430C15" w14:textId="77777777" w:rsidP="00ED64FE" w:rsidR="00CE60B3" w:rsidRDefault="00CE60B3" w:rsidRPr="003A62C4">
            <w:pPr>
              <w:jc w:val="center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</w:p>
        </w:tc>
      </w:tr>
      <w:tr w14:paraId="7D8A9E4F" w14:textId="77777777" w:rsidR="00CE60B3" w:rsidRPr="001E2A3B" w:rsidTr="000F0DCE">
        <w:trPr>
          <w:gridBefore w:val="1"/>
          <w:wBefore w:type="dxa" w:w="24"/>
        </w:trPr>
        <w:tc>
          <w:tcPr>
            <w:tcW w:type="dxa" w:w="4219"/>
            <w:tcBorders>
              <w:top w:color="auto" w:space="0" w:sz="12" w:val="single"/>
              <w:left w:color="auto" w:space="0" w:sz="12" w:val="single"/>
              <w:bottom w:color="auto" w:space="0" w:sz="12" w:val="single"/>
            </w:tcBorders>
            <w:shd w:color="auto" w:fill="auto" w:val="pct10"/>
            <w:vAlign w:val="center"/>
          </w:tcPr>
          <w:p w14:paraId="01F34E31" w14:textId="77777777" w:rsidP="00ED64FE" w:rsidR="00CE60B3" w:rsidRDefault="00CE60B3" w:rsidRPr="003A62C4">
            <w:pPr>
              <w:pStyle w:val="Puces"/>
              <w:numPr>
                <w:ilvl w:val="0"/>
                <w:numId w:val="0"/>
              </w:numPr>
              <w:spacing w:after="0"/>
              <w:jc w:val="lef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A62C4">
              <w:rPr>
                <w:rFonts w:ascii="Arial" w:hAnsi="Arial"/>
                <w:b/>
                <w:bCs/>
                <w:sz w:val="20"/>
                <w:szCs w:val="20"/>
              </w:rPr>
              <w:t xml:space="preserve">Plan </w:t>
            </w:r>
            <w:proofErr w:type="spellStart"/>
            <w:r w:rsidRPr="003A62C4">
              <w:rPr>
                <w:rFonts w:ascii="Arial" w:hAnsi="Arial"/>
                <w:b/>
                <w:bCs/>
                <w:sz w:val="20"/>
                <w:szCs w:val="20"/>
              </w:rPr>
              <w:t>d’actionnariat</w:t>
            </w:r>
            <w:proofErr w:type="spellEnd"/>
            <w:r w:rsidRPr="003A62C4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A62C4">
              <w:rPr>
                <w:rFonts w:ascii="Arial" w:hAnsi="Arial"/>
                <w:b/>
                <w:bCs/>
                <w:sz w:val="20"/>
                <w:szCs w:val="20"/>
              </w:rPr>
              <w:t>salarié</w:t>
            </w:r>
            <w:proofErr w:type="spellEnd"/>
            <w:r w:rsidRPr="003A62C4">
              <w:rPr>
                <w:rFonts w:ascii="Arial" w:hAnsi="Arial"/>
                <w:b/>
                <w:bCs/>
                <w:sz w:val="20"/>
                <w:szCs w:val="20"/>
              </w:rPr>
              <w:t xml:space="preserve"> (article 2.2)</w:t>
            </w:r>
          </w:p>
        </w:tc>
        <w:tc>
          <w:tcPr>
            <w:tcW w:type="dxa" w:w="4536"/>
            <w:tcBorders>
              <w:top w:color="auto" w:space="0" w:sz="12" w:val="single"/>
              <w:bottom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6E0B4C4B" w14:textId="77777777" w:rsidP="00ED64FE" w:rsidR="00CE60B3" w:rsidRDefault="00CE60B3" w:rsidRPr="003A62C4">
            <w:pPr>
              <w:jc w:val="both"/>
              <w:rPr>
                <w:rFonts w:ascii="Arial" w:hAnsi="Arial"/>
                <w:sz w:val="20"/>
                <w:szCs w:val="20"/>
                <w:lang w:val="fr-FR"/>
              </w:rPr>
            </w:pPr>
            <w:r w:rsidRPr="003A62C4">
              <w:rPr>
                <w:rFonts w:ascii="Arial" w:hAnsi="Arial"/>
                <w:sz w:val="20"/>
                <w:szCs w:val="20"/>
                <w:lang w:val="fr-FR"/>
              </w:rPr>
              <w:t>Sous réserve du déploiement du plan</w:t>
            </w:r>
          </w:p>
        </w:tc>
        <w:tc>
          <w:tcPr>
            <w:tcW w:type="dxa" w:w="1559"/>
            <w:vMerge/>
            <w:tcBorders>
              <w:left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427AD6AE" w14:textId="77777777" w:rsidP="00ED64FE" w:rsidR="00CE60B3" w:rsidRDefault="00CE60B3" w:rsidRPr="003A62C4">
            <w:pPr>
              <w:jc w:val="center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</w:p>
        </w:tc>
      </w:tr>
      <w:tr w14:paraId="22AD2ABC" w14:textId="77777777" w:rsidR="00CE60B3" w:rsidRPr="001E2A3B" w:rsidTr="000F0DCE">
        <w:trPr>
          <w:gridBefore w:val="1"/>
          <w:wBefore w:type="dxa" w:w="24"/>
        </w:trPr>
        <w:tc>
          <w:tcPr>
            <w:tcW w:type="dxa" w:w="4219"/>
            <w:tcBorders>
              <w:top w:color="auto" w:space="0" w:sz="12" w:val="single"/>
              <w:left w:color="auto" w:space="0" w:sz="12" w:val="single"/>
              <w:bottom w:color="auto" w:space="0" w:sz="12" w:val="single"/>
            </w:tcBorders>
            <w:shd w:color="auto" w:fill="auto" w:val="pct10"/>
            <w:vAlign w:val="center"/>
          </w:tcPr>
          <w:p w14:paraId="49E83961" w14:textId="77777777" w:rsidP="00ED64FE" w:rsidR="00CE60B3" w:rsidRDefault="00CE60B3" w:rsidRPr="00CE60B3">
            <w:pPr>
              <w:pStyle w:val="Puces"/>
              <w:numPr>
                <w:ilvl w:val="0"/>
                <w:numId w:val="0"/>
              </w:numPr>
              <w:spacing w:after="0"/>
              <w:jc w:val="left"/>
              <w:rPr>
                <w:rFonts w:ascii="Arial" w:hAnsi="Arial"/>
                <w:b/>
                <w:bCs/>
                <w:sz w:val="20"/>
                <w:szCs w:val="20"/>
                <w:lang w:val="fr-FR"/>
              </w:rPr>
            </w:pPr>
            <w:r w:rsidRPr="00CE60B3">
              <w:rPr>
                <w:rFonts w:ascii="Arial" w:hAnsi="Arial"/>
                <w:b/>
                <w:bCs/>
                <w:sz w:val="20"/>
                <w:szCs w:val="20"/>
                <w:lang w:val="fr-FR"/>
              </w:rPr>
              <w:t>Intégration de la garantie accessoire dans la rémunération (article 2.2)</w:t>
            </w:r>
          </w:p>
        </w:tc>
        <w:tc>
          <w:tcPr>
            <w:tcW w:type="dxa" w:w="4536"/>
            <w:tcBorders>
              <w:top w:color="auto" w:space="0" w:sz="12" w:val="single"/>
              <w:bottom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6CEE21AA" w14:textId="77777777" w:rsidP="00ED64FE" w:rsidR="00CE60B3" w:rsidRDefault="00CE60B3" w:rsidRPr="000A5D57">
            <w:pPr>
              <w:jc w:val="both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  <w:r w:rsidRPr="000A5D57">
              <w:rPr>
                <w:rFonts w:ascii="Arial" w:hAnsi="Arial"/>
                <w:sz w:val="20"/>
                <w:szCs w:val="20"/>
                <w:lang w:val="fr-FR"/>
              </w:rPr>
              <w:t>Dès l’entrée en vigueur du présent accord</w:t>
            </w:r>
          </w:p>
        </w:tc>
        <w:tc>
          <w:tcPr>
            <w:tcW w:type="dxa" w:w="1559"/>
            <w:vMerge/>
            <w:tcBorders>
              <w:left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068E7863" w14:textId="77777777" w:rsidP="00ED64FE" w:rsidR="00CE60B3" w:rsidRDefault="00CE60B3" w:rsidRPr="003A62C4">
            <w:pPr>
              <w:jc w:val="center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</w:p>
        </w:tc>
      </w:tr>
      <w:tr w14:paraId="19894F05" w14:textId="77777777" w:rsidR="00CE60B3" w:rsidTr="000F0DCE">
        <w:trPr>
          <w:trHeight w:val="317"/>
        </w:trPr>
        <w:tc>
          <w:tcPr>
            <w:tcW w:type="dxa" w:w="4243"/>
            <w:gridSpan w:val="2"/>
            <w:tcBorders>
              <w:top w:color="auto" w:space="0" w:sz="12" w:val="single"/>
              <w:left w:color="auto" w:space="0" w:sz="12" w:val="single"/>
              <w:bottom w:color="auto" w:space="0" w:sz="12" w:val="single"/>
            </w:tcBorders>
            <w:shd w:color="auto" w:fill="auto" w:val="pct10"/>
            <w:vAlign w:val="center"/>
          </w:tcPr>
          <w:p w14:paraId="684D2DAF" w14:textId="77777777" w:rsidP="00ED64FE" w:rsidR="00CE60B3" w:rsidRDefault="00CE60B3" w:rsidRPr="00CE60B3">
            <w:pPr>
              <w:pStyle w:val="Puces"/>
              <w:numPr>
                <w:ilvl w:val="0"/>
                <w:numId w:val="0"/>
              </w:numPr>
              <w:spacing w:after="0"/>
              <w:jc w:val="left"/>
              <w:rPr>
                <w:rFonts w:ascii="Arial" w:hAnsi="Arial"/>
                <w:b/>
                <w:bCs/>
                <w:sz w:val="20"/>
                <w:szCs w:val="20"/>
                <w:lang w:val="fr-FR"/>
              </w:rPr>
            </w:pPr>
            <w:r w:rsidRPr="00CE60B3">
              <w:rPr>
                <w:rFonts w:ascii="Arial" w:hAnsi="Arial"/>
                <w:b/>
                <w:bCs/>
                <w:sz w:val="20"/>
                <w:szCs w:val="20"/>
                <w:lang w:val="fr-FR"/>
              </w:rPr>
              <w:t>Maintien de l’abondement PERECO (article 2.2)</w:t>
            </w:r>
          </w:p>
        </w:tc>
        <w:tc>
          <w:tcPr>
            <w:tcW w:type="dxa" w:w="4536"/>
            <w:tcBorders>
              <w:top w:color="auto" w:space="0" w:sz="12" w:val="single"/>
              <w:bottom w:color="auto" w:space="0" w:sz="12" w:val="single"/>
            </w:tcBorders>
            <w:shd w:color="auto" w:fill="FFFFFF" w:themeFill="background1" w:val="clear"/>
            <w:vAlign w:val="center"/>
          </w:tcPr>
          <w:p w14:paraId="73DE8609" w14:textId="77777777" w:rsidP="00ED64FE" w:rsidR="00CE60B3" w:rsidRDefault="00CE60B3" w:rsidRPr="003A62C4">
            <w:pPr>
              <w:jc w:val="both"/>
              <w:rPr>
                <w:rFonts w:ascii="Arial" w:cs="Arial" w:eastAsia="Times New Roman" w:hAnsi="Arial"/>
                <w:color w:themeColor="text1" w:val="000000"/>
                <w:sz w:val="20"/>
                <w:szCs w:val="20"/>
                <w:lang w:val="fr-FR"/>
              </w:rPr>
            </w:pPr>
            <w:r w:rsidRPr="003A62C4">
              <w:rPr>
                <w:rFonts w:ascii="Arial" w:hAnsi="Arial"/>
                <w:sz w:val="20"/>
                <w:szCs w:val="20"/>
                <w:lang w:val="fr-FR"/>
              </w:rPr>
              <w:t>Dès l’entrée en vigueur du présent accord</w:t>
            </w:r>
          </w:p>
        </w:tc>
        <w:tc>
          <w:tcPr>
            <w:tcW w:type="dxa" w:w="1559"/>
            <w:tcBorders>
              <w:top w:color="auto" w:space="0" w:sz="12" w:val="single"/>
              <w:bottom w:color="auto" w:space="0" w:sz="12" w:val="single"/>
              <w:right w:color="auto" w:space="0" w:sz="12" w:val="single"/>
            </w:tcBorders>
            <w:shd w:color="auto" w:fill="FFFFFF" w:themeFill="background1" w:val="clear"/>
            <w:vAlign w:val="center"/>
          </w:tcPr>
          <w:p w14:paraId="4CA964B5" w14:textId="1E1AF3F9" w:rsidP="000F0DCE" w:rsidR="00CE60B3" w:rsidRDefault="00CE60B3" w:rsidRPr="003A62C4">
            <w:pPr>
              <w:jc w:val="center"/>
              <w:rPr>
                <w:rFonts w:ascii="Arial" w:cs="Arial" w:eastAsia="Times New Roman" w:hAnsi="Arial"/>
                <w:sz w:val="20"/>
                <w:szCs w:val="20"/>
                <w:lang w:val="fr-FR"/>
              </w:rPr>
            </w:pPr>
            <w:proofErr w:type="spellStart"/>
            <w:r w:rsidRPr="003A62C4">
              <w:rPr>
                <w:rFonts w:ascii="Arial" w:hAnsi="Arial"/>
                <w:sz w:val="20"/>
                <w:szCs w:val="20"/>
              </w:rPr>
              <w:t>Indéterminée</w:t>
            </w:r>
            <w:proofErr w:type="spellEnd"/>
          </w:p>
        </w:tc>
      </w:tr>
    </w:tbl>
    <w:p w14:paraId="43A92F6F" w14:textId="77777777" w:rsidP="00CE60B3" w:rsidR="00CE60B3" w:rsidRDefault="00CE60B3">
      <w:pPr>
        <w:spacing w:after="0" w:line="240" w:lineRule="auto"/>
        <w:jc w:val="both"/>
        <w:rPr>
          <w:rFonts w:ascii="Arial" w:cs="Arial" w:eastAsia="Times New Roman" w:hAnsi="Arial"/>
          <w:color w:themeColor="text1" w:val="000000"/>
          <w:lang w:val="fr-FR"/>
        </w:rPr>
      </w:pPr>
    </w:p>
    <w:p w14:paraId="4C8D8D24" w14:textId="77777777" w:rsidP="00CE60B3" w:rsidR="00CE60B3" w:rsidRDefault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highlight w:val="yellow"/>
        </w:rPr>
      </w:pPr>
    </w:p>
    <w:p w14:paraId="6D6C736B" w14:textId="77777777" w:rsidP="00CE60B3" w:rsidR="00CE60B3" w:rsidRDefault="00CE60B3" w:rsidRPr="003811BA">
      <w:pPr>
        <w:pStyle w:val="Puces"/>
        <w:numPr>
          <w:ilvl w:val="0"/>
          <w:numId w:val="0"/>
        </w:numPr>
        <w:spacing w:after="0"/>
        <w:rPr>
          <w:rFonts w:ascii="Arial" w:hAnsi="Arial"/>
          <w:b/>
          <w:bCs/>
          <w:sz w:val="22"/>
          <w:szCs w:val="22"/>
          <w:u w:val="single"/>
        </w:rPr>
      </w:pPr>
      <w:r w:rsidRPr="003811BA">
        <w:rPr>
          <w:rFonts w:ascii="Arial" w:hAnsi="Arial"/>
          <w:b/>
          <w:bCs/>
          <w:sz w:val="22"/>
          <w:szCs w:val="22"/>
          <w:u w:val="single"/>
        </w:rPr>
        <w:t>Article 3.2 - Notification</w:t>
      </w:r>
    </w:p>
    <w:p w14:paraId="7494CBCD" w14:textId="77777777" w:rsidP="00CE60B3" w:rsidR="00CE60B3" w:rsidRDefault="00CE60B3" w:rsidRPr="00D21A29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</w:rPr>
      </w:pPr>
    </w:p>
    <w:p w14:paraId="0B5B6219" w14:textId="77777777" w:rsidP="00CE60B3" w:rsidR="00CE60B3" w:rsidRDefault="00CE60B3">
      <w:pPr>
        <w:autoSpaceDE w:val="0"/>
        <w:autoSpaceDN w:val="0"/>
        <w:adjustRightInd w:val="0"/>
        <w:spacing w:line="240" w:lineRule="auto"/>
        <w:jc w:val="both"/>
        <w:rPr>
          <w:rFonts w:ascii="Arial" w:cs="Arial" w:hAnsi="Arial"/>
          <w:color w:themeColor="text1" w:val="000000"/>
          <w:lang w:val="fr-FR"/>
        </w:rPr>
      </w:pPr>
      <w:r w:rsidRPr="00D21A29">
        <w:rPr>
          <w:rFonts w:ascii="Arial" w:cs="Arial" w:hAnsi="Arial"/>
          <w:color w:themeColor="text1" w:val="000000"/>
          <w:lang w:val="fr-FR"/>
        </w:rPr>
        <w:t xml:space="preserve">Le présent accord est notifié à chacune des organisations syndicales </w:t>
      </w:r>
      <w:r>
        <w:rPr>
          <w:rFonts w:ascii="Arial" w:cs="Arial" w:hAnsi="Arial"/>
          <w:color w:themeColor="text1" w:val="000000"/>
          <w:lang w:val="fr-FR"/>
        </w:rPr>
        <w:t xml:space="preserve">représentatives </w:t>
      </w:r>
      <w:r w:rsidRPr="00D21A29">
        <w:rPr>
          <w:rFonts w:ascii="Arial" w:cs="Arial" w:hAnsi="Arial"/>
          <w:color w:themeColor="text1" w:val="000000"/>
          <w:lang w:val="fr-FR"/>
        </w:rPr>
        <w:t>dans les conditions légalement prévues.</w:t>
      </w:r>
    </w:p>
    <w:p w14:paraId="4BCF1ED7" w14:textId="77777777" w:rsidP="00CE60B3" w:rsidR="00CE60B3" w:rsidRDefault="00CE60B3" w:rsidRPr="00D21A29">
      <w:pPr>
        <w:autoSpaceDE w:val="0"/>
        <w:autoSpaceDN w:val="0"/>
        <w:adjustRightInd w:val="0"/>
        <w:spacing w:line="240" w:lineRule="auto"/>
        <w:jc w:val="both"/>
        <w:rPr>
          <w:rFonts w:ascii="Arial" w:cs="Arial" w:hAnsi="Arial"/>
          <w:color w:themeColor="text1" w:val="000000"/>
          <w:lang w:val="fr-FR"/>
        </w:rPr>
      </w:pPr>
    </w:p>
    <w:p w14:paraId="63DEFC10" w14:textId="77777777" w:rsidP="00CE60B3" w:rsidR="00CE60B3" w:rsidRDefault="00CE60B3" w:rsidRPr="003811BA">
      <w:pPr>
        <w:autoSpaceDE w:val="0"/>
        <w:autoSpaceDN w:val="0"/>
        <w:adjustRightInd w:val="0"/>
        <w:spacing w:line="240" w:lineRule="auto"/>
        <w:jc w:val="both"/>
        <w:rPr>
          <w:rFonts w:ascii="Arial" w:cs="Arial" w:hAnsi="Arial"/>
          <w:b/>
          <w:bCs/>
          <w:color w:themeColor="text1" w:val="000000"/>
          <w:u w:val="single"/>
          <w:lang w:val="fr-FR"/>
        </w:rPr>
      </w:pPr>
      <w:r w:rsidRPr="003811BA">
        <w:rPr>
          <w:rFonts w:ascii="Arial" w:cs="Arial" w:hAnsi="Arial"/>
          <w:b/>
          <w:bCs/>
          <w:color w:themeColor="text1" w:val="000000"/>
          <w:u w:val="single"/>
          <w:lang w:val="fr-FR"/>
        </w:rPr>
        <w:t xml:space="preserve">Article 3.3 - Dépôt et publicité </w:t>
      </w:r>
    </w:p>
    <w:p w14:paraId="7C78E978" w14:textId="77777777" w:rsidP="00CE60B3" w:rsidR="00CE60B3" w:rsidRDefault="00CE60B3" w:rsidRPr="00D21A29">
      <w:pPr>
        <w:jc w:val="both"/>
        <w:rPr>
          <w:rFonts w:ascii="Arial" w:cs="Arial" w:hAnsi="Arial"/>
          <w:color w:themeColor="text1" w:val="000000"/>
          <w:lang w:val="fr-FR"/>
        </w:rPr>
      </w:pPr>
      <w:r w:rsidRPr="00D21A29">
        <w:rPr>
          <w:rFonts w:ascii="Arial" w:cs="Arial" w:hAnsi="Arial"/>
          <w:color w:themeColor="text1" w:val="000000"/>
          <w:lang w:val="fr-FR"/>
        </w:rPr>
        <w:t xml:space="preserve">Le présent accord est déposé dans les formes requises à la Direction Régionale de l’Economie, de l’Emploi, du Travail et des Solidarités (DRIEETS) et au secrétariat-greffe du conseil de prud’hommes des Hauts-de-Seine par Renault </w:t>
      </w:r>
      <w:proofErr w:type="spellStart"/>
      <w:proofErr w:type="gramStart"/>
      <w:r w:rsidRPr="00D21A29">
        <w:rPr>
          <w:rFonts w:ascii="Arial" w:cs="Arial" w:hAnsi="Arial"/>
          <w:color w:themeColor="text1" w:val="000000"/>
          <w:lang w:val="fr-FR"/>
        </w:rPr>
        <w:t>s.a.s</w:t>
      </w:r>
      <w:proofErr w:type="spellEnd"/>
      <w:r w:rsidRPr="00D21A29">
        <w:rPr>
          <w:rFonts w:ascii="Arial" w:cs="Arial" w:hAnsi="Arial"/>
          <w:color w:themeColor="text1" w:val="000000"/>
          <w:lang w:val="fr-FR"/>
        </w:rPr>
        <w:t>..</w:t>
      </w:r>
      <w:proofErr w:type="gramEnd"/>
    </w:p>
    <w:p w14:paraId="45A1A3DE" w14:textId="77777777" w:rsidP="00CE60B3" w:rsidR="00CE60B3" w:rsidRDefault="00CE60B3">
      <w:pPr>
        <w:jc w:val="both"/>
        <w:rPr>
          <w:rFonts w:ascii="Arial" w:cs="Arial" w:hAnsi="Arial"/>
          <w:color w:themeColor="text1" w:val="000000"/>
          <w:lang w:val="fr-FR"/>
        </w:rPr>
      </w:pPr>
    </w:p>
    <w:p w14:paraId="65185E7A" w14:textId="77777777" w:rsidP="00CE60B3" w:rsidR="00CE60B3" w:rsidRDefault="00CE60B3" w:rsidRPr="003811BA">
      <w:pPr>
        <w:jc w:val="both"/>
        <w:rPr>
          <w:rFonts w:ascii="Arial" w:cs="Arial" w:hAnsi="Arial"/>
          <w:b/>
          <w:bCs/>
          <w:color w:themeColor="text1" w:val="000000"/>
          <w:u w:val="single"/>
          <w:lang w:val="fr-FR"/>
        </w:rPr>
      </w:pPr>
      <w:r w:rsidRPr="003811BA">
        <w:rPr>
          <w:rFonts w:ascii="Arial" w:cs="Arial" w:hAnsi="Arial"/>
          <w:b/>
          <w:bCs/>
          <w:color w:themeColor="text1" w:val="000000"/>
          <w:u w:val="single"/>
          <w:lang w:val="fr-FR"/>
        </w:rPr>
        <w:t>Article 3.4</w:t>
      </w:r>
      <w:bookmarkStart w:id="1" w:name="_Toc518658303"/>
      <w:r w:rsidRPr="003811BA">
        <w:rPr>
          <w:rFonts w:ascii="Arial" w:cs="Arial" w:hAnsi="Arial"/>
          <w:b/>
          <w:bCs/>
          <w:color w:themeColor="text1" w:val="000000"/>
          <w:u w:val="single"/>
          <w:lang w:val="fr-FR"/>
        </w:rPr>
        <w:t xml:space="preserve"> - Adhésion</w:t>
      </w:r>
      <w:bookmarkEnd w:id="1"/>
    </w:p>
    <w:p w14:paraId="72ED5E8F" w14:textId="5B9FF3AA" w:rsidP="00CE60B3" w:rsidR="00CE60B3" w:rsidRDefault="00CE60B3">
      <w:pPr>
        <w:jc w:val="both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 xml:space="preserve">Toute organisation syndicale représentative dans le champ d'application du présent accord, et qui n’en est pas signataire, peut y adhérer dans les conditions légales applicables. Cette adhésion doit être sans réserve et concerner la totalité du texte. </w:t>
      </w:r>
    </w:p>
    <w:p w14:paraId="2253B5CC" w14:textId="77777777" w:rsidP="00CE60B3" w:rsidR="000F0DCE" w:rsidRDefault="000F0DCE" w:rsidRPr="00D21A29">
      <w:pPr>
        <w:jc w:val="both"/>
        <w:rPr>
          <w:rFonts w:ascii="Arial" w:cs="Arial" w:hAnsi="Arial"/>
          <w:lang w:val="fr-FR"/>
        </w:rPr>
      </w:pPr>
    </w:p>
    <w:p w14:paraId="175197E7" w14:textId="77777777" w:rsidP="00CE60B3" w:rsidR="00CE60B3" w:rsidRDefault="00CE60B3" w:rsidRPr="00F2486D">
      <w:pPr>
        <w:rPr>
          <w:rFonts w:cs="Arial"/>
          <w:bCs/>
          <w:u w:val="single"/>
          <w:lang w:val="fr-FR"/>
        </w:rPr>
      </w:pPr>
      <w:bookmarkStart w:id="2" w:name="_Toc518658304"/>
      <w:r w:rsidRPr="00F2486D">
        <w:rPr>
          <w:rFonts w:ascii="Arial" w:cs="Arial" w:hAnsi="Arial"/>
          <w:b/>
          <w:bCs/>
          <w:u w:val="single"/>
          <w:lang w:val="fr-FR"/>
        </w:rPr>
        <w:t>Article 3.5 – Révision</w:t>
      </w:r>
      <w:bookmarkEnd w:id="2"/>
      <w:r>
        <w:rPr>
          <w:rFonts w:ascii="Arial" w:cs="Arial" w:hAnsi="Arial"/>
          <w:b/>
          <w:bCs/>
          <w:u w:val="single"/>
          <w:lang w:val="fr-FR"/>
        </w:rPr>
        <w:t xml:space="preserve"> et dénonciation</w:t>
      </w:r>
    </w:p>
    <w:p w14:paraId="303D2773" w14:textId="77777777" w:rsidP="00CE60B3" w:rsidR="00CE60B3" w:rsidRDefault="00CE60B3" w:rsidRPr="00F2486D">
      <w:pPr>
        <w:rPr>
          <w:rFonts w:cs="Arial"/>
          <w:lang w:val="fr-FR"/>
        </w:rPr>
      </w:pPr>
      <w:r w:rsidRPr="00F2486D">
        <w:rPr>
          <w:rFonts w:ascii="Arial" w:cs="Arial" w:hAnsi="Arial"/>
          <w:lang w:val="fr-FR"/>
        </w:rPr>
        <w:t>Pendant sa durée d’application, le présent accord peut faire l’objet d’une révision dans les conditions fixées par les textes légaux et réglementaires applicables.</w:t>
      </w:r>
    </w:p>
    <w:p w14:paraId="351F38E6" w14:textId="77777777" w:rsidP="00CE60B3" w:rsidR="00CE60B3" w:rsidRDefault="00CE60B3" w:rsidRPr="00031713">
      <w:pPr>
        <w:rPr>
          <w:rFonts w:cs="Arial"/>
          <w:lang w:val="fr-FR"/>
        </w:rPr>
      </w:pPr>
      <w:r w:rsidRPr="00F2486D">
        <w:rPr>
          <w:rFonts w:ascii="Arial" w:cs="Arial" w:hAnsi="Arial"/>
          <w:lang w:val="fr-FR"/>
        </w:rPr>
        <w:t>Toute demande de révision doit être notifiée à chacune des parties signataires et adhérentes, et devra comporter l’indication des dispositions dont la révision est demandée.</w:t>
      </w:r>
    </w:p>
    <w:p w14:paraId="09D6AC65" w14:textId="77777777" w:rsidP="00CE60B3" w:rsidR="00CE60B3" w:rsidRDefault="00CE60B3" w:rsidRPr="00733AB3">
      <w:pPr>
        <w:jc w:val="both"/>
        <w:rPr>
          <w:lang w:val="fr-FR"/>
        </w:rPr>
      </w:pPr>
      <w:r w:rsidRPr="00733AB3">
        <w:rPr>
          <w:rFonts w:ascii="Arial" w:cs="Arial" w:hAnsi="Arial"/>
          <w:lang w:val="fr-FR"/>
        </w:rPr>
        <w:t xml:space="preserve">Pour les dispositions à durée indéterminée, </w:t>
      </w:r>
      <w:r>
        <w:rPr>
          <w:rFonts w:ascii="Arial" w:cs="Arial" w:hAnsi="Arial"/>
          <w:lang w:val="fr-FR"/>
        </w:rPr>
        <w:t xml:space="preserve">elles peuvent </w:t>
      </w:r>
      <w:r w:rsidRPr="00733AB3">
        <w:rPr>
          <w:rFonts w:ascii="Arial" w:cs="Arial" w:hAnsi="Arial"/>
          <w:lang w:val="fr-FR"/>
        </w:rPr>
        <w:t>être dénoncé</w:t>
      </w:r>
      <w:r>
        <w:rPr>
          <w:rFonts w:ascii="Arial" w:cs="Arial" w:hAnsi="Arial"/>
          <w:lang w:val="fr-FR"/>
        </w:rPr>
        <w:t>es</w:t>
      </w:r>
      <w:r w:rsidRPr="00733AB3">
        <w:rPr>
          <w:rFonts w:ascii="Arial" w:cs="Arial" w:hAnsi="Arial"/>
          <w:lang w:val="fr-FR"/>
        </w:rPr>
        <w:t xml:space="preserve"> à tout moment par l’une ou l'autre des parties signataires, selon les</w:t>
      </w:r>
      <w:r w:rsidRPr="00733AB3">
        <w:rPr>
          <w:rFonts w:ascii="Arial" w:hAnsi="Arial"/>
          <w:lang w:val="fr-FR"/>
        </w:rPr>
        <w:t xml:space="preserve"> dispositions légales applicables (à date, il convient de se reporter aux articles L. 2261-9 et suivants du code du travail).</w:t>
      </w:r>
    </w:p>
    <w:p w14:paraId="0BA05432" w14:textId="77777777" w:rsidP="00CE60B3" w:rsidR="00CE60B3" w:rsidRDefault="00CE60B3" w:rsidRPr="00B74B74">
      <w:pPr>
        <w:rPr>
          <w:lang w:val="fr-FR"/>
        </w:rPr>
      </w:pPr>
    </w:p>
    <w:p w14:paraId="50736811" w14:textId="7A5155F6" w:rsidR="000F0DCE" w:rsidRDefault="000F0DCE">
      <w:pPr>
        <w:rPr>
          <w:rFonts w:ascii="Arial" w:cs="Arial" w:hAnsi="Arial"/>
          <w:lang w:val="fr-FR"/>
        </w:rPr>
      </w:pPr>
      <w:r>
        <w:rPr>
          <w:rFonts w:ascii="Arial" w:hAnsi="Arial"/>
          <w:lang w:val="fr-FR"/>
        </w:rPr>
        <w:lastRenderedPageBreak/>
        <w:br w:type="page"/>
      </w:r>
    </w:p>
    <w:p w14:paraId="766C386D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30BDAF26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Fait à Boulogne-Billancourt</w:t>
      </w:r>
    </w:p>
    <w:p w14:paraId="77F520E3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  <w:r w:rsidRPr="00CE60B3">
        <w:rPr>
          <w:rFonts w:ascii="Arial" w:hAnsi="Arial"/>
          <w:sz w:val="22"/>
          <w:szCs w:val="22"/>
          <w:lang w:val="fr-FR"/>
        </w:rPr>
        <w:t>Le 03/02/2023</w:t>
      </w:r>
    </w:p>
    <w:p w14:paraId="11FBADBD" w14:textId="77777777" w:rsidP="00CE60B3" w:rsidR="00CE60B3" w:rsidRDefault="00CE60B3" w:rsidRPr="00CE60B3">
      <w:pPr>
        <w:pStyle w:val="Puces"/>
        <w:numPr>
          <w:ilvl w:val="0"/>
          <w:numId w:val="0"/>
        </w:numPr>
        <w:spacing w:after="0"/>
        <w:rPr>
          <w:rFonts w:ascii="Arial" w:hAnsi="Arial"/>
          <w:sz w:val="22"/>
          <w:szCs w:val="22"/>
          <w:lang w:val="fr-FR"/>
        </w:rPr>
      </w:pPr>
    </w:p>
    <w:p w14:paraId="7F44D624" w14:textId="77777777" w:rsidP="00CE60B3" w:rsidR="00CE60B3" w:rsidRDefault="00CE60B3" w:rsidRPr="00D21A29">
      <w:pPr>
        <w:jc w:val="center"/>
        <w:rPr>
          <w:rFonts w:ascii="Arial" w:cs="Arial" w:hAnsi="Arial"/>
          <w:b/>
          <w:sz w:val="32"/>
          <w:lang w:val="fr-FR"/>
        </w:rPr>
      </w:pPr>
      <w:r w:rsidRPr="00D21A29">
        <w:rPr>
          <w:rFonts w:ascii="Arial" w:cs="Arial" w:hAnsi="Arial"/>
          <w:b/>
          <w:sz w:val="32"/>
          <w:lang w:val="fr-FR"/>
        </w:rPr>
        <w:t>ACCORD RELATIF A LA NEGOCIATION SALARIALE</w:t>
      </w:r>
      <w:r>
        <w:rPr>
          <w:rFonts w:ascii="Arial" w:cs="Arial" w:hAnsi="Arial"/>
          <w:b/>
          <w:sz w:val="32"/>
          <w:lang w:val="fr-FR"/>
        </w:rPr>
        <w:t xml:space="preserve"> POUR L’ANNEE 2023</w:t>
      </w:r>
    </w:p>
    <w:p w14:paraId="0ED822E9" w14:textId="77777777" w:rsidP="00CE60B3" w:rsidR="00CE60B3" w:rsidRDefault="00CE60B3" w:rsidRPr="00D21A29">
      <w:pPr>
        <w:spacing w:line="276" w:lineRule="auto"/>
        <w:jc w:val="center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>ENTRE</w:t>
      </w:r>
    </w:p>
    <w:p w14:paraId="14BFF3A1" w14:textId="77777777" w:rsidP="00CE60B3" w:rsidR="00CE60B3" w:rsidRDefault="00CE60B3" w:rsidRPr="00D21A29">
      <w:pPr>
        <w:spacing w:line="276" w:lineRule="auto"/>
        <w:jc w:val="center"/>
        <w:rPr>
          <w:rFonts w:ascii="Arial" w:cs="Arial" w:eastAsia="Calibri" w:hAnsi="Arial"/>
          <w:b/>
          <w:sz w:val="32"/>
          <w:szCs w:val="32"/>
          <w:lang w:val="fr-FR"/>
        </w:rPr>
      </w:pPr>
      <w:r w:rsidRPr="00D21A29">
        <w:rPr>
          <w:rFonts w:ascii="Arial" w:cs="Arial" w:eastAsia="Calibri" w:hAnsi="Arial"/>
          <w:b/>
          <w:sz w:val="32"/>
          <w:szCs w:val="32"/>
          <w:lang w:val="fr-FR"/>
        </w:rPr>
        <w:t xml:space="preserve">Renault </w:t>
      </w:r>
      <w:proofErr w:type="spellStart"/>
      <w:r w:rsidRPr="00D21A29">
        <w:rPr>
          <w:rFonts w:ascii="Arial" w:cs="Arial" w:eastAsia="Calibri" w:hAnsi="Arial"/>
          <w:b/>
          <w:sz w:val="32"/>
          <w:szCs w:val="32"/>
          <w:lang w:val="fr-FR"/>
        </w:rPr>
        <w:t>s.a.s</w:t>
      </w:r>
      <w:proofErr w:type="spellEnd"/>
      <w:r w:rsidRPr="00D21A29">
        <w:rPr>
          <w:rFonts w:ascii="Arial" w:cs="Arial" w:eastAsia="Calibri" w:hAnsi="Arial"/>
          <w:b/>
          <w:sz w:val="32"/>
          <w:szCs w:val="32"/>
          <w:lang w:val="fr-FR"/>
        </w:rPr>
        <w:t xml:space="preserve">. </w:t>
      </w:r>
    </w:p>
    <w:p w14:paraId="22F216B2" w14:textId="70BDA7C6" w:rsidP="00CE60B3" w:rsidR="00CE60B3" w:rsidRDefault="00CE60B3" w:rsidRPr="00D21A29">
      <w:pPr>
        <w:spacing w:after="0" w:line="276" w:lineRule="auto"/>
        <w:jc w:val="center"/>
        <w:rPr>
          <w:rFonts w:ascii="Arial" w:cs="Arial" w:hAnsi="Arial"/>
          <w:lang w:val="fr-FR"/>
        </w:rPr>
      </w:pPr>
      <w:proofErr w:type="gramStart"/>
      <w:r w:rsidRPr="00D21A29">
        <w:rPr>
          <w:rFonts w:ascii="Arial" w:cs="Arial" w:hAnsi="Arial"/>
          <w:lang w:val="fr-FR"/>
        </w:rPr>
        <w:t>représentée</w:t>
      </w:r>
      <w:proofErr w:type="gramEnd"/>
      <w:r w:rsidRPr="00D21A29">
        <w:rPr>
          <w:rFonts w:ascii="Arial" w:cs="Arial" w:hAnsi="Arial"/>
          <w:lang w:val="fr-FR"/>
        </w:rPr>
        <w:t xml:space="preserve"> par M. </w:t>
      </w:r>
      <w:r w:rsidR="00751480">
        <w:rPr>
          <w:rFonts w:ascii="Arial" w:cs="Arial" w:hAnsi="Arial"/>
          <w:lang w:val="fr-FR"/>
        </w:rPr>
        <w:t>XX</w:t>
      </w:r>
    </w:p>
    <w:p w14:paraId="3C5D6EC6" w14:textId="77777777" w:rsidP="00CE60B3" w:rsidR="00CE60B3" w:rsidRDefault="00CE60B3" w:rsidRPr="00D21A29">
      <w:pPr>
        <w:spacing w:after="0" w:line="276" w:lineRule="auto"/>
        <w:jc w:val="center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>Directeur des Ressources Humaines France</w:t>
      </w:r>
    </w:p>
    <w:p w14:paraId="676F800A" w14:textId="77777777" w:rsidP="00CE60B3" w:rsidR="00CE60B3" w:rsidRDefault="00CE60B3" w:rsidRPr="00D21A29">
      <w:pPr>
        <w:spacing w:after="200" w:line="276" w:lineRule="auto"/>
        <w:jc w:val="center"/>
        <w:rPr>
          <w:rFonts w:ascii="Arial" w:cs="Arial" w:hAnsi="Arial"/>
          <w:sz w:val="6"/>
          <w:lang w:val="fr-FR"/>
        </w:rPr>
      </w:pPr>
    </w:p>
    <w:p w14:paraId="3B8FDEDE" w14:textId="77777777" w:rsidP="00CE60B3" w:rsidR="00CE60B3" w:rsidRDefault="00CE60B3" w:rsidRPr="00D21A29">
      <w:pPr>
        <w:spacing w:after="200" w:line="276" w:lineRule="auto"/>
        <w:jc w:val="center"/>
        <w:rPr>
          <w:rFonts w:ascii="Arial" w:cs="Arial" w:hAnsi="Arial"/>
          <w:sz w:val="6"/>
          <w:lang w:val="fr-FR"/>
        </w:rPr>
      </w:pPr>
    </w:p>
    <w:p w14:paraId="1965BF52" w14:textId="77777777" w:rsidP="00CE60B3" w:rsidR="00CE60B3" w:rsidRDefault="00CE60B3" w:rsidRPr="00D21A29">
      <w:pPr>
        <w:spacing w:after="200" w:line="276" w:lineRule="auto"/>
        <w:jc w:val="center"/>
        <w:rPr>
          <w:rFonts w:ascii="Arial" w:cs="Arial" w:hAnsi="Arial"/>
          <w:sz w:val="6"/>
          <w:lang w:val="fr-FR"/>
        </w:rPr>
      </w:pPr>
    </w:p>
    <w:p w14:paraId="6F696A01" w14:textId="77777777" w:rsidP="00CE60B3" w:rsidR="00CE60B3" w:rsidRDefault="00CE60B3" w:rsidRPr="00D21A29">
      <w:pPr>
        <w:tabs>
          <w:tab w:pos="6804" w:val="left"/>
        </w:tabs>
        <w:spacing w:after="200" w:line="276" w:lineRule="auto"/>
        <w:jc w:val="center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>ET</w:t>
      </w:r>
    </w:p>
    <w:p w14:paraId="3A149190" w14:textId="77777777" w:rsidP="00CE60B3" w:rsidR="00CE60B3" w:rsidRDefault="00CE60B3" w:rsidRPr="00D21A29">
      <w:pPr>
        <w:tabs>
          <w:tab w:pos="6804" w:val="left"/>
        </w:tabs>
        <w:spacing w:after="200" w:line="276" w:lineRule="auto"/>
        <w:jc w:val="center"/>
        <w:rPr>
          <w:rFonts w:ascii="Arial" w:cs="Arial" w:hAnsi="Arial"/>
          <w:lang w:val="fr-FR"/>
        </w:rPr>
      </w:pPr>
    </w:p>
    <w:p w14:paraId="42211C0D" w14:textId="77777777" w:rsidP="00CE60B3" w:rsidR="00CE60B3" w:rsidRDefault="00CE60B3" w:rsidRPr="00D21A29">
      <w:pPr>
        <w:tabs>
          <w:tab w:pos="6804" w:val="left"/>
        </w:tabs>
        <w:spacing w:after="200" w:line="276" w:lineRule="auto"/>
        <w:rPr>
          <w:rFonts w:ascii="Arial" w:cs="Arial" w:hAnsi="Arial"/>
          <w:lang w:val="fr-FR"/>
        </w:rPr>
      </w:pPr>
      <w:r w:rsidRPr="00D21A29">
        <w:rPr>
          <w:rFonts w:ascii="Arial" w:cs="Arial" w:hAnsi="Arial"/>
          <w:lang w:val="fr-FR"/>
        </w:rPr>
        <w:t>Les organisations syndicales ci-dessous :</w:t>
      </w:r>
    </w:p>
    <w:p w14:paraId="0B3DF74B" w14:textId="77777777" w:rsidP="00CE60B3" w:rsidR="00CE60B3" w:rsidRDefault="00CE60B3" w:rsidRPr="00D21A29">
      <w:pPr>
        <w:tabs>
          <w:tab w:pos="6804" w:val="left"/>
        </w:tabs>
        <w:spacing w:after="200" w:line="276" w:lineRule="auto"/>
        <w:rPr>
          <w:rFonts w:ascii="Arial" w:cs="Arial" w:hAnsi="Arial"/>
          <w:sz w:val="4"/>
          <w:szCs w:val="4"/>
          <w:lang w:val="fr-FR"/>
        </w:rPr>
      </w:pPr>
    </w:p>
    <w:tbl>
      <w:tblPr>
        <w:tblW w:type="dxa" w:w="10065"/>
        <w:tblLayout w:type="fixed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5048"/>
        <w:gridCol w:w="5017"/>
      </w:tblGrid>
      <w:tr w14:paraId="41AF8587" w14:textId="77777777" w:rsidR="00CE60B3" w:rsidRPr="001E2A3B" w:rsidTr="00ED64FE">
        <w:trPr>
          <w:trHeight w:val="1816"/>
        </w:trPr>
        <w:tc>
          <w:tcPr>
            <w:tcW w:type="dxa" w:w="5048"/>
          </w:tcPr>
          <w:p w14:paraId="6344A02E" w14:textId="77777777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r w:rsidRPr="00D21A29">
              <w:rPr>
                <w:rFonts w:ascii="Arial" w:cs="Arial" w:hAnsi="Arial"/>
                <w:lang w:val="fr-FR"/>
              </w:rPr>
              <w:t>C.F.D.T.</w:t>
            </w:r>
          </w:p>
          <w:p w14:paraId="5AC1FDCB" w14:textId="2EFD5EE3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proofErr w:type="gramStart"/>
            <w:r w:rsidRPr="00D21A29">
              <w:rPr>
                <w:rFonts w:ascii="Arial" w:cs="Arial" w:hAnsi="Arial"/>
                <w:lang w:val="fr-FR"/>
              </w:rPr>
              <w:t>représentée</w:t>
            </w:r>
            <w:proofErr w:type="gramEnd"/>
            <w:r w:rsidRPr="00D21A29">
              <w:rPr>
                <w:rFonts w:ascii="Arial" w:cs="Arial" w:hAnsi="Arial"/>
                <w:lang w:val="fr-FR"/>
              </w:rPr>
              <w:t xml:space="preserve"> par M. </w:t>
            </w:r>
            <w:r w:rsidR="00751480">
              <w:rPr>
                <w:rFonts w:ascii="Arial" w:cs="Arial" w:hAnsi="Arial"/>
                <w:lang w:val="fr-FR"/>
              </w:rPr>
              <w:t>XX</w:t>
            </w:r>
          </w:p>
          <w:p w14:paraId="5F3242F7" w14:textId="77777777" w:rsidP="00ED64FE" w:rsidR="00CE60B3" w:rsidRDefault="00CE60B3" w:rsidRPr="00D21A29">
            <w:pPr>
              <w:tabs>
                <w:tab w:pos="6804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</w:p>
        </w:tc>
        <w:tc>
          <w:tcPr>
            <w:tcW w:type="dxa" w:w="5017"/>
          </w:tcPr>
          <w:p w14:paraId="263FDEFD" w14:textId="77777777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ind w:right="-189"/>
              <w:rPr>
                <w:rFonts w:ascii="Arial" w:cs="Arial" w:hAnsi="Arial"/>
                <w:lang w:val="fr-FR"/>
              </w:rPr>
            </w:pPr>
            <w:r w:rsidRPr="00D21A29">
              <w:rPr>
                <w:rFonts w:ascii="Arial" w:cs="Arial" w:hAnsi="Arial"/>
                <w:lang w:val="fr-FR"/>
              </w:rPr>
              <w:t>C.G.T.</w:t>
            </w:r>
          </w:p>
          <w:p w14:paraId="7B5A60E8" w14:textId="6AAF08C5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proofErr w:type="gramStart"/>
            <w:r w:rsidRPr="00D21A29">
              <w:rPr>
                <w:rFonts w:ascii="Arial" w:cs="Arial" w:hAnsi="Arial"/>
                <w:lang w:val="fr-FR"/>
              </w:rPr>
              <w:t>représentée</w:t>
            </w:r>
            <w:proofErr w:type="gramEnd"/>
            <w:r w:rsidRPr="00D21A29">
              <w:rPr>
                <w:rFonts w:ascii="Arial" w:cs="Arial" w:hAnsi="Arial"/>
                <w:lang w:val="fr-FR"/>
              </w:rPr>
              <w:t xml:space="preserve"> par M. </w:t>
            </w:r>
            <w:r w:rsidR="00751480">
              <w:rPr>
                <w:rFonts w:ascii="Arial" w:cs="Arial" w:hAnsi="Arial"/>
                <w:lang w:val="fr-FR"/>
              </w:rPr>
              <w:t>XX</w:t>
            </w:r>
          </w:p>
          <w:p w14:paraId="55448BAE" w14:textId="77777777" w:rsidP="00ED64FE" w:rsidR="00CE60B3" w:rsidRDefault="00CE60B3" w:rsidRPr="00D21A29">
            <w:pPr>
              <w:tabs>
                <w:tab w:pos="6804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</w:p>
        </w:tc>
      </w:tr>
      <w:tr w14:paraId="2BFDB754" w14:textId="77777777" w:rsidR="00CE60B3" w:rsidRPr="001E2A3B" w:rsidTr="00ED64FE">
        <w:trPr>
          <w:trHeight w:val="1367"/>
        </w:trPr>
        <w:tc>
          <w:tcPr>
            <w:tcW w:type="dxa" w:w="5048"/>
          </w:tcPr>
          <w:p w14:paraId="05A2546D" w14:textId="77777777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</w:p>
          <w:p w14:paraId="3F8D9EE8" w14:textId="77777777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r w:rsidRPr="00D21A29">
              <w:rPr>
                <w:rFonts w:ascii="Arial" w:cs="Arial" w:hAnsi="Arial"/>
                <w:lang w:val="fr-FR"/>
              </w:rPr>
              <w:t>C.F.E./C.G.C.</w:t>
            </w:r>
          </w:p>
          <w:p w14:paraId="371604CC" w14:textId="6C30A48B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proofErr w:type="gramStart"/>
            <w:r w:rsidRPr="00D21A29">
              <w:rPr>
                <w:rFonts w:ascii="Arial" w:cs="Arial" w:hAnsi="Arial"/>
                <w:lang w:val="fr-FR"/>
              </w:rPr>
              <w:t>représentée</w:t>
            </w:r>
            <w:proofErr w:type="gramEnd"/>
            <w:r w:rsidRPr="00D21A29">
              <w:rPr>
                <w:rFonts w:ascii="Arial" w:cs="Arial" w:hAnsi="Arial"/>
                <w:lang w:val="fr-FR"/>
              </w:rPr>
              <w:t xml:space="preserve"> par M. </w:t>
            </w:r>
            <w:r w:rsidR="00751480">
              <w:rPr>
                <w:rFonts w:ascii="Arial" w:cs="Arial" w:hAnsi="Arial"/>
                <w:lang w:val="fr-FR"/>
              </w:rPr>
              <w:t>XX</w:t>
            </w:r>
          </w:p>
        </w:tc>
        <w:tc>
          <w:tcPr>
            <w:tcW w:type="dxa" w:w="5017"/>
          </w:tcPr>
          <w:p w14:paraId="62C2C9C5" w14:textId="77777777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</w:p>
          <w:p w14:paraId="65C3653A" w14:textId="77777777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r w:rsidRPr="00D21A29">
              <w:rPr>
                <w:rFonts w:ascii="Arial" w:cs="Arial" w:hAnsi="Arial"/>
                <w:lang w:val="fr-FR"/>
              </w:rPr>
              <w:t>F.O.</w:t>
            </w:r>
          </w:p>
          <w:p w14:paraId="140F5A09" w14:textId="00A6D1DC" w:rsidP="00ED64FE" w:rsidR="00CE60B3" w:rsidRDefault="00CE60B3" w:rsidRPr="00D21A29">
            <w:pPr>
              <w:tabs>
                <w:tab w:pos="4820" w:val="left"/>
              </w:tabs>
              <w:spacing w:after="200" w:line="276" w:lineRule="auto"/>
              <w:rPr>
                <w:rFonts w:ascii="Arial" w:cs="Arial" w:hAnsi="Arial"/>
                <w:lang w:val="fr-FR"/>
              </w:rPr>
            </w:pPr>
            <w:proofErr w:type="gramStart"/>
            <w:r w:rsidRPr="00D21A29">
              <w:rPr>
                <w:rFonts w:ascii="Arial" w:cs="Arial" w:hAnsi="Arial"/>
                <w:lang w:val="fr-FR"/>
              </w:rPr>
              <w:t>représentée</w:t>
            </w:r>
            <w:proofErr w:type="gramEnd"/>
            <w:r w:rsidRPr="00D21A29">
              <w:rPr>
                <w:rFonts w:ascii="Arial" w:cs="Arial" w:hAnsi="Arial"/>
                <w:lang w:val="fr-FR"/>
              </w:rPr>
              <w:t xml:space="preserve"> par </w:t>
            </w:r>
            <w:r w:rsidR="00751480">
              <w:rPr>
                <w:rFonts w:ascii="Arial" w:cs="Arial" w:hAnsi="Arial"/>
                <w:lang w:val="fr-FR"/>
              </w:rPr>
              <w:t>M. XX</w:t>
            </w:r>
          </w:p>
        </w:tc>
      </w:tr>
    </w:tbl>
    <w:p w14:paraId="3F6EE3DD" w14:textId="77777777" w:rsidP="00CE60B3" w:rsidR="00CE60B3" w:rsidRDefault="00CE60B3" w:rsidRPr="00D21A29">
      <w:pPr>
        <w:tabs>
          <w:tab w:pos="6804" w:val="left"/>
        </w:tabs>
        <w:spacing w:after="200" w:line="276" w:lineRule="auto"/>
        <w:rPr>
          <w:rFonts w:ascii="Arial" w:cs="Arial" w:hAnsi="Arial"/>
          <w:sz w:val="2"/>
          <w:szCs w:val="2"/>
          <w:lang w:val="fr-FR"/>
        </w:rPr>
      </w:pPr>
    </w:p>
    <w:p w14:paraId="1C2860AA" w14:textId="77777777" w:rsidP="00CE60B3" w:rsidR="00CE60B3" w:rsidRDefault="00CE60B3" w:rsidRPr="00D21A29">
      <w:pPr>
        <w:tabs>
          <w:tab w:pos="4820" w:val="left"/>
        </w:tabs>
        <w:spacing w:after="200" w:line="276" w:lineRule="auto"/>
        <w:rPr>
          <w:rFonts w:ascii="Arial" w:cs="Arial" w:hAnsi="Arial"/>
          <w:lang w:val="fr-FR"/>
        </w:rPr>
      </w:pPr>
    </w:p>
    <w:p w14:paraId="54112941" w14:textId="77777777" w:rsidP="00CE60B3" w:rsidR="00CE60B3" w:rsidRDefault="00CE60B3" w:rsidRPr="00D21A29">
      <w:pPr>
        <w:tabs>
          <w:tab w:pos="4820" w:val="left"/>
        </w:tabs>
        <w:spacing w:after="200" w:line="276" w:lineRule="auto"/>
        <w:rPr>
          <w:rFonts w:ascii="Arial" w:cs="Arial" w:hAnsi="Arial"/>
          <w:lang w:val="fr-FR"/>
        </w:rPr>
      </w:pPr>
    </w:p>
    <w:p w14:paraId="3168981A" w14:textId="77777777" w:rsidP="00CE60B3" w:rsidR="00CE60B3" w:rsidRDefault="00CE60B3" w:rsidRPr="00D21A29">
      <w:pPr>
        <w:rPr>
          <w:rFonts w:ascii="Arial" w:cs="Arial" w:hAnsi="Arial"/>
          <w:lang w:val="fr-FR"/>
        </w:rPr>
      </w:pPr>
    </w:p>
    <w:p w14:paraId="149FF018" w14:textId="77777777" w:rsidP="00CE60B3" w:rsidR="00CE60B3" w:rsidRDefault="00CE60B3">
      <w:pPr>
        <w:jc w:val="right"/>
        <w:rPr>
          <w:rFonts w:ascii="Arial" w:cs="Arial" w:hAnsi="Arial"/>
          <w:lang w:val="fr-FR"/>
        </w:rPr>
      </w:pPr>
    </w:p>
    <w:p w14:paraId="56CA899B" w14:textId="77777777" w:rsidP="00CE60B3" w:rsidR="00CE60B3" w:rsidRDefault="00CE60B3" w:rsidRPr="00D817F6">
      <w:pPr>
        <w:rPr>
          <w:rFonts w:ascii="Arial" w:cs="Arial" w:hAnsi="Arial"/>
          <w:lang w:val="fr-FR"/>
        </w:rPr>
      </w:pPr>
    </w:p>
    <w:p w14:paraId="0F1DEBC7" w14:textId="77777777" w:rsidR="00D53F87" w:rsidRDefault="00751480" w:rsidRPr="00CE60B3">
      <w:pPr>
        <w:rPr>
          <w:lang w:val="fr-FR"/>
        </w:rPr>
      </w:pPr>
    </w:p>
    <w:sectPr w:rsidR="00D53F87" w:rsidRPr="00CE60B3">
      <w:headerReference r:id="rId9" w:type="default"/>
      <w:footerReference r:id="rId10" w:type="even"/>
      <w:footerReference r:id="rId11" w:type="default"/>
      <w:footerReference r:id="rId12" w:type="firs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76294" w14:textId="77777777" w:rsidR="00CA6C91" w:rsidRDefault="00CA6C91" w:rsidP="00CE60B3">
      <w:pPr>
        <w:spacing w:after="0" w:line="240" w:lineRule="auto"/>
      </w:pPr>
      <w:r>
        <w:separator/>
      </w:r>
    </w:p>
  </w:endnote>
  <w:endnote w:type="continuationSeparator" w:id="0">
    <w:p w14:paraId="664C34F3" w14:textId="77777777" w:rsidR="00CA6C91" w:rsidRDefault="00CA6C91" w:rsidP="00CE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CCC83E7" w14:textId="77777777" w:rsidR="00CE60B3" w:rsidRDefault="00CE60B3">
    <w:pPr>
      <w:pStyle w:val="Pieddepage"/>
    </w:pPr>
    <w:r>
      <w:rPr>
        <w:noProof/>
      </w:rPr>
      <mc:AlternateContent>
        <mc:Choice Requires="wps">
          <w:drawing>
            <wp:anchor allowOverlap="1" behindDoc="0" distB="0" distL="0" distR="0" distT="0" layoutInCell="1" locked="0" relativeHeight="251659264" simplePos="0" wp14:anchorId="73231EFD" wp14:editId="2568B48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b="7620" l="0" r="0" t="0"/>
              <wp:wrapSquare wrapText="bothSides"/>
              <wp:docPr descr="Confidential C" id="2" name="Zone de texte 2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CE5F3E" w14:textId="77777777" w:rsidR="00CE60B3" w:rsidRDefault="00CE60B3" w:rsidRPr="00CE60B3">
                          <w:pPr>
                            <w:rPr>
                              <w:rFonts w:ascii="Arial" w:cs="Arial" w:eastAsia="Arial" w:hAnsi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60B3">
                            <w:rPr>
                              <w:rFonts w:ascii="Arial" w:cs="Arial" w:eastAsia="Arial" w:hAnsi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anchor="t" anchorCtr="0" bIns="0" compatLnSpc="1" forceAA="0" fromWordArt="0" horzOverflow="overflow" lIns="0" numCol="1" rIns="190500" rot="0" rtlCol="0" spcCol="0" spcFirstLastPara="0" tIns="0" vert="horz" vertOverflow="overflow" wrap="none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231EFD">
              <v:stroke joinstyle="miter"/>
              <v:path gradientshapeok="t" o:connecttype="rect"/>
            </v:shapetype>
            <v:shape alt="Confidential C" filled="f" id="Zone de text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f+u8BgIAABUEAAAOAAAAZHJzL2Uyb0RvYy54bWysU8Fu2zAMvQ/YPwi6L3a6tmiNOEXWIsOA oC2QDj0rshQbkEVBYmJnXz9Ktput22nYRaZJ6pF8fFrc9a1hR+VDA7bk81nOmbISqsbuS/79Zf3p hrOAwlbCgFUlP6nA75YfPyw6V6gLqMFUyjMCsaHoXMlrRFdkWZC1akWYgVOWghp8K5B+/T6rvOgI vTXZRZ5fZx34ynmQKgTyPgxBvkz4WiuJT1oHhcyUnHrDdPp07uKZLRei2Hvh6kaObYh/6KIVjaWi b1APAgU7+OYPqLaRHgJonEloM9C6kSrNQNPM83fTbGvhVJqFyAnujabw/2Dl43Hrnj3D/gv0tMBI SOdCEcgZ5+m1b+OXOmUUJwpPb7SpHpkk5+Xl55vrK84khUabULLzZecDflXQsmiU3NNWElniuAk4 pE4psZaFdWNM2oyxvzkIM3qyc4fRwn7Xj23voDrRNB6GRQcn1w3V3IiAz8LTZmkAUis+0aENdCWH 0eKsBv/jb/6YT4RTlLOOlFJyS1LmzHyztIgoqsnwyZjf5lc5uXeT2x7aeyD9zekpOJlMCns0k6k9 tK+k41UsRCFhJZUrOU7mPQ6SpXcg1WqVkkg/TuDGbp2M0JGnSOJL/yq8G5lGWtEjTDISxTvCh9x4 M7jVAYn2tI3I6UDkSDVpL+1zfCdR3L/+p6zza17+BAAA//8DAFBLAwQUAAYACAAAACEAEw3vsNgA AAADAQAADwAAAGRycy9kb3ducmV2LnhtbEyPTU/DMAyG70j8h8hI3FjChwbrmk4TaFckukkVt6wx bUfjVI23lX+Pd4Kj/b56/DhfTaFXJxxTF8nC/cyAQqqj76ixsNtu7l5AJXbkXR8JLfxgglVxfZW7 zMczfeCp5EYJhFLmLLTMQ6Z1qlsMLs3igCTZVxyDYxnHRvvRnQUeev1gzFwH15FcaN2Ary3W3+Ux WHjudoe3z3WIE1FZVfxUbfT7o7W3N9N6CYpx4r8yXPRFHQpx2scj+aR6C/IIX7ZKsvliAWovXGNA F7n+7178AgAA//8DAFBLAQItABQABgAIAAAAIQC2gziS/gAAAOEBAAATAAAAAAAAAAAAAAAAAAAA AABbQ29udGVudF9UeXBlc10ueG1sUEsBAi0AFAAGAAgAAAAhADj9If/WAAAAlAEAAAsAAAAAAAAA AAAAAAAALwEAAF9yZWxzLy5yZWxzUEsBAi0AFAAGAAgAAAAhAMp/67wGAgAAFQQAAA4AAAAAAAAA AAAAAAAALgIAAGRycy9lMm9Eb2MueG1sUEsBAi0AFAAGAAgAAAAhABMN77DYAAAAAwEAAA8AAAAA AAAAAAAAAAAAYAQAAGRycy9kb3ducmV2LnhtbFBLBQYAAAAABAAEAPMAAABlBQAAAAA= " o:spid="_x0000_s1026" stroked="f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type="#_x0000_t202">
              <v:textbox inset="0,0,15pt,0" style="mso-fit-shape-to-text:t">
                <w:txbxContent>
                  <w:p w14:paraId="0BCE5F3E" w14:textId="77777777" w:rsidR="00CE60B3" w:rsidRDefault="00CE60B3" w:rsidRPr="00CE60B3">
                    <w:pPr>
                      <w:rPr>
                        <w:rFonts w:ascii="Arial" w:cs="Arial" w:eastAsia="Arial" w:hAnsi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CE60B3">
                      <w:rPr>
                        <w:rFonts w:ascii="Arial" w:cs="Arial" w:eastAsia="Arial" w:hAnsi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margin" type="square"/>
            </v:shape>
          </w:pict>
        </mc:Fallback>
      </mc:AlternateContent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FC535BF" w14:textId="30AAB201" w:rsidP="00CE60B3" w:rsidR="00CE60B3" w:rsidRDefault="00CE60B3" w:rsidRPr="003F651D">
    <w:pPr>
      <w:pStyle w:val="Pieddepage"/>
      <w:pBdr>
        <w:top w:color="auto" w:space="1" w:sz="4" w:val="single"/>
      </w:pBdr>
      <w:jc w:val="right"/>
      <w:rPr>
        <w:rFonts w:ascii="Arial" w:cs="Arial" w:hAnsi="Arial"/>
        <w:i/>
        <w:sz w:val="18"/>
      </w:rPr>
    </w:pPr>
    <w:r w:rsidRPr="003F651D">
      <w:rPr>
        <w:rFonts w:ascii="Arial" w:cs="Arial" w:hAnsi="Arial"/>
        <w:i/>
        <w:sz w:val="18"/>
      </w:rPr>
      <w:t xml:space="preserve">Page </w:t>
    </w:r>
    <w:sdt>
      <w:sdtPr>
        <w:rPr>
          <w:rFonts w:ascii="Arial" w:cs="Arial" w:hAnsi="Arial"/>
          <w:i/>
          <w:sz w:val="18"/>
        </w:rPr>
        <w:id w:val="-1265385732"/>
        <w:docPartObj>
          <w:docPartGallery w:val="Page Numbers (Bottom of Page)"/>
          <w:docPartUnique/>
        </w:docPartObj>
      </w:sdtPr>
      <w:sdtEndPr/>
      <w:sdtContent>
        <w:r w:rsidRPr="003F651D">
          <w:rPr>
            <w:rFonts w:ascii="Arial" w:cs="Arial" w:hAnsi="Arial"/>
            <w:i/>
            <w:sz w:val="18"/>
          </w:rPr>
          <w:fldChar w:fldCharType="begin"/>
        </w:r>
        <w:r w:rsidRPr="003F651D">
          <w:rPr>
            <w:rFonts w:ascii="Arial" w:cs="Arial" w:hAnsi="Arial"/>
            <w:i/>
            <w:sz w:val="18"/>
          </w:rPr>
          <w:instrText>PAGE   \* MERGEFORMAT</w:instrText>
        </w:r>
        <w:r w:rsidRPr="003F651D">
          <w:rPr>
            <w:rFonts w:ascii="Arial" w:cs="Arial" w:hAnsi="Arial"/>
            <w:i/>
            <w:sz w:val="18"/>
          </w:rPr>
          <w:fldChar w:fldCharType="separate"/>
        </w:r>
        <w:r>
          <w:rPr>
            <w:rFonts w:ascii="Arial" w:cs="Arial" w:hAnsi="Arial"/>
            <w:i/>
            <w:sz w:val="18"/>
          </w:rPr>
          <w:t>1</w:t>
        </w:r>
        <w:r w:rsidRPr="003F651D">
          <w:rPr>
            <w:rFonts w:ascii="Arial" w:cs="Arial" w:hAnsi="Arial"/>
            <w:i/>
            <w:sz w:val="18"/>
          </w:rPr>
          <w:fldChar w:fldCharType="end"/>
        </w:r>
        <w:r w:rsidRPr="003F651D">
          <w:rPr>
            <w:rFonts w:ascii="Arial" w:cs="Arial" w:hAnsi="Arial"/>
            <w:i/>
            <w:sz w:val="18"/>
          </w:rPr>
          <w:t xml:space="preserve"> sur</w:t>
        </w:r>
        <w:r>
          <w:rPr>
            <w:rFonts w:ascii="Arial" w:cs="Arial" w:hAnsi="Arial"/>
            <w:i/>
            <w:sz w:val="18"/>
          </w:rPr>
          <w:t xml:space="preserve"> </w:t>
        </w:r>
        <w:r w:rsidR="000F0DCE">
          <w:rPr>
            <w:rFonts w:ascii="Arial" w:cs="Arial" w:hAnsi="Arial"/>
            <w:i/>
            <w:sz w:val="18"/>
          </w:rPr>
          <w:t>8</w:t>
        </w:r>
      </w:sdtContent>
    </w:sdt>
  </w:p>
  <w:p w14:paraId="0BE08B39" w14:textId="77777777" w:rsidR="00CE60B3" w:rsidRDefault="00CE60B3">
    <w:pPr>
      <w:pStyle w:val="Pieddepage"/>
    </w:pPr>
    <w:r>
      <w:rPr>
        <w:noProof/>
      </w:rPr>
      <mc:AlternateContent>
        <mc:Choice Requires="wps">
          <w:drawing>
            <wp:anchor allowOverlap="1" behindDoc="0" distB="0" distL="0" distR="0" distT="0" layoutInCell="1" locked="0" relativeHeight="251660288" simplePos="0" wp14:anchorId="3CE2E9E0" wp14:editId="683304BF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b="7620" l="0" r="0" t="0"/>
              <wp:wrapSquare wrapText="bothSides"/>
              <wp:docPr descr="Confidential C" id="3" name="Zone de texte 3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4321AF" w14:textId="77777777" w:rsidR="00CE60B3" w:rsidRDefault="00CE60B3" w:rsidRPr="00CE60B3">
                          <w:pPr>
                            <w:rPr>
                              <w:rFonts w:ascii="Arial" w:cs="Arial" w:eastAsia="Arial" w:hAnsi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60B3">
                            <w:rPr>
                              <w:rFonts w:ascii="Arial" w:cs="Arial" w:eastAsia="Arial" w:hAnsi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anchor="t" anchorCtr="0" bIns="0" compatLnSpc="1" forceAA="0" fromWordArt="0" horzOverflow="overflow" lIns="0" numCol="1" rIns="190500" rot="0" rtlCol="0" spcCol="0" spcFirstLastPara="0" tIns="0" vert="horz" vertOverflow="overflow" wrap="none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CE2E9E0">
              <v:stroke joinstyle="miter"/>
              <v:path gradientshapeok="t" o:connecttype="rect"/>
            </v:shapetype>
            <v:shape alt="Confidential C" filled="f" id="Zone de tex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X/+QCQIAABwEAAAOAAAAZHJzL2Uyb0RvYy54bWysU8Fu2zAMvQ/YPwi6L3a6tuiMOEXWIsOA oC2QDj0rshQbkEWBUmJnXz9Ktpuu22nYRaZJ6pF8fFrc9q1hR4W+AVvy+SznTFkJVWP3Jf/xvP50 w5kPwlbCgFUlPynPb5cfPyw6V6gLqMFUChmBWF90ruR1CK7IMi9r1Qo/A6csBTVgKwL94j6rUHSE 3prsIs+vsw6wcghSeU/e+yHIlwlfayXDo9ZeBWZKTr2FdGI6d/HMlgtR7FG4upFjG+IfumhFY6no K9S9CIIdsPkDqm0kggcdZhLaDLRupEoz0DTz/N0021o4lWYhcrx7pcn/P1j5cNy6J2Sh/wo9LTAS 0jlfeHLGeXqNbfxSp4ziROHplTbVBybJeXn5+eb6ijNJodEmlOx82aEP3xS0LBolR9pKIkscNz4M qVNKrGVh3RiTNmPsbw7CjJ7s3GG0Qr/rWVO96X4H1YmGQhj27Z1cN1R6I3x4EkgLpjlItOGRDm2g KzmMFmc14M+/+WM+8U5RzjoSTMktKZoz893SPqK2JgOTMf+SX+Xk3k1ue2jvgGQ4pxfhZDIpjMFM pkZoX0jOq1iIQsJKKlfyMJl3YVAuPQepVquURDJyImzs1skIHemKXD73LwLdSHigTT3ApCZRvON9 yI03vVsdArGflhKpHYgcGScJprWOzyVq/O1/yjo/6uUvAAAA//8DAFBLAwQUAAYACAAAACEAEw3v sNgAAAADAQAADwAAAGRycy9kb3ducmV2LnhtbEyPTU/DMAyG70j8h8hI3FjChwbrmk4TaFckukkV t6wxbUfjVI23lX+Pd4Kj/b56/DhfTaFXJxxTF8nC/cyAQqqj76ixsNtu7l5AJXbkXR8JLfxgglVx fZW7zMczfeCp5EYJhFLmLLTMQ6Z1qlsMLs3igCTZVxyDYxnHRvvRnQUeev1gzFwH15FcaN2Ary3W 3+UxWHjudoe3z3WIE1FZVfxUbfT7o7W3N9N6CYpx4r8yXPRFHQpx2scj+aR6C/IIX7ZKsvliAWov XGNAF7n+7178AgAA//8DAFBLAQItABQABgAIAAAAIQC2gziS/gAAAOEBAAATAAAAAAAAAAAAAAAA AAAAAABbQ29udGVudF9UeXBlc10ueG1sUEsBAi0AFAAGAAgAAAAhADj9If/WAAAAlAEAAAsAAAAA AAAAAAAAAAAALwEAAF9yZWxzLy5yZWxzUEsBAi0AFAAGAAgAAAAhALNf/5AJAgAAHAQAAA4AAAAA AAAAAAAAAAAALgIAAGRycy9lMm9Eb2MueG1sUEsBAi0AFAAGAAgAAAAhABMN77DYAAAAAwEAAA8A AAAAAAAAAAAAAAAAYwQAAGRycy9kb3ducmV2LnhtbFBLBQYAAAAABAAEAPMAAABoBQAAAAA= " o:spid="_x0000_s1027" stroked="f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type="#_x0000_t202">
              <v:textbox inset="0,0,15pt,0" style="mso-fit-shape-to-text:t">
                <w:txbxContent>
                  <w:p w14:paraId="364321AF" w14:textId="77777777" w:rsidR="00CE60B3" w:rsidRDefault="00CE60B3" w:rsidRPr="00CE60B3">
                    <w:pPr>
                      <w:rPr>
                        <w:rFonts w:ascii="Arial" w:cs="Arial" w:eastAsia="Arial" w:hAnsi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CE60B3">
                      <w:rPr>
                        <w:rFonts w:ascii="Arial" w:cs="Arial" w:eastAsia="Arial" w:hAnsi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margin" type="square"/>
            </v:shape>
          </w:pict>
        </mc:Fallback>
      </mc:AlternateContent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0CA96F4" w14:textId="77777777" w:rsidR="00CE60B3" w:rsidRDefault="00CE60B3">
    <w:pPr>
      <w:pStyle w:val="Pieddepage"/>
    </w:pPr>
    <w:r>
      <w:rPr>
        <w:noProof/>
      </w:rPr>
      <mc:AlternateContent>
        <mc:Choice Requires="wps">
          <w:drawing>
            <wp:anchor allowOverlap="1" behindDoc="0" distB="0" distL="0" distR="0" distT="0" layoutInCell="1" locked="0" relativeHeight="251658240" simplePos="0" wp14:anchorId="084A1371" wp14:editId="1CD899C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b="7620" l="0" r="0" t="0"/>
              <wp:wrapSquare wrapText="bothSides"/>
              <wp:docPr descr="Confidential C" id="1" name="Zone de texte 1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095A7" w14:textId="77777777" w:rsidR="00CE60B3" w:rsidRDefault="00CE60B3" w:rsidRPr="00CE60B3">
                          <w:pPr>
                            <w:rPr>
                              <w:rFonts w:ascii="Arial" w:cs="Arial" w:eastAsia="Arial" w:hAnsi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60B3">
                            <w:rPr>
                              <w:rFonts w:ascii="Arial" w:cs="Arial" w:eastAsia="Arial" w:hAnsi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anchor="t" anchorCtr="0" bIns="0" compatLnSpc="1" forceAA="0" fromWordArt="0" horzOverflow="overflow" lIns="0" numCol="1" rIns="190500" rot="0" rtlCol="0" spcCol="0" spcFirstLastPara="0" tIns="0" vert="horz" vertOverflow="overflow" wrap="none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084A1371">
              <v:stroke joinstyle="miter"/>
              <v:path gradientshapeok="t" o:connecttype="rect"/>
            </v:shapetype>
            <v:shape alt="Confidential C" filled="f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nijWCwIAABwEAAAOAAAAZHJzL2Uyb0RvYy54bWysU8Fu2zAMvQ/YPwi6L3aytmiNOEXWIsOA oC2QDj0rshQbkEWBUmJnXz9KsZOt22nYRaZJ6pF8fJrf961hB4W+AVvy6STnTFkJVWN3Jf/+uvp0 y5kPwlbCgFUlPyrP7xcfP8w7V6gZ1GAqhYxArC86V/I6BFdkmZe1aoWfgFOWghqwFYF+cZdVKDpC b002y/ObrAOsHIJU3pP38RTki4SvtZLhWWuvAjMlp95COjGd23hmi7kodihc3cihDfEPXbSisVT0 DPUogmB7bP6AahuJ4EGHiYQ2A60bqdIMNM00fzfNphZOpVmIHO/ONPn/ByufDhv3giz0X6CnBUZC OucLT844T6+xjV/qlFGcKDyeaVN9YJKcV1efb2+uOZMUGmxCyS6XHfrwVUHLolFypK0kssRh7cMp dUyJtSysGmPSZoz9zUGY0ZNdOoxW6Lc9a6qSz8but1AdaSiE0769k6uGSq+FDy8CacE0B4k2PNOh DXQlh8HirAb88Td/zCfeKcpZR4IpuSVFc2a+WdpH1NZoYDKmd/l1Tu7t6Lb79gFIhlN6EU4mk8IY zGhqhPaN5LyMhSgkrKRyJQ+j+RBOyqXnINVymZJIRk6Etd04GaEjXZHL1/5NoBsID7SpJxjVJIp3 vJ9y403vlvtA7KelRGpPRA6MkwTTWofnEjX+63/KujzqxU8AAAD//wMAUEsDBBQABgAIAAAAIQAT De+w2AAAAAMBAAAPAAAAZHJzL2Rvd25yZXYueG1sTI9NT8MwDIbvSPyHyEjcWMKHBuuaThNoVyS6 SRW3rDFtR+NUjbeVf493gqP9vnr8OF9NoVcnHFMXycL9zIBCqqPvqLGw227uXkAlduRdHwkt/GCC VXF9lbvMxzN94KnkRgmEUuYstMxDpnWqWwwuzeKAJNlXHINjGcdG+9GdBR56/WDMXAfXkVxo3YCv Ldbf5TFYeO52h7fPdYgTUVlV/FRt9Pujtbc303oJinHivzJc9EUdCnHaxyP5pHoL8ghftkqy+WIB ai9cY0AXuf7vXvwCAAD//wMAUEsBAi0AFAAGAAgAAAAhALaDOJL+AAAA4QEAABMAAAAAAAAAAAAA AAAAAAAAAFtDb250ZW50X1R5cGVzXS54bWxQSwECLQAUAAYACAAAACEAOP0h/9YAAACUAQAACwAA AAAAAAAAAAAAAAAvAQAAX3JlbHMvLnJlbHNQSwECLQAUAAYACAAAACEABJ4o1gsCAAAcBAAADgAA AAAAAAAAAAAAAAAuAgAAZHJzL2Uyb0RvYy54bWxQSwECLQAUAAYACAAAACEAEw3vsNgAAAADAQAA DwAAAAAAAAAAAAAAAABlBAAAZHJzL2Rvd25yZXYueG1sUEsFBgAAAAAEAAQA8wAAAGoFAAAAAA== " o:spid="_x0000_s1028" stroked="f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type="#_x0000_t202">
              <v:textbox inset="0,0,15pt,0" style="mso-fit-shape-to-text:t">
                <w:txbxContent>
                  <w:p w14:paraId="3C9095A7" w14:textId="77777777" w:rsidR="00CE60B3" w:rsidRDefault="00CE60B3" w:rsidRPr="00CE60B3">
                    <w:pPr>
                      <w:rPr>
                        <w:rFonts w:ascii="Arial" w:cs="Arial" w:eastAsia="Arial" w:hAnsi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CE60B3">
                      <w:rPr>
                        <w:rFonts w:ascii="Arial" w:cs="Arial" w:eastAsia="Arial" w:hAnsi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margin" type="square"/>
            </v:shape>
          </w:pict>
        </mc:Fallback>
      </mc:AlternateConten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38F57DFD" w14:textId="77777777" w:rsidP="00CE60B3" w:rsidR="00CA6C91" w:rsidRDefault="00CA6C91">
      <w:pPr>
        <w:spacing w:after="0" w:line="240" w:lineRule="auto"/>
      </w:pPr>
      <w:r>
        <w:separator/>
      </w:r>
    </w:p>
  </w:footnote>
  <w:footnote w:id="0" w:type="continuationSeparator">
    <w:p w14:paraId="3B6FB7A2" w14:textId="77777777" w:rsidP="00CE60B3" w:rsidR="00CA6C91" w:rsidRDefault="00CA6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B95EBEF" w14:textId="6D9F328D" w:rsidP="00CE60B3" w:rsidR="00CE60B3" w:rsidRDefault="00CE60B3" w:rsidRPr="00CE60B3">
    <w:pPr>
      <w:pStyle w:val="En-tte"/>
    </w:pPr>
    <w:r>
      <w:rPr>
        <w:noProof/>
      </w:rPr>
      <w:drawing>
        <wp:inline distB="0" distL="0" distR="0" distT="0" wp14:anchorId="0F633E3E" wp14:editId="6D577D1A">
          <wp:extent cx="1123950" cy="457200"/>
          <wp:effectExtent b="0" l="0" r="0" t="0"/>
          <wp:docPr id="5" name="Imag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A340F3F"/>
    <w:multiLevelType w:val="hybridMultilevel"/>
    <w:tmpl w:val="17CAE36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70971E4"/>
    <w:multiLevelType w:val="hybridMultilevel"/>
    <w:tmpl w:val="22CEB164"/>
    <w:lvl w:ilvl="0" w:tplc="FFFFFFFF">
      <w:start w:val="3"/>
      <w:numFmt w:val="bullet"/>
      <w:lvlText w:val="-"/>
      <w:lvlJc w:val="left"/>
      <w:pPr>
        <w:ind w:hanging="360" w:left="1428"/>
      </w:pPr>
      <w:rPr>
        <w:rFonts w:ascii="Calibri" w:cs="Arial" w:eastAsiaTheme="minorHAnsi" w:hAnsi="Calibri" w:hint="default"/>
      </w:rPr>
    </w:lvl>
    <w:lvl w:ilvl="1" w:tplc="FFFFFFFF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plc="040C000D">
      <w:start w:val="1"/>
      <w:numFmt w:val="bullet"/>
      <w:lvlText w:val=""/>
      <w:lvlJc w:val="left"/>
      <w:pPr>
        <w:ind w:hanging="360" w:left="2868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2">
    <w:nsid w:val="171D6E40"/>
    <w:multiLevelType w:val="hybridMultilevel"/>
    <w:tmpl w:val="F55088B2"/>
    <w:lvl w:ilvl="0" w:tplc="4412DA68">
      <w:start w:val="1"/>
      <w:numFmt w:val="bullet"/>
      <w:pStyle w:val="Puces"/>
      <w:lvlText w:val=""/>
      <w:lvlJc w:val="left"/>
      <w:pPr>
        <w:ind w:hanging="360" w:left="360"/>
      </w:pPr>
      <w:rPr>
        <w:rFonts w:ascii="Wingdings" w:hAnsi="Wingdings" w:hint="default"/>
      </w:rPr>
    </w:lvl>
    <w:lvl w:ilvl="1" w:tplc="5B64A376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27871953"/>
    <w:multiLevelType w:val="hybridMultilevel"/>
    <w:tmpl w:val="81E6DA7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ABF0FB6"/>
    <w:multiLevelType w:val="hybridMultilevel"/>
    <w:tmpl w:val="CA56F140"/>
    <w:lvl w:ilvl="0" w:tplc="FFFFFFFF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734054B"/>
    <w:multiLevelType w:val="hybridMultilevel"/>
    <w:tmpl w:val="8B606C3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3FF42CCA"/>
    <w:multiLevelType w:val="hybridMultilevel"/>
    <w:tmpl w:val="FB0A379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A9869DF"/>
    <w:multiLevelType w:val="hybridMultilevel"/>
    <w:tmpl w:val="E1529714"/>
    <w:lvl w:ilvl="0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1" w:tplc="FFFFFFFF">
      <w:start w:val="1"/>
      <w:numFmt w:val="bullet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15:restartNumberingAfterBreak="0" w:abstractNumId="8">
    <w:nsid w:val="4B6229ED"/>
    <w:multiLevelType w:val="hybridMultilevel"/>
    <w:tmpl w:val="3AECE342"/>
    <w:lvl w:ilvl="0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15:restartNumberingAfterBreak="0" w:abstractNumId="9">
    <w:nsid w:val="50D24D01"/>
    <w:multiLevelType w:val="hybridMultilevel"/>
    <w:tmpl w:val="B1267B1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FFFFFFF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5AB76438"/>
    <w:multiLevelType w:val="hybridMultilevel"/>
    <w:tmpl w:val="1284929C"/>
    <w:lvl w:ilvl="0" w:tplc="0A54AB80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plc="C28ADC14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8DD0D192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445A836E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A0600F58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181405B4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29C61096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8DF098A8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F9781018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11">
    <w:nsid w:val="5D39126E"/>
    <w:multiLevelType w:val="hybridMultilevel"/>
    <w:tmpl w:val="7EE8ECC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F7114A6"/>
    <w:multiLevelType w:val="hybridMultilevel"/>
    <w:tmpl w:val="8B4679A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17C662F"/>
    <w:multiLevelType w:val="hybridMultilevel"/>
    <w:tmpl w:val="E44CD1B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856504074" w:numId="1">
    <w:abstractNumId w:val="2"/>
  </w:num>
  <w:num w16cid:durableId="1018848593" w:numId="2">
    <w:abstractNumId w:val="10"/>
  </w:num>
  <w:num w16cid:durableId="629282813" w:numId="3">
    <w:abstractNumId w:val="11"/>
  </w:num>
  <w:num w16cid:durableId="198516867" w:numId="4">
    <w:abstractNumId w:val="4"/>
  </w:num>
  <w:num w16cid:durableId="2031029802" w:numId="5">
    <w:abstractNumId w:val="9"/>
  </w:num>
  <w:num w16cid:durableId="534972348" w:numId="6">
    <w:abstractNumId w:val="1"/>
  </w:num>
  <w:num w16cid:durableId="1428503156" w:numId="7">
    <w:abstractNumId w:val="8"/>
  </w:num>
  <w:num w16cid:durableId="742261253" w:numId="8">
    <w:abstractNumId w:val="7"/>
  </w:num>
  <w:num w16cid:durableId="945960629" w:numId="9">
    <w:abstractNumId w:val="6"/>
  </w:num>
  <w:num w16cid:durableId="1947499348" w:numId="10">
    <w:abstractNumId w:val="12"/>
  </w:num>
  <w:num w16cid:durableId="176388036" w:numId="11">
    <w:abstractNumId w:val="3"/>
  </w:num>
  <w:num w16cid:durableId="1855461569" w:numId="12">
    <w:abstractNumId w:val="13"/>
  </w:num>
  <w:num w16cid:durableId="1511027457" w:numId="13">
    <w:abstractNumId w:val="5"/>
  </w:num>
  <w:num w16cid:durableId="799691547" w:numId="14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B3"/>
    <w:rsid w:val="000F0DCE"/>
    <w:rsid w:val="0018297D"/>
    <w:rsid w:val="001E2A3B"/>
    <w:rsid w:val="00275ACE"/>
    <w:rsid w:val="00531A97"/>
    <w:rsid w:val="00751480"/>
    <w:rsid w:val="00B2515D"/>
    <w:rsid w:val="00CA6C91"/>
    <w:rsid w:val="00CE60B3"/>
    <w:rsid w:val="00D2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57DEF6C2"/>
  <w15:chartTrackingRefBased/>
  <w15:docId w15:val="{3997598C-A415-4870-BE2E-24260302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CE60B3"/>
    <w:rPr>
      <w:lang w:val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CE60B3"/>
    <w:pPr>
      <w:tabs>
        <w:tab w:pos="4513" w:val="center"/>
        <w:tab w:pos="9026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E60B3"/>
  </w:style>
  <w:style w:styleId="Pieddepage" w:type="paragraph">
    <w:name w:val="footer"/>
    <w:basedOn w:val="Normal"/>
    <w:link w:val="PieddepageCar"/>
    <w:uiPriority w:val="99"/>
    <w:unhideWhenUsed/>
    <w:rsid w:val="00CE60B3"/>
    <w:pPr>
      <w:tabs>
        <w:tab w:pos="4513" w:val="center"/>
        <w:tab w:pos="9026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E60B3"/>
  </w:style>
  <w:style w:styleId="Paragraphedeliste" w:type="paragraph">
    <w:name w:val="List Paragraph"/>
    <w:basedOn w:val="Normal"/>
    <w:link w:val="ParagraphedelisteCar"/>
    <w:uiPriority w:val="34"/>
    <w:qFormat/>
    <w:rsid w:val="00CE60B3"/>
    <w:pPr>
      <w:ind w:left="720"/>
      <w:contextualSpacing/>
    </w:pPr>
  </w:style>
  <w:style w:customStyle="1" w:styleId="ParagraphedelisteCar" w:type="character">
    <w:name w:val="Paragraphe de liste Car"/>
    <w:basedOn w:val="Policepardfaut"/>
    <w:link w:val="Paragraphedeliste"/>
    <w:uiPriority w:val="34"/>
    <w:rsid w:val="00CE60B3"/>
    <w:rPr>
      <w:lang w:val="en-US"/>
    </w:rPr>
  </w:style>
  <w:style w:styleId="Grilledutableau" w:type="table">
    <w:name w:val="Table Grid"/>
    <w:basedOn w:val="TableauNormal"/>
    <w:uiPriority w:val="39"/>
    <w:rsid w:val="00CE60B3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Normal"/>
    <w:uiPriority w:val="99"/>
    <w:unhideWhenUsed/>
    <w:rsid w:val="00CE60B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 w:val="fr-FR"/>
    </w:rPr>
  </w:style>
  <w:style w:customStyle="1" w:styleId="Puces" w:type="paragraph">
    <w:name w:val="Puces"/>
    <w:basedOn w:val="Paragraphedeliste"/>
    <w:link w:val="PucesCar"/>
    <w:qFormat/>
    <w:rsid w:val="00CE60B3"/>
    <w:pPr>
      <w:numPr>
        <w:numId w:val="1"/>
      </w:numPr>
      <w:spacing w:after="60"/>
      <w:contextualSpacing w:val="0"/>
      <w:jc w:val="both"/>
    </w:pPr>
    <w:rPr>
      <w:rFonts w:cs="Arial"/>
      <w:sz w:val="24"/>
      <w:szCs w:val="24"/>
    </w:rPr>
  </w:style>
  <w:style w:customStyle="1" w:styleId="PucesCar" w:type="character">
    <w:name w:val="Puces Car"/>
    <w:basedOn w:val="ParagraphedelisteCar"/>
    <w:link w:val="Puces"/>
    <w:rsid w:val="00CE60B3"/>
    <w:rPr>
      <w:rFonts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EBF824BFF004F83BC332DDE468363" ma:contentTypeVersion="16" ma:contentTypeDescription="Crée un document." ma:contentTypeScope="" ma:versionID="aa5b0e9b0008a020e0d875cbc959092d">
  <xsd:schema xmlns:xsd="http://www.w3.org/2001/XMLSchema" xmlns:xs="http://www.w3.org/2001/XMLSchema" xmlns:p="http://schemas.microsoft.com/office/2006/metadata/properties" xmlns:ns2="ca7e0730-0cee-45ce-97ee-65d21a6d0fe4" xmlns:ns3="d4171ed4-ac27-474a-84d6-db275ec131b3" targetNamespace="http://schemas.microsoft.com/office/2006/metadata/properties" ma:root="true" ma:fieldsID="46854e9f2a042f775130598fc46e9869" ns2:_="" ns3:_="">
    <xsd:import namespace="ca7e0730-0cee-45ce-97ee-65d21a6d0fe4"/>
    <xsd:import namespace="d4171ed4-ac27-474a-84d6-db275ec131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0730-0cee-45ce-97ee-65d21a6d0f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2bbfa71a-d75e-4d15-90e8-ced09d00e4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71ed4-ac27-474a-84d6-db275ec131b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74f23e7-6bdd-4ad7-a41d-b1d6fa34b7ef}" ma:internalName="TaxCatchAll" ma:showField="CatchAllData" ma:web="d4171ed4-ac27-474a-84d6-db275ec131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992B0-6831-48EF-B94E-CE0FB4C2C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988096-2E2F-4098-9C11-3BC4AFAB6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e0730-0cee-45ce-97ee-65d21a6d0fe4"/>
    <ds:schemaRef ds:uri="d4171ed4-ac27-474a-84d6-db275ec13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2290</Words>
  <Characters>12596</Characters>
  <Application>Microsoft Office Word</Application>
  <DocSecurity>0</DocSecurity>
  <Lines>104</Lines>
  <Paragraphs>29</Paragraphs>
  <ScaleCrop>false</ScaleCrop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2023-02-01T08:21:00Z</dcterms:created>
  <dcterms:modified xsi:type="dcterms:W3CDTF">2023-02-06T12:43:00Z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lassificationContentMarkingFooterShapeIds" pid="2">
    <vt:lpwstr>1,2,3</vt:lpwstr>
  </property>
  <property fmtid="{D5CDD505-2E9C-101B-9397-08002B2CF9AE}" name="ClassificationContentMarkingFooterFontProps" pid="3">
    <vt:lpwstr>#000000,10,Arial</vt:lpwstr>
  </property>
  <property fmtid="{D5CDD505-2E9C-101B-9397-08002B2CF9AE}" name="ClassificationContentMarkingFooterText" pid="4">
    <vt:lpwstr>Confidential C</vt:lpwstr>
  </property>
</Properties>
</file>