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numbering.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ascii="Verdana" w:hAnsi="Verdana" w:cs="Verdana"/>
          <w:b/>
          <w:b/>
          <w:bCs/>
          <w:sz w:val="18"/>
          <w:szCs w:val="18"/>
        </w:rPr>
      </w:pPr>
      <w:r>
        <w:rPr>
          <w:rFonts w:cs="Verdana" w:ascii="Verdana" w:hAnsi="Verdana"/>
          <w:b/>
          <w:bCs/>
          <w:sz w:val="18"/>
          <w:szCs w:val="18"/>
        </w:rPr>
      </w:r>
    </w:p>
    <w:p>
      <w:pPr>
        <w:pStyle w:val="Header"/>
        <w:pBdr>
          <w:top w:val="single" w:sz="4" w:space="13" w:color="000000"/>
          <w:left w:val="single" w:sz="4" w:space="4" w:color="000000"/>
          <w:bottom w:val="single" w:sz="4" w:space="14" w:color="000000"/>
          <w:right w:val="single" w:sz="4" w:space="4" w:color="000000"/>
        </w:pBdr>
        <w:jc w:val="center"/>
        <w:rPr/>
      </w:pPr>
      <w:r>
        <w:rPr>
          <w:rFonts w:cs="Arial" w:ascii="Arial" w:hAnsi="Arial"/>
          <w:b/>
          <w:bCs/>
          <w:sz w:val="18"/>
          <w:szCs w:val="18"/>
        </w:rPr>
        <w:t>PROCES VERBAL D’ACCORD</w:t>
      </w:r>
    </w:p>
    <w:p>
      <w:pPr>
        <w:pStyle w:val="Header"/>
        <w:pBdr>
          <w:top w:val="single" w:sz="4" w:space="13" w:color="000000"/>
          <w:left w:val="single" w:sz="4" w:space="4" w:color="000000"/>
          <w:bottom w:val="single" w:sz="4" w:space="14" w:color="000000"/>
          <w:right w:val="single" w:sz="4" w:space="4" w:color="000000"/>
        </w:pBdr>
        <w:jc w:val="center"/>
        <w:rPr>
          <w:rFonts w:ascii="Arial" w:hAnsi="Arial" w:cs="Arial"/>
          <w:b/>
          <w:b/>
          <w:bCs/>
          <w:sz w:val="18"/>
          <w:szCs w:val="18"/>
        </w:rPr>
      </w:pPr>
      <w:r>
        <w:rPr>
          <w:rFonts w:cs="Arial" w:ascii="Arial" w:hAnsi="Arial"/>
          <w:b/>
          <w:bCs/>
          <w:sz w:val="18"/>
          <w:szCs w:val="18"/>
        </w:rPr>
        <w:t>Négociations annuelles obligatoires</w:t>
      </w:r>
    </w:p>
    <w:p>
      <w:pPr>
        <w:pStyle w:val="Header"/>
        <w:rPr>
          <w:rFonts w:ascii="Arial" w:hAnsi="Arial" w:cs="Arial"/>
          <w:b/>
          <w:b/>
          <w:bCs/>
          <w:sz w:val="18"/>
          <w:szCs w:val="18"/>
        </w:rPr>
      </w:pPr>
      <w:r>
        <w:rPr>
          <w:rFonts w:cs="Arial" w:ascii="Arial" w:hAnsi="Arial"/>
          <w:b/>
          <w:bCs/>
          <w:sz w:val="18"/>
          <w:szCs w:val="18"/>
        </w:rPr>
      </w:r>
    </w:p>
    <w:p>
      <w:pPr>
        <w:pStyle w:val="Style11"/>
        <w:spacing w:lineRule="auto" w:line="240"/>
        <w:ind w:right="-108" w:hanging="0"/>
        <w:rPr>
          <w:rFonts w:ascii="Arial" w:hAnsi="Arial" w:cs="Arial"/>
          <w:b/>
          <w:b/>
          <w:sz w:val="18"/>
          <w:szCs w:val="18"/>
        </w:rPr>
      </w:pPr>
      <w:r>
        <w:rPr>
          <w:rFonts w:cs="Arial" w:ascii="Arial" w:hAnsi="Arial"/>
          <w:b/>
          <w:sz w:val="18"/>
          <w:szCs w:val="18"/>
        </w:rPr>
        <w:t>ENTRE :</w:t>
      </w:r>
    </w:p>
    <w:p>
      <w:pPr>
        <w:pStyle w:val="Style11"/>
        <w:spacing w:lineRule="auto" w:line="240"/>
        <w:ind w:right="-108" w:hanging="0"/>
        <w:rPr>
          <w:rFonts w:ascii="Arial" w:hAnsi="Arial" w:cs="Arial"/>
          <w:b/>
          <w:b/>
          <w:sz w:val="18"/>
          <w:szCs w:val="18"/>
        </w:rPr>
      </w:pPr>
      <w:r>
        <w:rPr>
          <w:rFonts w:cs="Arial" w:ascii="Arial" w:hAnsi="Arial"/>
          <w:b/>
          <w:sz w:val="18"/>
          <w:szCs w:val="18"/>
        </w:rPr>
      </w:r>
    </w:p>
    <w:p>
      <w:pPr>
        <w:pStyle w:val="Normal"/>
        <w:jc w:val="both"/>
        <w:rPr>
          <w:rFonts w:ascii="Arial" w:hAnsi="Arial" w:cs="Arial"/>
          <w:sz w:val="18"/>
          <w:szCs w:val="18"/>
        </w:rPr>
      </w:pPr>
      <w:r>
        <w:rPr>
          <w:rFonts w:cs="Arial" w:ascii="Arial" w:hAnsi="Arial"/>
          <w:b/>
          <w:bCs/>
          <w:sz w:val="18"/>
          <w:szCs w:val="18"/>
        </w:rPr>
        <w:t xml:space="preserve">L’établissement Pradeau Morin Rénovation, de la Société Nouvelle Pradeau Morin, </w:t>
      </w:r>
    </w:p>
    <w:p>
      <w:pPr>
        <w:pStyle w:val="Normal"/>
        <w:jc w:val="both"/>
        <w:rPr>
          <w:rFonts w:ascii="Arial" w:hAnsi="Arial" w:cs="Arial"/>
          <w:sz w:val="18"/>
          <w:szCs w:val="18"/>
        </w:rPr>
      </w:pPr>
      <w:r>
        <w:rPr>
          <w:rFonts w:cs="Arial" w:ascii="Arial" w:hAnsi="Arial"/>
          <w:sz w:val="18"/>
          <w:szCs w:val="18"/>
        </w:rPr>
      </w:r>
    </w:p>
    <w:p>
      <w:pPr>
        <w:pStyle w:val="Commentaire"/>
        <w:tabs>
          <w:tab w:val="left" w:pos="-1099" w:leader="none"/>
          <w:tab w:val="left" w:pos="-720" w:leader="none"/>
          <w:tab w:val="left" w:pos="0" w:leader="none"/>
          <w:tab w:val="left" w:pos="487" w:leader="none"/>
          <w:tab w:val="left" w:pos="826" w:leader="none"/>
          <w:tab w:val="left" w:pos="1110" w:leader="none"/>
          <w:tab w:val="left" w:pos="1394" w:leader="none"/>
          <w:tab w:val="left" w:pos="1677" w:leader="none"/>
          <w:tab w:val="left" w:pos="196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08" w:hanging="0"/>
        <w:rPr>
          <w:rFonts w:ascii="Arial" w:hAnsi="Arial" w:cs="Arial"/>
          <w:sz w:val="18"/>
          <w:szCs w:val="18"/>
        </w:rPr>
      </w:pPr>
      <w:r>
        <w:rPr>
          <w:rFonts w:cs="Arial" w:ascii="Arial" w:hAnsi="Arial"/>
          <w:sz w:val="18"/>
          <w:szCs w:val="18"/>
        </w:rPr>
      </w:r>
    </w:p>
    <w:p>
      <w:pPr>
        <w:pStyle w:val="Normal"/>
        <w:tabs>
          <w:tab w:val="left" w:pos="-1099" w:leader="none"/>
          <w:tab w:val="left" w:pos="-720" w:leader="none"/>
          <w:tab w:val="left" w:pos="0" w:leader="none"/>
          <w:tab w:val="left" w:pos="487" w:leader="none"/>
          <w:tab w:val="left" w:pos="826" w:leader="none"/>
          <w:tab w:val="left" w:pos="1110" w:leader="none"/>
          <w:tab w:val="left" w:pos="1394" w:leader="none"/>
          <w:tab w:val="left" w:pos="1677" w:leader="none"/>
          <w:tab w:val="left" w:pos="196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08" w:hanging="0"/>
        <w:jc w:val="right"/>
        <w:rPr>
          <w:rFonts w:ascii="Arial" w:hAnsi="Arial" w:cs="Arial"/>
          <w:b/>
          <w:b/>
          <w:sz w:val="18"/>
          <w:szCs w:val="18"/>
        </w:rPr>
      </w:pPr>
      <w:r>
        <w:rPr>
          <w:rFonts w:cs="Arial" w:ascii="Arial" w:hAnsi="Arial"/>
          <w:b/>
          <w:sz w:val="18"/>
          <w:szCs w:val="18"/>
        </w:rPr>
        <w:t>d’une part,</w:t>
      </w:r>
    </w:p>
    <w:p>
      <w:pPr>
        <w:pStyle w:val="Normal"/>
        <w:tabs>
          <w:tab w:val="left" w:pos="-1099" w:leader="none"/>
          <w:tab w:val="left" w:pos="-720" w:leader="none"/>
          <w:tab w:val="left" w:pos="0" w:leader="none"/>
          <w:tab w:val="left" w:pos="487" w:leader="none"/>
          <w:tab w:val="left" w:pos="826" w:leader="none"/>
          <w:tab w:val="left" w:pos="1110" w:leader="none"/>
          <w:tab w:val="left" w:pos="1394" w:leader="none"/>
          <w:tab w:val="left" w:pos="1677" w:leader="none"/>
          <w:tab w:val="left" w:pos="196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08" w:hanging="0"/>
        <w:jc w:val="right"/>
        <w:rPr>
          <w:rFonts w:ascii="Arial" w:hAnsi="Arial" w:cs="Arial"/>
          <w:b/>
          <w:b/>
          <w:sz w:val="18"/>
          <w:szCs w:val="18"/>
        </w:rPr>
      </w:pPr>
      <w:r>
        <w:rPr>
          <w:rFonts w:cs="Arial" w:ascii="Arial" w:hAnsi="Arial"/>
          <w:b/>
          <w:sz w:val="18"/>
          <w:szCs w:val="18"/>
        </w:rPr>
      </w:r>
    </w:p>
    <w:p>
      <w:pPr>
        <w:pStyle w:val="Normal"/>
        <w:tabs>
          <w:tab w:val="left" w:pos="-1099" w:leader="none"/>
          <w:tab w:val="left" w:pos="-720" w:leader="none"/>
          <w:tab w:val="left" w:pos="0" w:leader="none"/>
          <w:tab w:val="left" w:pos="487" w:leader="none"/>
          <w:tab w:val="left" w:pos="826" w:leader="none"/>
          <w:tab w:val="left" w:pos="1110" w:leader="none"/>
          <w:tab w:val="left" w:pos="1394" w:leader="none"/>
          <w:tab w:val="left" w:pos="1677" w:leader="none"/>
          <w:tab w:val="left" w:pos="196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08" w:hanging="0"/>
        <w:rPr>
          <w:rFonts w:ascii="Arial" w:hAnsi="Arial" w:cs="Arial"/>
          <w:b/>
          <w:b/>
          <w:sz w:val="18"/>
          <w:szCs w:val="18"/>
        </w:rPr>
      </w:pPr>
      <w:r>
        <w:rPr>
          <w:rFonts w:cs="Arial" w:ascii="Arial" w:hAnsi="Arial"/>
          <w:b/>
          <w:sz w:val="18"/>
          <w:szCs w:val="18"/>
        </w:rPr>
        <w:t>ET</w:t>
      </w:r>
    </w:p>
    <w:p>
      <w:pPr>
        <w:pStyle w:val="Normal"/>
        <w:tabs>
          <w:tab w:val="left" w:pos="-1099" w:leader="none"/>
          <w:tab w:val="left" w:pos="-720" w:leader="none"/>
          <w:tab w:val="left" w:pos="0" w:leader="none"/>
          <w:tab w:val="left" w:pos="487" w:leader="none"/>
          <w:tab w:val="left" w:pos="826" w:leader="none"/>
          <w:tab w:val="left" w:pos="1110" w:leader="none"/>
          <w:tab w:val="left" w:pos="1394" w:leader="none"/>
          <w:tab w:val="left" w:pos="1677" w:leader="none"/>
          <w:tab w:val="left" w:pos="196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08" w:hanging="0"/>
        <w:rPr>
          <w:rFonts w:ascii="Arial" w:hAnsi="Arial" w:cs="Arial"/>
          <w:b/>
          <w:b/>
          <w:sz w:val="18"/>
          <w:szCs w:val="18"/>
          <w:highlight w:val="yellow"/>
        </w:rPr>
      </w:pPr>
      <w:r>
        <w:rPr>
          <w:rFonts w:cs="Arial" w:ascii="Arial" w:hAnsi="Arial"/>
          <w:b/>
          <w:sz w:val="18"/>
          <w:szCs w:val="18"/>
          <w:highlight w:val="yellow"/>
        </w:rPr>
      </w:r>
    </w:p>
    <w:p>
      <w:pPr>
        <w:pStyle w:val="Normal"/>
        <w:tabs>
          <w:tab w:val="left" w:pos="-1099" w:leader="none"/>
          <w:tab w:val="left" w:pos="-720" w:leader="none"/>
        </w:tabs>
        <w:spacing w:before="0" w:after="80"/>
        <w:ind w:right="-108" w:hanging="0"/>
        <w:jc w:val="both"/>
        <w:rPr/>
      </w:pPr>
      <w:r>
        <w:rPr>
          <w:rFonts w:cs="Arial" w:ascii="Arial" w:hAnsi="Arial"/>
          <w:b/>
          <w:sz w:val="18"/>
          <w:szCs w:val="18"/>
        </w:rPr>
        <w:t>le Syndicat</w:t>
      </w:r>
      <w:r>
        <w:rPr>
          <w:rFonts w:cs="Arial" w:ascii="Arial" w:hAnsi="Arial"/>
          <w:sz w:val="18"/>
          <w:szCs w:val="18"/>
        </w:rPr>
        <w:t xml:space="preserve"> </w:t>
      </w:r>
      <w:r>
        <w:rPr>
          <w:rFonts w:cs="Arial" w:ascii="Arial" w:hAnsi="Arial"/>
          <w:b/>
          <w:sz w:val="18"/>
          <w:szCs w:val="18"/>
        </w:rPr>
        <w:t>CFTC</w:t>
      </w:r>
      <w:r>
        <w:rPr>
          <w:rFonts w:cs="Arial" w:ascii="Arial" w:hAnsi="Arial"/>
          <w:sz w:val="18"/>
          <w:szCs w:val="18"/>
        </w:rPr>
        <w:t xml:space="preserve"> représenté par :</w:t>
      </w:r>
    </w:p>
    <w:p>
      <w:pPr>
        <w:pStyle w:val="Normal"/>
        <w:tabs>
          <w:tab w:val="left" w:pos="-1099" w:leader="none"/>
          <w:tab w:val="left" w:pos="-720" w:leader="none"/>
          <w:tab w:val="left" w:pos="0" w:leader="none"/>
          <w:tab w:val="left" w:pos="487" w:leader="none"/>
          <w:tab w:val="left" w:pos="826" w:leader="none"/>
          <w:tab w:val="left" w:pos="1110" w:leader="none"/>
          <w:tab w:val="left" w:pos="1394" w:leader="none"/>
          <w:tab w:val="left" w:pos="1677" w:leader="none"/>
          <w:tab w:val="left" w:pos="196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08" w:hanging="0"/>
        <w:rPr>
          <w:rFonts w:ascii="Arial" w:hAnsi="Arial" w:cs="Arial"/>
          <w:sz w:val="18"/>
          <w:szCs w:val="18"/>
        </w:rPr>
      </w:pPr>
      <w:r>
        <w:rPr>
          <w:rFonts w:cs="Arial" w:ascii="Arial" w:hAnsi="Arial"/>
          <w:sz w:val="18"/>
          <w:szCs w:val="18"/>
        </w:rPr>
      </w:r>
    </w:p>
    <w:p>
      <w:pPr>
        <w:pStyle w:val="Normal"/>
        <w:tabs>
          <w:tab w:val="left" w:pos="-1099" w:leader="none"/>
          <w:tab w:val="left" w:pos="-720" w:leader="none"/>
        </w:tabs>
        <w:spacing w:before="0" w:after="80"/>
        <w:ind w:right="-108" w:hanging="0"/>
        <w:jc w:val="both"/>
        <w:rPr/>
      </w:pPr>
      <w:r>
        <w:rPr>
          <w:rFonts w:cs="Arial" w:ascii="Arial" w:hAnsi="Arial"/>
          <w:b/>
          <w:sz w:val="18"/>
          <w:szCs w:val="18"/>
        </w:rPr>
        <w:t>le Syndicat</w:t>
      </w:r>
      <w:r>
        <w:rPr>
          <w:rFonts w:cs="Arial" w:ascii="Arial" w:hAnsi="Arial"/>
          <w:sz w:val="18"/>
          <w:szCs w:val="18"/>
        </w:rPr>
        <w:t xml:space="preserve"> </w:t>
      </w:r>
      <w:r>
        <w:rPr>
          <w:rFonts w:cs="Arial" w:ascii="Arial" w:hAnsi="Arial"/>
          <w:b/>
          <w:sz w:val="18"/>
          <w:szCs w:val="18"/>
        </w:rPr>
        <w:t>CGT</w:t>
      </w:r>
      <w:r>
        <w:rPr>
          <w:rFonts w:cs="Arial" w:ascii="Arial" w:hAnsi="Arial"/>
          <w:sz w:val="18"/>
          <w:szCs w:val="18"/>
        </w:rPr>
        <w:t xml:space="preserve"> représenté par :</w:t>
      </w:r>
    </w:p>
    <w:p>
      <w:pPr>
        <w:pStyle w:val="Normal"/>
        <w:tabs>
          <w:tab w:val="left" w:pos="-1099" w:leader="none"/>
          <w:tab w:val="left" w:pos="-720" w:leader="none"/>
          <w:tab w:val="left" w:pos="0" w:leader="none"/>
          <w:tab w:val="left" w:pos="487" w:leader="none"/>
          <w:tab w:val="left" w:pos="826" w:leader="none"/>
          <w:tab w:val="left" w:pos="1110" w:leader="none"/>
          <w:tab w:val="left" w:pos="1394" w:leader="none"/>
          <w:tab w:val="left" w:pos="1677" w:leader="none"/>
          <w:tab w:val="left" w:pos="196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08" w:hanging="0"/>
        <w:jc w:val="right"/>
        <w:rPr>
          <w:rFonts w:ascii="Arial" w:hAnsi="Arial" w:cs="Arial"/>
          <w:sz w:val="18"/>
          <w:szCs w:val="18"/>
        </w:rPr>
      </w:pPr>
      <w:r>
        <w:rPr>
          <w:rFonts w:cs="Arial" w:ascii="Arial" w:hAnsi="Arial"/>
          <w:sz w:val="18"/>
          <w:szCs w:val="18"/>
        </w:rPr>
      </w:r>
    </w:p>
    <w:p>
      <w:pPr>
        <w:pStyle w:val="Normal"/>
        <w:tabs>
          <w:tab w:val="left" w:pos="-1099" w:leader="none"/>
          <w:tab w:val="left" w:pos="-720" w:leader="none"/>
          <w:tab w:val="left" w:pos="0" w:leader="none"/>
          <w:tab w:val="left" w:pos="487" w:leader="none"/>
          <w:tab w:val="left" w:pos="826" w:leader="none"/>
          <w:tab w:val="left" w:pos="1110" w:leader="none"/>
          <w:tab w:val="left" w:pos="1394" w:leader="none"/>
          <w:tab w:val="left" w:pos="1677" w:leader="none"/>
          <w:tab w:val="left" w:pos="196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08" w:hanging="0"/>
        <w:jc w:val="right"/>
        <w:rPr>
          <w:rFonts w:ascii="Arial" w:hAnsi="Arial" w:cs="Arial"/>
          <w:b/>
          <w:b/>
          <w:sz w:val="18"/>
          <w:szCs w:val="18"/>
        </w:rPr>
      </w:pPr>
      <w:r>
        <w:rPr>
          <w:rFonts w:cs="Arial" w:ascii="Arial" w:hAnsi="Arial"/>
          <w:b/>
          <w:sz w:val="18"/>
          <w:szCs w:val="18"/>
        </w:rPr>
      </w:r>
    </w:p>
    <w:p>
      <w:pPr>
        <w:pStyle w:val="Normal"/>
        <w:tabs>
          <w:tab w:val="left" w:pos="-1099" w:leader="none"/>
          <w:tab w:val="left" w:pos="-720" w:leader="none"/>
          <w:tab w:val="left" w:pos="0" w:leader="none"/>
          <w:tab w:val="left" w:pos="487" w:leader="none"/>
          <w:tab w:val="left" w:pos="826" w:leader="none"/>
          <w:tab w:val="left" w:pos="1110" w:leader="none"/>
          <w:tab w:val="left" w:pos="1394" w:leader="none"/>
          <w:tab w:val="left" w:pos="1677" w:leader="none"/>
          <w:tab w:val="left" w:pos="196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08" w:hanging="0"/>
        <w:jc w:val="right"/>
        <w:rPr>
          <w:rFonts w:ascii="Arial" w:hAnsi="Arial" w:cs="Arial"/>
          <w:b/>
          <w:b/>
          <w:sz w:val="18"/>
          <w:szCs w:val="18"/>
          <w:highlight w:val="yellow"/>
        </w:rPr>
      </w:pPr>
      <w:r>
        <w:rPr>
          <w:rFonts w:cs="Arial" w:ascii="Arial" w:hAnsi="Arial"/>
          <w:b/>
          <w:sz w:val="18"/>
          <w:szCs w:val="18"/>
          <w:highlight w:val="yellow"/>
        </w:rPr>
      </w:r>
    </w:p>
    <w:p>
      <w:pPr>
        <w:pStyle w:val="Normal"/>
        <w:tabs>
          <w:tab w:val="left" w:pos="-1099" w:leader="none"/>
          <w:tab w:val="left" w:pos="-720" w:leader="none"/>
          <w:tab w:val="left" w:pos="0" w:leader="none"/>
          <w:tab w:val="left" w:pos="487" w:leader="none"/>
          <w:tab w:val="left" w:pos="826" w:leader="none"/>
          <w:tab w:val="left" w:pos="1110" w:leader="none"/>
          <w:tab w:val="left" w:pos="1394" w:leader="none"/>
          <w:tab w:val="left" w:pos="1677" w:leader="none"/>
          <w:tab w:val="left" w:pos="196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08" w:hanging="0"/>
        <w:jc w:val="right"/>
        <w:rPr>
          <w:rFonts w:ascii="Arial" w:hAnsi="Arial" w:cs="Arial"/>
          <w:b/>
          <w:b/>
          <w:sz w:val="18"/>
          <w:szCs w:val="18"/>
        </w:rPr>
      </w:pPr>
      <w:r>
        <w:rPr>
          <w:rFonts w:cs="Arial" w:ascii="Arial" w:hAnsi="Arial"/>
          <w:b/>
          <w:sz w:val="18"/>
          <w:szCs w:val="18"/>
        </w:rPr>
        <w:t>d’autre part.</w:t>
      </w:r>
    </w:p>
    <w:p>
      <w:pPr>
        <w:pStyle w:val="Header"/>
        <w:rPr>
          <w:rFonts w:ascii="Arial" w:hAnsi="Arial" w:cs="Arial"/>
          <w:b/>
          <w:b/>
          <w:sz w:val="18"/>
          <w:szCs w:val="18"/>
        </w:rPr>
      </w:pPr>
      <w:r>
        <w:rPr>
          <w:rFonts w:cs="Arial" w:ascii="Arial" w:hAnsi="Arial"/>
          <w:b/>
          <w:sz w:val="18"/>
          <w:szCs w:val="18"/>
        </w:rPr>
      </w:r>
    </w:p>
    <w:p>
      <w:pPr>
        <w:pStyle w:val="Header"/>
        <w:rPr>
          <w:rFonts w:ascii="Arial" w:hAnsi="Arial" w:cs="Arial"/>
          <w:sz w:val="18"/>
          <w:szCs w:val="18"/>
          <w:highlight w:val="yellow"/>
        </w:rPr>
      </w:pPr>
      <w:r>
        <w:rPr>
          <w:rFonts w:cs="Arial" w:ascii="Arial" w:hAnsi="Arial"/>
          <w:sz w:val="18"/>
          <w:szCs w:val="18"/>
          <w:highlight w:val="yellow"/>
        </w:rPr>
      </w:r>
    </w:p>
    <w:p>
      <w:pPr>
        <w:pStyle w:val="Header"/>
        <w:rPr>
          <w:rFonts w:ascii="Arial" w:hAnsi="Arial" w:cs="Arial"/>
          <w:sz w:val="18"/>
          <w:szCs w:val="18"/>
          <w:highlight w:val="yellow"/>
        </w:rPr>
      </w:pPr>
      <w:r>
        <w:rPr>
          <w:rFonts w:cs="Arial" w:ascii="Arial" w:hAnsi="Arial"/>
          <w:sz w:val="18"/>
          <w:szCs w:val="18"/>
          <w:highlight w:val="yellow"/>
        </w:rPr>
      </w:r>
    </w:p>
    <w:p>
      <w:pPr>
        <w:pStyle w:val="Header"/>
        <w:jc w:val="both"/>
        <w:rPr/>
      </w:pPr>
      <w:r>
        <w:rPr>
          <w:rFonts w:cs="Arial" w:ascii="Arial" w:hAnsi="Arial"/>
          <w:sz w:val="18"/>
          <w:szCs w:val="18"/>
        </w:rPr>
        <w:t>Au terme de la négociation, les organisations syndicales représentatives conviennent d’établir, par le présent document, un procès-verbal d’accord, conformément à l’article L2242-4 du code du travail.</w:t>
      </w:r>
    </w:p>
    <w:p>
      <w:pPr>
        <w:pStyle w:val="Header"/>
        <w:jc w:val="both"/>
        <w:rPr>
          <w:rFonts w:ascii="Arial" w:hAnsi="Arial" w:cs="Arial"/>
          <w:sz w:val="18"/>
          <w:szCs w:val="18"/>
        </w:rPr>
      </w:pPr>
      <w:r>
        <w:rPr>
          <w:rFonts w:cs="Arial" w:ascii="Arial" w:hAnsi="Arial"/>
          <w:sz w:val="18"/>
          <w:szCs w:val="18"/>
        </w:rPr>
      </w:r>
    </w:p>
    <w:p>
      <w:pPr>
        <w:pStyle w:val="Header"/>
        <w:jc w:val="both"/>
        <w:rPr>
          <w:rFonts w:ascii="Arial" w:hAnsi="Arial" w:cs="Arial"/>
          <w:sz w:val="18"/>
          <w:szCs w:val="18"/>
        </w:rPr>
      </w:pPr>
      <w:r>
        <w:rPr>
          <w:rFonts w:cs="Arial" w:ascii="Arial" w:hAnsi="Arial"/>
          <w:sz w:val="18"/>
          <w:szCs w:val="18"/>
        </w:rPr>
      </w:r>
    </w:p>
    <w:p>
      <w:pPr>
        <w:pStyle w:val="Header"/>
        <w:jc w:val="both"/>
        <w:rPr>
          <w:rFonts w:ascii="Arial" w:hAnsi="Arial" w:cs="Arial"/>
          <w:sz w:val="18"/>
          <w:szCs w:val="18"/>
        </w:rPr>
      </w:pPr>
      <w:r>
        <w:rPr>
          <w:rFonts w:cs="Arial" w:ascii="Arial" w:hAnsi="Arial"/>
          <w:sz w:val="18"/>
          <w:szCs w:val="18"/>
        </w:rPr>
        <w:t>Il est établi, à la suite des réunions de négociation en dates des 09 janvier, 1</w:t>
      </w:r>
      <w:r>
        <w:rPr>
          <w:rFonts w:cs="Arial" w:ascii="Arial" w:hAnsi="Arial"/>
          <w:sz w:val="18"/>
          <w:szCs w:val="18"/>
          <w:vertAlign w:val="superscript"/>
        </w:rPr>
        <w:t>er</w:t>
      </w:r>
      <w:r>
        <w:rPr>
          <w:rFonts w:cs="Arial" w:ascii="Arial" w:hAnsi="Arial"/>
          <w:sz w:val="18"/>
          <w:szCs w:val="18"/>
        </w:rPr>
        <w:t xml:space="preserve"> février, 20 février et 15 mars 2023, le présent procès-verbal d’accord.</w:t>
      </w:r>
    </w:p>
    <w:p>
      <w:pPr>
        <w:pStyle w:val="Header"/>
        <w:jc w:val="both"/>
        <w:rPr>
          <w:rFonts w:ascii="Arial" w:hAnsi="Arial" w:cs="Arial"/>
          <w:sz w:val="18"/>
          <w:szCs w:val="18"/>
        </w:rPr>
      </w:pPr>
      <w:r>
        <w:rPr>
          <w:rFonts w:cs="Arial" w:ascii="Arial" w:hAnsi="Arial"/>
          <w:sz w:val="18"/>
          <w:szCs w:val="18"/>
        </w:rPr>
      </w:r>
    </w:p>
    <w:p>
      <w:pPr>
        <w:pStyle w:val="Header"/>
        <w:tabs>
          <w:tab w:val="left" w:pos="2631" w:leader="none"/>
        </w:tabs>
        <w:jc w:val="both"/>
        <w:rPr>
          <w:rFonts w:ascii="Arial" w:hAnsi="Arial" w:cs="Arial"/>
          <w:sz w:val="18"/>
          <w:szCs w:val="18"/>
        </w:rPr>
      </w:pPr>
      <w:r>
        <w:rPr>
          <w:rFonts w:cs="Arial" w:ascii="Arial" w:hAnsi="Arial"/>
          <w:sz w:val="18"/>
          <w:szCs w:val="18"/>
        </w:rPr>
        <w:tab/>
      </w:r>
      <w:r>
        <w:br w:type="page"/>
      </w:r>
    </w:p>
    <w:p>
      <w:pPr>
        <w:pStyle w:val="Header"/>
        <w:jc w:val="center"/>
        <w:rPr>
          <w:rFonts w:ascii="Arial" w:hAnsi="Arial" w:cs="Arial"/>
          <w:b/>
          <w:b/>
          <w:bCs/>
          <w:smallCaps/>
          <w:sz w:val="18"/>
          <w:szCs w:val="18"/>
          <w:u w:val="single"/>
        </w:rPr>
      </w:pPr>
      <w:r>
        <w:rPr>
          <w:rFonts w:cs="Arial" w:ascii="Arial" w:hAnsi="Arial"/>
          <w:b/>
          <w:bCs/>
          <w:smallCaps/>
          <w:sz w:val="18"/>
          <w:szCs w:val="18"/>
          <w:u w:val="single"/>
        </w:rPr>
        <w:t>PREAMBULE</w:t>
      </w:r>
    </w:p>
    <w:p>
      <w:pPr>
        <w:pStyle w:val="Header"/>
        <w:jc w:val="both"/>
        <w:rPr>
          <w:rFonts w:ascii="Arial" w:hAnsi="Arial" w:cs="Arial"/>
          <w:b/>
          <w:b/>
          <w:bCs/>
          <w:smallCaps/>
          <w:sz w:val="18"/>
          <w:szCs w:val="18"/>
          <w:highlight w:val="yellow"/>
          <w:u w:val="single"/>
        </w:rPr>
      </w:pPr>
      <w:r>
        <w:rPr>
          <w:rFonts w:cs="Arial" w:ascii="Arial" w:hAnsi="Arial"/>
          <w:b/>
          <w:bCs/>
          <w:smallCaps/>
          <w:sz w:val="18"/>
          <w:szCs w:val="18"/>
          <w:highlight w:val="yellow"/>
          <w:u w:val="single"/>
        </w:rPr>
      </w:r>
    </w:p>
    <w:p>
      <w:pPr>
        <w:pStyle w:val="Header"/>
        <w:jc w:val="both"/>
        <w:rPr>
          <w:rFonts w:ascii="Arial" w:hAnsi="Arial" w:cs="Arial"/>
          <w:sz w:val="18"/>
          <w:szCs w:val="18"/>
        </w:rPr>
      </w:pPr>
      <w:r>
        <w:rPr>
          <w:rFonts w:cs="Arial" w:ascii="Arial" w:hAnsi="Arial"/>
          <w:sz w:val="18"/>
          <w:szCs w:val="18"/>
        </w:rPr>
        <w:t>A l’occasion de la première réunion, la Direction a transmis aux délégations syndicales les documents suivants permettant une analyse comparée de la situation des hommes et des femmes concernant les emplois et les qualifications, les salaires payés, les horaires effectués et l'organisation du temps de travail. :</w:t>
      </w:r>
    </w:p>
    <w:p>
      <w:pPr>
        <w:pStyle w:val="Header"/>
        <w:numPr>
          <w:ilvl w:val="0"/>
          <w:numId w:val="4"/>
        </w:numPr>
        <w:jc w:val="both"/>
        <w:rPr>
          <w:rFonts w:ascii="Arial" w:hAnsi="Arial" w:cs="Arial"/>
          <w:sz w:val="18"/>
          <w:szCs w:val="18"/>
        </w:rPr>
      </w:pPr>
      <w:r>
        <w:rPr>
          <w:rFonts w:cs="Arial" w:ascii="Arial" w:hAnsi="Arial"/>
          <w:sz w:val="18"/>
          <w:szCs w:val="18"/>
        </w:rPr>
        <w:t>Le rapport et le suivi du plan d’action sur l’égalité professionnelle Homme/Femme ;</w:t>
      </w:r>
    </w:p>
    <w:p>
      <w:pPr>
        <w:pStyle w:val="Header"/>
        <w:numPr>
          <w:ilvl w:val="0"/>
          <w:numId w:val="4"/>
        </w:numPr>
        <w:jc w:val="both"/>
        <w:rPr>
          <w:rFonts w:ascii="Arial" w:hAnsi="Arial" w:cs="Arial"/>
          <w:sz w:val="18"/>
          <w:szCs w:val="18"/>
        </w:rPr>
      </w:pPr>
      <w:r>
        <w:rPr>
          <w:rFonts w:cs="Arial" w:ascii="Arial" w:hAnsi="Arial"/>
          <w:sz w:val="18"/>
          <w:szCs w:val="18"/>
        </w:rPr>
        <w:t>Le bilan social des 3 dernières années</w:t>
      </w:r>
    </w:p>
    <w:p>
      <w:pPr>
        <w:pStyle w:val="Header"/>
        <w:numPr>
          <w:ilvl w:val="0"/>
          <w:numId w:val="4"/>
        </w:numPr>
        <w:jc w:val="both"/>
        <w:rPr>
          <w:rFonts w:ascii="Arial" w:hAnsi="Arial" w:cs="Arial"/>
          <w:sz w:val="18"/>
          <w:szCs w:val="18"/>
        </w:rPr>
      </w:pPr>
      <w:r>
        <w:rPr>
          <w:rFonts w:cs="Arial" w:ascii="Arial" w:hAnsi="Arial"/>
          <w:sz w:val="18"/>
          <w:szCs w:val="18"/>
        </w:rPr>
        <w:t>La grille de salaire des compagnons;</w:t>
      </w:r>
    </w:p>
    <w:p>
      <w:pPr>
        <w:pStyle w:val="Header"/>
        <w:numPr>
          <w:ilvl w:val="0"/>
          <w:numId w:val="4"/>
        </w:numPr>
        <w:jc w:val="both"/>
        <w:rPr>
          <w:rFonts w:ascii="Arial" w:hAnsi="Arial" w:cs="Arial"/>
          <w:sz w:val="18"/>
          <w:szCs w:val="18"/>
        </w:rPr>
      </w:pPr>
      <w:r>
        <w:rPr>
          <w:rFonts w:cs="Arial" w:ascii="Arial" w:hAnsi="Arial"/>
          <w:sz w:val="18"/>
          <w:szCs w:val="18"/>
        </w:rPr>
        <w:t>Suivi de la GPEC ;</w:t>
      </w:r>
    </w:p>
    <w:p>
      <w:pPr>
        <w:pStyle w:val="Header"/>
        <w:numPr>
          <w:ilvl w:val="0"/>
          <w:numId w:val="4"/>
        </w:numPr>
        <w:jc w:val="both"/>
        <w:rPr>
          <w:rFonts w:ascii="Arial" w:hAnsi="Arial" w:cs="Arial"/>
          <w:sz w:val="18"/>
          <w:szCs w:val="18"/>
        </w:rPr>
      </w:pPr>
      <w:r>
        <w:rPr>
          <w:rFonts w:cs="Arial" w:ascii="Arial" w:hAnsi="Arial"/>
          <w:sz w:val="18"/>
          <w:szCs w:val="18"/>
        </w:rPr>
        <w:t>Pyramides des âges</w:t>
      </w:r>
    </w:p>
    <w:p>
      <w:pPr>
        <w:pStyle w:val="Header"/>
        <w:jc w:val="both"/>
        <w:rPr>
          <w:rFonts w:ascii="Arial" w:hAnsi="Arial" w:cs="Arial"/>
          <w:sz w:val="18"/>
          <w:szCs w:val="18"/>
        </w:rPr>
      </w:pPr>
      <w:r>
        <w:rPr>
          <w:rFonts w:cs="Arial" w:ascii="Arial" w:hAnsi="Arial"/>
          <w:sz w:val="18"/>
          <w:szCs w:val="18"/>
        </w:rPr>
      </w:r>
    </w:p>
    <w:p>
      <w:pPr>
        <w:pStyle w:val="Header"/>
        <w:jc w:val="both"/>
        <w:rPr>
          <w:rFonts w:ascii="Arial" w:hAnsi="Arial" w:cs="Arial"/>
          <w:sz w:val="18"/>
          <w:szCs w:val="18"/>
        </w:rPr>
      </w:pPr>
      <w:r>
        <w:rPr>
          <w:rFonts w:cs="Arial" w:ascii="Arial" w:hAnsi="Arial"/>
          <w:sz w:val="18"/>
          <w:szCs w:val="18"/>
        </w:rPr>
        <w:t>Les organisations syndicales avaient transmis préalablement leurs propositions.</w:t>
      </w:r>
    </w:p>
    <w:p>
      <w:pPr>
        <w:pStyle w:val="Header"/>
        <w:jc w:val="both"/>
        <w:rPr>
          <w:rFonts w:ascii="Arial" w:hAnsi="Arial" w:cs="Arial"/>
          <w:sz w:val="18"/>
          <w:szCs w:val="18"/>
          <w:highlight w:val="yellow"/>
        </w:rPr>
      </w:pPr>
      <w:r>
        <w:rPr>
          <w:rFonts w:cs="Arial" w:ascii="Arial" w:hAnsi="Arial"/>
          <w:sz w:val="18"/>
          <w:szCs w:val="18"/>
          <w:highlight w:val="yellow"/>
        </w:rPr>
      </w:r>
    </w:p>
    <w:p>
      <w:pPr>
        <w:pStyle w:val="Header"/>
        <w:jc w:val="both"/>
        <w:rPr>
          <w:rFonts w:ascii="Arial" w:hAnsi="Arial" w:cs="Arial"/>
          <w:sz w:val="18"/>
          <w:szCs w:val="18"/>
          <w:highlight w:val="yellow"/>
        </w:rPr>
      </w:pPr>
      <w:r>
        <w:rPr>
          <w:rFonts w:cs="Arial" w:ascii="Arial" w:hAnsi="Arial"/>
          <w:sz w:val="18"/>
          <w:szCs w:val="18"/>
          <w:highlight w:val="yellow"/>
        </w:rPr>
      </w:r>
    </w:p>
    <w:p>
      <w:pPr>
        <w:pStyle w:val="Normal"/>
        <w:jc w:val="both"/>
        <w:rPr>
          <w:rFonts w:ascii="Arial" w:hAnsi="Arial" w:cs="Arial"/>
          <w:b/>
          <w:b/>
          <w:color w:val="0070C0"/>
          <w:sz w:val="18"/>
          <w:szCs w:val="18"/>
          <w:u w:val="single"/>
        </w:rPr>
      </w:pPr>
      <w:r>
        <w:rPr>
          <w:rFonts w:cs="Arial" w:ascii="Arial" w:hAnsi="Arial"/>
          <w:b/>
          <w:color w:val="0070C0"/>
          <w:sz w:val="18"/>
          <w:szCs w:val="18"/>
          <w:u w:val="single"/>
        </w:rPr>
        <w:t>I/ Négociation annuelle sur la rémunération, le temps de travail et le partage de la valeur ajoutée (article L. 2242-5 CT) :</w:t>
      </w:r>
    </w:p>
    <w:p>
      <w:pPr>
        <w:pStyle w:val="Header"/>
        <w:jc w:val="both"/>
        <w:rPr>
          <w:rFonts w:ascii="Arial" w:hAnsi="Arial" w:cs="Arial"/>
          <w:b/>
          <w:b/>
          <w:color w:val="0070C0"/>
          <w:sz w:val="18"/>
          <w:szCs w:val="18"/>
          <w:u w:val="single"/>
        </w:rPr>
      </w:pPr>
      <w:r>
        <w:rPr>
          <w:rFonts w:cs="Arial" w:ascii="Arial" w:hAnsi="Arial"/>
          <w:b/>
          <w:color w:val="0070C0"/>
          <w:sz w:val="18"/>
          <w:szCs w:val="18"/>
          <w:u w:val="single"/>
        </w:rPr>
      </w:r>
    </w:p>
    <w:p>
      <w:pPr>
        <w:pStyle w:val="Header"/>
        <w:jc w:val="both"/>
        <w:rPr>
          <w:rFonts w:ascii="Arial" w:hAnsi="Arial" w:cs="Arial"/>
          <w:sz w:val="18"/>
          <w:szCs w:val="18"/>
        </w:rPr>
      </w:pPr>
      <w:r>
        <w:rPr>
          <w:rFonts w:cs="Arial" w:ascii="Arial" w:hAnsi="Arial"/>
          <w:sz w:val="18"/>
          <w:szCs w:val="18"/>
        </w:rPr>
      </w:r>
    </w:p>
    <w:p>
      <w:pPr>
        <w:pStyle w:val="Header"/>
        <w:jc w:val="both"/>
        <w:rPr>
          <w:rFonts w:ascii="Arial" w:hAnsi="Arial" w:cs="Arial"/>
          <w:b/>
          <w:b/>
          <w:bCs/>
          <w:smallCaps/>
          <w:sz w:val="18"/>
          <w:szCs w:val="18"/>
          <w:u w:val="single"/>
        </w:rPr>
      </w:pPr>
      <w:r>
        <w:rPr>
          <w:rFonts w:cs="Arial" w:ascii="Arial" w:hAnsi="Arial"/>
          <w:b/>
          <w:bCs/>
          <w:smallCaps/>
          <w:sz w:val="18"/>
          <w:szCs w:val="18"/>
          <w:u w:val="single"/>
        </w:rPr>
        <w:t>Article 1 – Dernier état des propositions respectives des parties</w:t>
      </w:r>
    </w:p>
    <w:p>
      <w:pPr>
        <w:pStyle w:val="Header"/>
        <w:jc w:val="both"/>
        <w:rPr>
          <w:rFonts w:ascii="Arial" w:hAnsi="Arial" w:cs="Arial"/>
          <w:b/>
          <w:b/>
          <w:bCs/>
          <w:smallCaps/>
          <w:sz w:val="18"/>
          <w:szCs w:val="18"/>
          <w:highlight w:val="yellow"/>
          <w:u w:val="single"/>
        </w:rPr>
      </w:pPr>
      <w:r>
        <w:rPr>
          <w:rFonts w:cs="Arial" w:ascii="Arial" w:hAnsi="Arial"/>
          <w:b/>
          <w:bCs/>
          <w:smallCaps/>
          <w:sz w:val="18"/>
          <w:szCs w:val="18"/>
          <w:highlight w:val="yellow"/>
          <w:u w:val="single"/>
        </w:rPr>
      </w:r>
    </w:p>
    <w:p>
      <w:pPr>
        <w:pStyle w:val="Header"/>
        <w:jc w:val="both"/>
        <w:rPr>
          <w:rFonts w:ascii="Arial" w:hAnsi="Arial" w:cs="Arial"/>
          <w:sz w:val="18"/>
          <w:szCs w:val="18"/>
        </w:rPr>
      </w:pPr>
      <w:r>
        <w:rPr>
          <w:rFonts w:cs="Arial" w:ascii="Arial" w:hAnsi="Arial"/>
          <w:sz w:val="18"/>
          <w:szCs w:val="18"/>
        </w:rPr>
        <w:t>Les dernières propositions de la Direction ont été les suivantes :</w:t>
      </w:r>
    </w:p>
    <w:p>
      <w:pPr>
        <w:pStyle w:val="Header"/>
        <w:ind w:left="720" w:hanging="0"/>
        <w:jc w:val="both"/>
        <w:rPr>
          <w:rFonts w:ascii="Arial" w:hAnsi="Arial" w:cs="Arial"/>
          <w:sz w:val="18"/>
          <w:szCs w:val="18"/>
        </w:rPr>
      </w:pPr>
      <w:r>
        <w:rPr>
          <w:rFonts w:cs="Arial" w:ascii="Arial" w:hAnsi="Arial"/>
          <w:sz w:val="18"/>
          <w:szCs w:val="18"/>
        </w:rPr>
      </w:r>
    </w:p>
    <w:p>
      <w:pPr>
        <w:pStyle w:val="Paragraphedeliste"/>
        <w:numPr>
          <w:ilvl w:val="1"/>
          <w:numId w:val="6"/>
        </w:numPr>
        <w:rPr/>
      </w:pPr>
      <w:r>
        <w:rPr>
          <w:rFonts w:cs="Arial" w:ascii="Arial" w:hAnsi="Arial"/>
          <w:sz w:val="18"/>
          <w:szCs w:val="18"/>
        </w:rPr>
        <w:t>A compter du 1</w:t>
      </w:r>
      <w:r>
        <w:rPr>
          <w:rFonts w:cs="Arial" w:ascii="Arial" w:hAnsi="Arial"/>
          <w:sz w:val="18"/>
          <w:szCs w:val="18"/>
          <w:vertAlign w:val="superscript"/>
        </w:rPr>
        <w:t>er</w:t>
      </w:r>
      <w:r>
        <w:rPr>
          <w:rFonts w:cs="Arial" w:ascii="Arial" w:hAnsi="Arial"/>
          <w:sz w:val="18"/>
          <w:szCs w:val="18"/>
        </w:rPr>
        <w:t xml:space="preserve"> avril 2023, il sera appliqué :</w:t>
      </w:r>
    </w:p>
    <w:p>
      <w:pPr>
        <w:pStyle w:val="Paragraphedeliste"/>
        <w:ind w:left="0" w:hanging="0"/>
        <w:rPr>
          <w:rFonts w:ascii="Arial" w:hAnsi="Arial" w:cs="Arial"/>
          <w:sz w:val="18"/>
          <w:szCs w:val="18"/>
        </w:rPr>
      </w:pPr>
      <w:r>
        <w:rPr>
          <w:rFonts w:cs="Arial" w:ascii="Arial" w:hAnsi="Arial"/>
          <w:sz w:val="18"/>
          <w:szCs w:val="18"/>
        </w:rPr>
      </w:r>
    </w:p>
    <w:p>
      <w:pPr>
        <w:pStyle w:val="Paragraphedeliste"/>
        <w:numPr>
          <w:ilvl w:val="0"/>
          <w:numId w:val="2"/>
        </w:numPr>
        <w:rPr/>
      </w:pPr>
      <w:r>
        <w:rPr>
          <w:rFonts w:cs="Arial" w:ascii="Arial" w:hAnsi="Arial"/>
          <w:sz w:val="18"/>
          <w:szCs w:val="18"/>
        </w:rPr>
        <w:t>Pour le personnel ouvrier, une revalorisation générale du salaire de base de 3,3%, en complément des 1.5% octroyés en novembre 2022 </w:t>
      </w:r>
    </w:p>
    <w:p>
      <w:pPr>
        <w:pStyle w:val="Paragraphedeliste"/>
        <w:numPr>
          <w:ilvl w:val="0"/>
          <w:numId w:val="2"/>
        </w:numPr>
        <w:rPr>
          <w:rFonts w:ascii="Arial" w:hAnsi="Arial" w:cs="Arial"/>
          <w:sz w:val="18"/>
          <w:szCs w:val="18"/>
        </w:rPr>
      </w:pPr>
      <w:r>
        <w:rPr>
          <w:rFonts w:cs="Arial" w:ascii="Arial" w:hAnsi="Arial"/>
          <w:sz w:val="18"/>
          <w:szCs w:val="18"/>
        </w:rPr>
        <w:t>Pour les etam/cadres une revalorisation individuelle moyenne du salaire de base de 3,4% de la masse salariale, en complément des 1.5% octroyés en novembre 2022</w:t>
      </w:r>
    </w:p>
    <w:p>
      <w:pPr>
        <w:pStyle w:val="Paragraphedeliste"/>
        <w:ind w:left="0" w:hanging="0"/>
        <w:rPr>
          <w:rFonts w:ascii="Arial" w:hAnsi="Arial" w:cs="Arial"/>
          <w:sz w:val="18"/>
          <w:szCs w:val="18"/>
        </w:rPr>
      </w:pPr>
      <w:r>
        <w:rPr>
          <w:rFonts w:cs="Arial" w:ascii="Arial" w:hAnsi="Arial"/>
          <w:sz w:val="18"/>
          <w:szCs w:val="18"/>
        </w:rPr>
      </w:r>
    </w:p>
    <w:p>
      <w:pPr>
        <w:pStyle w:val="Header"/>
        <w:numPr>
          <w:ilvl w:val="0"/>
          <w:numId w:val="3"/>
        </w:numPr>
        <w:tabs>
          <w:tab w:val="left" w:pos="708" w:leader="none"/>
          <w:tab w:val="center" w:pos="4536" w:leader="none"/>
          <w:tab w:val="right" w:pos="9072" w:leader="none"/>
        </w:tabs>
        <w:jc w:val="both"/>
        <w:rPr>
          <w:rFonts w:ascii="Arial" w:hAnsi="Arial" w:cs="Arial"/>
          <w:sz w:val="18"/>
          <w:szCs w:val="18"/>
        </w:rPr>
      </w:pPr>
      <w:r>
        <w:rPr>
          <w:rFonts w:cs="Arial" w:ascii="Arial" w:hAnsi="Arial"/>
          <w:sz w:val="18"/>
          <w:szCs w:val="18"/>
        </w:rPr>
        <w:t>Panier repas à 13,80 € (+ 0,30 €) pour les ouvriers</w:t>
      </w:r>
    </w:p>
    <w:p>
      <w:pPr>
        <w:pStyle w:val="Header"/>
        <w:jc w:val="both"/>
        <w:rPr>
          <w:rFonts w:ascii="Arial" w:hAnsi="Arial" w:cs="Arial"/>
          <w:sz w:val="18"/>
          <w:szCs w:val="18"/>
        </w:rPr>
      </w:pPr>
      <w:r>
        <w:rPr>
          <w:rFonts w:cs="Arial" w:ascii="Arial" w:hAnsi="Arial"/>
          <w:sz w:val="18"/>
          <w:szCs w:val="18"/>
        </w:rPr>
      </w:r>
    </w:p>
    <w:p>
      <w:pPr>
        <w:pStyle w:val="Header"/>
        <w:numPr>
          <w:ilvl w:val="0"/>
          <w:numId w:val="5"/>
        </w:numPr>
        <w:jc w:val="both"/>
        <w:rPr>
          <w:rFonts w:ascii="Arial" w:hAnsi="Arial" w:cs="Arial"/>
          <w:sz w:val="18"/>
          <w:szCs w:val="18"/>
        </w:rPr>
      </w:pPr>
      <w:r>
        <w:rPr>
          <w:rFonts w:cs="Arial" w:ascii="Arial" w:hAnsi="Arial"/>
          <w:sz w:val="18"/>
          <w:szCs w:val="18"/>
        </w:rPr>
        <w:t xml:space="preserve">Création d’une médaille pour les 25 ans d’ancienneté entreprise, sans effet rétroactif, d’une valeur de </w:t>
      </w:r>
    </w:p>
    <w:p>
      <w:pPr>
        <w:pStyle w:val="Header"/>
        <w:ind w:firstLine="709"/>
        <w:jc w:val="both"/>
        <w:rPr>
          <w:rFonts w:ascii="Arial" w:hAnsi="Arial" w:cs="Arial"/>
          <w:sz w:val="18"/>
          <w:szCs w:val="18"/>
        </w:rPr>
      </w:pPr>
      <w:r>
        <w:rPr>
          <w:rFonts w:cs="Arial" w:ascii="Arial" w:hAnsi="Arial"/>
          <w:sz w:val="18"/>
          <w:szCs w:val="18"/>
        </w:rPr>
        <w:t>300 €, applicable au 31 décembre 2023.</w:t>
      </w:r>
    </w:p>
    <w:p>
      <w:pPr>
        <w:pStyle w:val="Header"/>
        <w:jc w:val="both"/>
        <w:rPr>
          <w:rFonts w:ascii="Arial" w:hAnsi="Arial" w:cs="Arial"/>
          <w:sz w:val="18"/>
          <w:szCs w:val="18"/>
        </w:rPr>
      </w:pPr>
      <w:r>
        <w:rPr>
          <w:rFonts w:cs="Arial" w:ascii="Arial" w:hAnsi="Arial"/>
          <w:sz w:val="18"/>
          <w:szCs w:val="18"/>
        </w:rPr>
      </w:r>
    </w:p>
    <w:p>
      <w:pPr>
        <w:pStyle w:val="Header"/>
        <w:jc w:val="both"/>
        <w:rPr>
          <w:rFonts w:ascii="Arial" w:hAnsi="Arial" w:cs="Arial"/>
          <w:b/>
          <w:b/>
          <w:bCs/>
          <w:smallCaps/>
          <w:sz w:val="18"/>
          <w:szCs w:val="18"/>
          <w:highlight w:val="yellow"/>
          <w:u w:val="single"/>
        </w:rPr>
      </w:pPr>
      <w:r>
        <w:rPr>
          <w:rFonts w:cs="Arial" w:ascii="Arial" w:hAnsi="Arial"/>
          <w:sz w:val="18"/>
          <w:szCs w:val="18"/>
        </w:rPr>
        <w:t>Les organisations syndicales indiquent que les propositions de la Direction sont insuffisantes et demandent une augmentation du montant de la prime de rendement pour l’ensemble des ouvriers et un effet rétroactif sur la médailles des 25 ans.</w:t>
      </w:r>
    </w:p>
    <w:p>
      <w:pPr>
        <w:pStyle w:val="Header"/>
        <w:jc w:val="both"/>
        <w:rPr>
          <w:rFonts w:ascii="Arial" w:hAnsi="Arial" w:cs="Arial"/>
          <w:b/>
          <w:b/>
          <w:bCs/>
          <w:smallCaps/>
          <w:sz w:val="18"/>
          <w:szCs w:val="18"/>
          <w:highlight w:val="yellow"/>
          <w:u w:val="single"/>
        </w:rPr>
      </w:pPr>
      <w:r>
        <w:rPr>
          <w:rFonts w:cs="Arial" w:ascii="Arial" w:hAnsi="Arial"/>
          <w:b/>
          <w:bCs/>
          <w:smallCaps/>
          <w:sz w:val="18"/>
          <w:szCs w:val="18"/>
          <w:highlight w:val="yellow"/>
          <w:u w:val="single"/>
        </w:rPr>
      </w:r>
    </w:p>
    <w:p>
      <w:pPr>
        <w:pStyle w:val="Header"/>
        <w:jc w:val="both"/>
        <w:rPr>
          <w:rFonts w:ascii="Arial" w:hAnsi="Arial" w:cs="Arial"/>
          <w:b/>
          <w:b/>
          <w:bCs/>
          <w:smallCaps/>
          <w:sz w:val="18"/>
          <w:szCs w:val="18"/>
          <w:highlight w:val="yellow"/>
          <w:u w:val="single"/>
        </w:rPr>
      </w:pPr>
      <w:r>
        <w:rPr>
          <w:rFonts w:cs="Arial" w:ascii="Arial" w:hAnsi="Arial"/>
          <w:b/>
          <w:bCs/>
          <w:smallCaps/>
          <w:sz w:val="18"/>
          <w:szCs w:val="18"/>
          <w:highlight w:val="yellow"/>
          <w:u w:val="single"/>
        </w:rPr>
      </w:r>
    </w:p>
    <w:p>
      <w:pPr>
        <w:pStyle w:val="Header"/>
        <w:jc w:val="both"/>
        <w:rPr>
          <w:rFonts w:ascii="Arial" w:hAnsi="Arial" w:cs="Arial"/>
          <w:b/>
          <w:b/>
          <w:bCs/>
          <w:smallCaps/>
          <w:sz w:val="18"/>
          <w:szCs w:val="18"/>
          <w:u w:val="single"/>
        </w:rPr>
      </w:pPr>
      <w:r>
        <w:rPr>
          <w:rFonts w:cs="Arial" w:ascii="Arial" w:hAnsi="Arial"/>
          <w:b/>
          <w:bCs/>
          <w:smallCaps/>
          <w:sz w:val="18"/>
          <w:szCs w:val="18"/>
          <w:u w:val="single"/>
        </w:rPr>
        <w:t>Article 2 – Mesures faisant l’objet d’un accord</w:t>
      </w:r>
    </w:p>
    <w:p>
      <w:pPr>
        <w:pStyle w:val="Header"/>
        <w:jc w:val="both"/>
        <w:rPr>
          <w:rFonts w:ascii="Arial" w:hAnsi="Arial" w:cs="Arial"/>
          <w:b/>
          <w:b/>
          <w:bCs/>
          <w:smallCaps/>
          <w:sz w:val="18"/>
          <w:szCs w:val="18"/>
          <w:u w:val="single"/>
        </w:rPr>
      </w:pPr>
      <w:r>
        <w:rPr>
          <w:rFonts w:cs="Arial" w:ascii="Arial" w:hAnsi="Arial"/>
          <w:b/>
          <w:bCs/>
          <w:smallCaps/>
          <w:sz w:val="18"/>
          <w:szCs w:val="18"/>
          <w:u w:val="single"/>
        </w:rPr>
      </w:r>
    </w:p>
    <w:p>
      <w:pPr>
        <w:pStyle w:val="Normal"/>
        <w:ind w:right="-108" w:hanging="0"/>
        <w:rPr>
          <w:rFonts w:ascii="Arial" w:hAnsi="Arial" w:cs="Arial"/>
          <w:b/>
          <w:b/>
          <w:bCs/>
          <w:sz w:val="18"/>
          <w:szCs w:val="18"/>
        </w:rPr>
      </w:pPr>
      <w:r>
        <w:rPr>
          <w:rFonts w:cs="Arial" w:ascii="Arial" w:hAnsi="Arial"/>
          <w:b/>
          <w:bCs/>
          <w:sz w:val="18"/>
          <w:szCs w:val="18"/>
        </w:rPr>
        <w:t>A. Salaires de base</w:t>
      </w:r>
    </w:p>
    <w:p>
      <w:pPr>
        <w:pStyle w:val="Normal"/>
        <w:ind w:right="-108" w:hanging="0"/>
        <w:rPr>
          <w:rFonts w:ascii="Arial" w:hAnsi="Arial" w:cs="Arial"/>
          <w:b/>
          <w:b/>
          <w:bCs/>
          <w:sz w:val="18"/>
          <w:szCs w:val="18"/>
        </w:rPr>
      </w:pPr>
      <w:r>
        <w:rPr>
          <w:rFonts w:cs="Arial" w:ascii="Arial" w:hAnsi="Arial"/>
          <w:b/>
          <w:bCs/>
          <w:sz w:val="18"/>
          <w:szCs w:val="18"/>
        </w:rPr>
      </w:r>
    </w:p>
    <w:p>
      <w:pPr>
        <w:pStyle w:val="Header"/>
        <w:jc w:val="both"/>
        <w:rPr>
          <w:rFonts w:ascii="Arial" w:hAnsi="Arial" w:cs="Arial"/>
          <w:sz w:val="18"/>
          <w:szCs w:val="18"/>
        </w:rPr>
      </w:pPr>
      <w:r>
        <w:rPr>
          <w:rFonts w:cs="Arial" w:ascii="Arial" w:hAnsi="Arial"/>
          <w:sz w:val="18"/>
          <w:szCs w:val="18"/>
        </w:rPr>
        <w:t xml:space="preserve">Revalorisation générale du salaire de base (taux horaire) de 3,7 % à compter du 1er avril 2023 pour l’ensemble du personnel ouvrier, en complément des 1,5 % octroyés en novembre 2022. </w:t>
      </w:r>
    </w:p>
    <w:p>
      <w:pPr>
        <w:pStyle w:val="Header"/>
        <w:jc w:val="both"/>
        <w:rPr>
          <w:rFonts w:ascii="Arial" w:hAnsi="Arial" w:cs="Arial"/>
          <w:sz w:val="18"/>
          <w:szCs w:val="18"/>
        </w:rPr>
      </w:pPr>
      <w:r>
        <w:rPr>
          <w:rFonts w:cs="Arial" w:ascii="Arial" w:hAnsi="Arial"/>
          <w:sz w:val="18"/>
          <w:szCs w:val="18"/>
        </w:rPr>
        <w:t>Le personnel etam/cadres bénéficie d’une revalorisation individuelle moyenne du salaire de base de 3,4% de la masse salariale, en complément des 1,5 % octroyés en novembre 2022.</w:t>
      </w:r>
    </w:p>
    <w:p>
      <w:pPr>
        <w:pStyle w:val="Header"/>
        <w:jc w:val="both"/>
        <w:rPr>
          <w:rFonts w:ascii="Arial" w:hAnsi="Arial" w:cs="Arial"/>
          <w:sz w:val="18"/>
          <w:szCs w:val="18"/>
        </w:rPr>
      </w:pPr>
      <w:r>
        <w:rPr>
          <w:rFonts w:cs="Arial" w:ascii="Arial" w:hAnsi="Arial"/>
          <w:sz w:val="18"/>
          <w:szCs w:val="18"/>
        </w:rPr>
      </w:r>
    </w:p>
    <w:p>
      <w:pPr>
        <w:pStyle w:val="Normal"/>
        <w:ind w:right="-108" w:hanging="0"/>
        <w:rPr/>
      </w:pPr>
      <w:r>
        <w:rPr>
          <w:rFonts w:cs="Arial" w:ascii="Arial" w:hAnsi="Arial"/>
          <w:b/>
          <w:bCs/>
          <w:sz w:val="18"/>
          <w:szCs w:val="18"/>
        </w:rPr>
        <w:t>B. Panier repas des ouvriers</w:t>
      </w:r>
    </w:p>
    <w:p>
      <w:pPr>
        <w:pStyle w:val="Normal"/>
        <w:ind w:right="-108" w:hanging="0"/>
        <w:rPr>
          <w:rFonts w:ascii="Arial" w:hAnsi="Arial" w:cs="Arial"/>
          <w:b/>
          <w:b/>
          <w:bCs/>
          <w:sz w:val="18"/>
          <w:szCs w:val="18"/>
        </w:rPr>
      </w:pPr>
      <w:r>
        <w:rPr>
          <w:rFonts w:cs="Arial" w:ascii="Arial" w:hAnsi="Arial"/>
          <w:b/>
          <w:bCs/>
          <w:sz w:val="18"/>
          <w:szCs w:val="18"/>
        </w:rPr>
      </w:r>
    </w:p>
    <w:p>
      <w:pPr>
        <w:pStyle w:val="Normal"/>
        <w:ind w:right="-108" w:hanging="0"/>
        <w:jc w:val="both"/>
        <w:rPr>
          <w:rFonts w:ascii="Arial" w:hAnsi="Arial" w:cs="Arial"/>
          <w:sz w:val="18"/>
          <w:szCs w:val="18"/>
        </w:rPr>
      </w:pPr>
      <w:r>
        <w:rPr>
          <w:rFonts w:cs="Arial" w:ascii="Arial" w:hAnsi="Arial"/>
          <w:sz w:val="18"/>
          <w:szCs w:val="18"/>
        </w:rPr>
        <w:t>Panier repas : + 0,30 € pour les ouvriers à compter du 1</w:t>
      </w:r>
      <w:r>
        <w:rPr>
          <w:rFonts w:cs="Arial" w:ascii="Arial" w:hAnsi="Arial"/>
          <w:sz w:val="18"/>
          <w:szCs w:val="18"/>
          <w:vertAlign w:val="superscript"/>
        </w:rPr>
        <w:t>er</w:t>
      </w:r>
      <w:r>
        <w:rPr>
          <w:rFonts w:cs="Arial" w:ascii="Arial" w:hAnsi="Arial"/>
          <w:sz w:val="18"/>
          <w:szCs w:val="18"/>
        </w:rPr>
        <w:t xml:space="preserve"> avril 2023 soit un montant de 13,80 €.</w:t>
      </w:r>
    </w:p>
    <w:p>
      <w:pPr>
        <w:pStyle w:val="Normal"/>
        <w:ind w:right="-108" w:hanging="0"/>
        <w:jc w:val="both"/>
        <w:rPr>
          <w:rFonts w:ascii="Arial" w:hAnsi="Arial" w:cs="Arial"/>
          <w:sz w:val="18"/>
          <w:szCs w:val="18"/>
          <w:highlight w:val="yellow"/>
        </w:rPr>
      </w:pPr>
      <w:r>
        <w:rPr>
          <w:rFonts w:cs="Arial" w:ascii="Arial" w:hAnsi="Arial"/>
          <w:sz w:val="18"/>
          <w:szCs w:val="18"/>
          <w:highlight w:val="yellow"/>
        </w:rPr>
      </w:r>
    </w:p>
    <w:p>
      <w:pPr>
        <w:pStyle w:val="Normal"/>
        <w:ind w:right="-108" w:hanging="0"/>
        <w:jc w:val="both"/>
        <w:rPr>
          <w:rFonts w:ascii="Arial" w:hAnsi="Arial" w:cs="Arial"/>
          <w:b/>
          <w:b/>
          <w:sz w:val="18"/>
          <w:szCs w:val="18"/>
        </w:rPr>
      </w:pPr>
      <w:r>
        <w:rPr>
          <w:rFonts w:cs="Arial" w:ascii="Arial" w:hAnsi="Arial"/>
          <w:b/>
          <w:sz w:val="18"/>
          <w:szCs w:val="18"/>
        </w:rPr>
        <w:t>C. Prime de rendement</w:t>
      </w:r>
    </w:p>
    <w:p>
      <w:pPr>
        <w:pStyle w:val="Normal"/>
        <w:ind w:right="-108" w:hanging="0"/>
        <w:jc w:val="both"/>
        <w:rPr>
          <w:rFonts w:ascii="Arial" w:hAnsi="Arial" w:cs="Arial"/>
          <w:b/>
          <w:b/>
          <w:sz w:val="18"/>
          <w:szCs w:val="18"/>
        </w:rPr>
      </w:pPr>
      <w:r>
        <w:rPr>
          <w:rFonts w:cs="Arial" w:ascii="Arial" w:hAnsi="Arial"/>
          <w:b/>
          <w:sz w:val="18"/>
          <w:szCs w:val="18"/>
        </w:rPr>
      </w:r>
    </w:p>
    <w:p>
      <w:pPr>
        <w:pStyle w:val="Normal"/>
        <w:ind w:right="-108" w:hanging="0"/>
        <w:jc w:val="both"/>
        <w:rPr>
          <w:rFonts w:ascii="Arial" w:hAnsi="Arial" w:cs="Arial"/>
          <w:sz w:val="18"/>
          <w:szCs w:val="18"/>
        </w:rPr>
      </w:pPr>
      <w:r>
        <w:rPr>
          <w:rFonts w:cs="Arial" w:ascii="Arial" w:hAnsi="Arial"/>
          <w:sz w:val="18"/>
          <w:szCs w:val="18"/>
        </w:rPr>
        <w:t>Prime de rendement pour tous les coefficients : + 7 € sur la base mensuelle à compter du 1</w:t>
      </w:r>
      <w:r>
        <w:rPr>
          <w:rFonts w:cs="Arial" w:ascii="Arial" w:hAnsi="Arial"/>
          <w:sz w:val="18"/>
          <w:szCs w:val="18"/>
          <w:vertAlign w:val="superscript"/>
        </w:rPr>
        <w:t>er</w:t>
      </w:r>
      <w:r>
        <w:rPr>
          <w:rFonts w:cs="Arial" w:ascii="Arial" w:hAnsi="Arial"/>
          <w:sz w:val="18"/>
          <w:szCs w:val="18"/>
        </w:rPr>
        <w:t xml:space="preserve"> avril 2023.</w:t>
      </w:r>
    </w:p>
    <w:p>
      <w:pPr>
        <w:pStyle w:val="Normal"/>
        <w:ind w:right="-108" w:hanging="0"/>
        <w:jc w:val="both"/>
        <w:rPr>
          <w:rFonts w:ascii="Arial" w:hAnsi="Arial" w:cs="Arial"/>
          <w:b/>
          <w:b/>
          <w:sz w:val="18"/>
          <w:szCs w:val="18"/>
        </w:rPr>
      </w:pPr>
      <w:r>
        <w:rPr>
          <w:rFonts w:cs="Arial" w:ascii="Arial" w:hAnsi="Arial"/>
          <w:b/>
          <w:sz w:val="18"/>
          <w:szCs w:val="18"/>
        </w:rPr>
      </w:r>
    </w:p>
    <w:p>
      <w:pPr>
        <w:pStyle w:val="Normal"/>
        <w:ind w:right="-108" w:hanging="0"/>
        <w:jc w:val="both"/>
        <w:rPr>
          <w:rFonts w:ascii="Arial" w:hAnsi="Arial" w:cs="Arial"/>
          <w:b/>
          <w:b/>
          <w:sz w:val="18"/>
          <w:szCs w:val="18"/>
        </w:rPr>
      </w:pPr>
      <w:r>
        <w:rPr>
          <w:rFonts w:cs="Arial" w:ascii="Arial" w:hAnsi="Arial"/>
          <w:b/>
          <w:sz w:val="18"/>
          <w:szCs w:val="18"/>
        </w:rPr>
        <w:t xml:space="preserve">D. </w:t>
      </w:r>
      <w:r>
        <w:rPr>
          <w:rFonts w:cs="Arial" w:ascii="Arial" w:hAnsi="Arial"/>
          <w:b/>
          <w:bCs/>
          <w:sz w:val="18"/>
          <w:szCs w:val="18"/>
        </w:rPr>
        <w:t>Médaille du travail</w:t>
      </w:r>
    </w:p>
    <w:p>
      <w:pPr>
        <w:pStyle w:val="Normal"/>
        <w:ind w:right="-108" w:hanging="0"/>
        <w:jc w:val="both"/>
        <w:rPr>
          <w:rFonts w:ascii="Arial" w:hAnsi="Arial" w:cs="Arial"/>
          <w:b/>
          <w:b/>
          <w:sz w:val="18"/>
          <w:szCs w:val="18"/>
        </w:rPr>
      </w:pPr>
      <w:r>
        <w:rPr>
          <w:rFonts w:cs="Arial" w:ascii="Arial" w:hAnsi="Arial"/>
          <w:b/>
          <w:sz w:val="18"/>
          <w:szCs w:val="18"/>
        </w:rPr>
      </w:r>
    </w:p>
    <w:p>
      <w:pPr>
        <w:pStyle w:val="Normal"/>
        <w:ind w:right="-108" w:hanging="0"/>
        <w:jc w:val="both"/>
        <w:rPr>
          <w:rFonts w:ascii="Arial" w:hAnsi="Arial" w:cs="Arial"/>
          <w:sz w:val="18"/>
          <w:szCs w:val="18"/>
        </w:rPr>
      </w:pPr>
      <w:r>
        <w:rPr>
          <w:rFonts w:cs="Arial" w:ascii="Arial" w:hAnsi="Arial"/>
          <w:sz w:val="18"/>
          <w:szCs w:val="18"/>
        </w:rPr>
        <w:t xml:space="preserve">Création d’une médaille pour les 25 ans d’ancienneté entreprise, avec effet rétroactif, d’une valeur de </w:t>
      </w:r>
    </w:p>
    <w:p>
      <w:pPr>
        <w:pStyle w:val="Normal"/>
        <w:ind w:right="-108" w:hanging="0"/>
        <w:jc w:val="both"/>
        <w:rPr>
          <w:rFonts w:ascii="Arial" w:hAnsi="Arial" w:cs="Arial"/>
          <w:sz w:val="18"/>
          <w:szCs w:val="18"/>
        </w:rPr>
      </w:pPr>
      <w:r>
        <w:rPr>
          <w:rFonts w:cs="Arial" w:ascii="Arial" w:hAnsi="Arial"/>
          <w:sz w:val="18"/>
          <w:szCs w:val="18"/>
        </w:rPr>
        <w:t>300 €, applicable au 31 décembre 2023.</w:t>
      </w:r>
    </w:p>
    <w:p>
      <w:pPr>
        <w:pStyle w:val="Normal"/>
        <w:ind w:right="-108" w:hanging="0"/>
        <w:jc w:val="both"/>
        <w:rPr>
          <w:rFonts w:ascii="Arial" w:hAnsi="Arial" w:cs="Arial"/>
          <w:sz w:val="18"/>
          <w:szCs w:val="18"/>
        </w:rPr>
      </w:pPr>
      <w:r>
        <w:rPr>
          <w:rFonts w:cs="Arial" w:ascii="Arial" w:hAnsi="Arial"/>
          <w:sz w:val="18"/>
          <w:szCs w:val="18"/>
        </w:rPr>
      </w:r>
    </w:p>
    <w:p>
      <w:pPr>
        <w:pStyle w:val="Normal"/>
        <w:ind w:right="-108" w:hanging="0"/>
        <w:jc w:val="both"/>
        <w:rPr>
          <w:rFonts w:ascii="Arial" w:hAnsi="Arial" w:cs="Arial"/>
          <w:sz w:val="18"/>
          <w:szCs w:val="18"/>
        </w:rPr>
      </w:pPr>
      <w:r>
        <w:rPr>
          <w:rFonts w:cs="Arial" w:ascii="Arial" w:hAnsi="Arial"/>
          <w:sz w:val="18"/>
          <w:szCs w:val="18"/>
        </w:rPr>
      </w:r>
    </w:p>
    <w:p>
      <w:pPr>
        <w:pStyle w:val="Normal"/>
        <w:ind w:right="-108" w:hanging="0"/>
        <w:jc w:val="both"/>
        <w:rPr>
          <w:rFonts w:ascii="Arial" w:hAnsi="Arial" w:cs="Arial"/>
          <w:sz w:val="18"/>
          <w:szCs w:val="18"/>
        </w:rPr>
      </w:pPr>
      <w:r>
        <w:rPr>
          <w:rFonts w:cs="Arial" w:ascii="Arial" w:hAnsi="Arial"/>
          <w:sz w:val="18"/>
          <w:szCs w:val="18"/>
        </w:rPr>
      </w:r>
    </w:p>
    <w:p>
      <w:pPr>
        <w:pStyle w:val="Normal"/>
        <w:jc w:val="both"/>
        <w:rPr>
          <w:rFonts w:ascii="Arial" w:hAnsi="Arial" w:cs="Arial"/>
          <w:b/>
          <w:b/>
          <w:color w:val="0070C0"/>
          <w:sz w:val="18"/>
          <w:szCs w:val="18"/>
          <w:u w:val="single"/>
        </w:rPr>
      </w:pPr>
      <w:r>
        <w:rPr>
          <w:rFonts w:cs="Arial" w:ascii="Arial" w:hAnsi="Arial"/>
          <w:b/>
          <w:color w:val="0070C0"/>
          <w:sz w:val="18"/>
          <w:szCs w:val="18"/>
          <w:u w:val="single"/>
        </w:rPr>
        <w:t>II/ Négociation annuelle sur l’égalité professionnelle et la qualité de vie au travail (article L. 2242-8 CT) :</w:t>
      </w:r>
    </w:p>
    <w:p>
      <w:pPr>
        <w:pStyle w:val="Normal"/>
        <w:ind w:right="-108" w:hanging="0"/>
        <w:jc w:val="both"/>
        <w:rPr>
          <w:rFonts w:ascii="Arial" w:hAnsi="Arial" w:cs="Arial"/>
          <w:b/>
          <w:b/>
          <w:color w:val="0070C0"/>
          <w:sz w:val="18"/>
          <w:szCs w:val="18"/>
          <w:u w:val="single"/>
        </w:rPr>
      </w:pPr>
      <w:r>
        <w:rPr>
          <w:rFonts w:cs="Arial" w:ascii="Arial" w:hAnsi="Arial"/>
          <w:b/>
          <w:color w:val="0070C0"/>
          <w:sz w:val="18"/>
          <w:szCs w:val="18"/>
          <w:u w:val="single"/>
        </w:rPr>
      </w:r>
    </w:p>
    <w:p>
      <w:pPr>
        <w:pStyle w:val="Normal"/>
        <w:ind w:right="-108" w:hanging="0"/>
        <w:jc w:val="both"/>
        <w:rPr>
          <w:rFonts w:ascii="Arial" w:hAnsi="Arial" w:cs="Arial"/>
          <w:b/>
          <w:b/>
          <w:sz w:val="18"/>
          <w:szCs w:val="18"/>
        </w:rPr>
      </w:pPr>
      <w:r>
        <w:rPr>
          <w:rFonts w:cs="Arial" w:ascii="Arial" w:hAnsi="Arial"/>
          <w:b/>
          <w:sz w:val="18"/>
          <w:szCs w:val="18"/>
        </w:rPr>
        <w:t>A. Egalité professionnelle et qualité de vie au travail :</w:t>
      </w:r>
    </w:p>
    <w:p>
      <w:pPr>
        <w:pStyle w:val="Normal"/>
        <w:ind w:right="-108" w:hanging="0"/>
        <w:jc w:val="both"/>
        <w:rPr>
          <w:rFonts w:ascii="Arial" w:hAnsi="Arial" w:cs="Arial"/>
          <w:b/>
          <w:b/>
          <w:sz w:val="18"/>
          <w:szCs w:val="18"/>
        </w:rPr>
      </w:pPr>
      <w:r>
        <w:rPr>
          <w:rFonts w:cs="Arial" w:ascii="Arial" w:hAnsi="Arial"/>
          <w:b/>
          <w:sz w:val="18"/>
          <w:szCs w:val="18"/>
        </w:rPr>
      </w:r>
    </w:p>
    <w:p>
      <w:pPr>
        <w:pStyle w:val="Normal"/>
        <w:ind w:right="-108" w:hanging="0"/>
        <w:jc w:val="both"/>
        <w:rPr/>
      </w:pPr>
      <w:r>
        <w:rPr>
          <w:rFonts w:cs="Arial" w:ascii="Arial" w:hAnsi="Arial"/>
          <w:sz w:val="18"/>
          <w:szCs w:val="18"/>
        </w:rPr>
        <w:t>Les sujets de l’égalité hommes / femmes, ainsi que l’écart de rémunération hommes / femmes, ont été abordés dans le cadre de ces NAO, notamment par le biais de l’analyse des données chiffrées communiquées aux organisations syndicales.</w:t>
      </w:r>
    </w:p>
    <w:p>
      <w:pPr>
        <w:pStyle w:val="Normal"/>
        <w:ind w:right="-108" w:hanging="0"/>
        <w:jc w:val="both"/>
        <w:rPr>
          <w:rFonts w:ascii="Arial" w:hAnsi="Arial" w:cs="Arial"/>
          <w:sz w:val="18"/>
          <w:szCs w:val="18"/>
        </w:rPr>
      </w:pPr>
      <w:r>
        <w:rPr>
          <w:rFonts w:cs="Arial" w:ascii="Arial" w:hAnsi="Arial"/>
          <w:sz w:val="18"/>
          <w:szCs w:val="18"/>
        </w:rPr>
        <w:t>Les parties n’ont pas émis de proposition particulière dans le cadre de ces NAO. La Direction indique qu’elle poursuivra sa politique de maintien et de respect de la parité entre les hommes et les femmes notamment à travers les plans d’action en la matière.</w:t>
      </w:r>
      <w:r>
        <w:rPr/>
        <w:t xml:space="preserve"> </w:t>
      </w:r>
      <w:r>
        <w:rPr>
          <w:rFonts w:cs="Arial" w:ascii="Arial" w:hAnsi="Arial"/>
          <w:sz w:val="18"/>
          <w:szCs w:val="18"/>
        </w:rPr>
        <w:t>La Direction informe qu'une négociation au niveau de la Branche Construction a été lancée afin qu'un nouvel accord relatif à l'égalité professionnelle soit signé.</w:t>
      </w:r>
    </w:p>
    <w:p>
      <w:pPr>
        <w:pStyle w:val="Normal"/>
        <w:ind w:right="-108" w:hanging="0"/>
        <w:jc w:val="both"/>
        <w:rPr>
          <w:rFonts w:ascii="Arial" w:hAnsi="Arial" w:cs="Arial"/>
          <w:sz w:val="18"/>
          <w:szCs w:val="18"/>
        </w:rPr>
      </w:pPr>
      <w:r>
        <w:rPr>
          <w:rFonts w:cs="Arial" w:ascii="Arial" w:hAnsi="Arial"/>
          <w:sz w:val="18"/>
          <w:szCs w:val="18"/>
        </w:rPr>
      </w:r>
    </w:p>
    <w:p>
      <w:pPr>
        <w:pStyle w:val="Normal"/>
        <w:ind w:right="-108" w:hanging="0"/>
        <w:jc w:val="both"/>
        <w:rPr>
          <w:rFonts w:ascii="Arial" w:hAnsi="Arial" w:cs="Arial"/>
          <w:b/>
          <w:b/>
          <w:sz w:val="18"/>
          <w:szCs w:val="18"/>
        </w:rPr>
      </w:pPr>
      <w:r>
        <w:rPr>
          <w:rFonts w:cs="Arial" w:ascii="Arial" w:hAnsi="Arial"/>
          <w:b/>
          <w:sz w:val="18"/>
          <w:szCs w:val="18"/>
        </w:rPr>
        <w:t>B. Discrimination</w:t>
      </w:r>
    </w:p>
    <w:p>
      <w:pPr>
        <w:pStyle w:val="Normal"/>
        <w:ind w:right="-108" w:hanging="0"/>
        <w:jc w:val="both"/>
        <w:rPr>
          <w:rFonts w:ascii="Arial" w:hAnsi="Arial" w:cs="Arial"/>
          <w:b/>
          <w:b/>
          <w:sz w:val="18"/>
          <w:szCs w:val="18"/>
        </w:rPr>
      </w:pPr>
      <w:r>
        <w:rPr>
          <w:rFonts w:cs="Arial" w:ascii="Arial" w:hAnsi="Arial"/>
          <w:b/>
          <w:sz w:val="18"/>
          <w:szCs w:val="18"/>
        </w:rPr>
      </w:r>
    </w:p>
    <w:p>
      <w:pPr>
        <w:pStyle w:val="Normal"/>
        <w:ind w:right="-108" w:hanging="0"/>
        <w:jc w:val="both"/>
        <w:rPr>
          <w:rFonts w:ascii="Arial" w:hAnsi="Arial" w:cs="Arial"/>
          <w:sz w:val="18"/>
          <w:szCs w:val="18"/>
        </w:rPr>
      </w:pPr>
      <w:r>
        <w:rPr>
          <w:rFonts w:cs="Arial" w:ascii="Arial" w:hAnsi="Arial"/>
          <w:sz w:val="18"/>
          <w:szCs w:val="18"/>
        </w:rPr>
        <w:t>Les délégués syndicaux ont étudié les documents remis par l’entreprise.</w:t>
      </w:r>
    </w:p>
    <w:p>
      <w:pPr>
        <w:pStyle w:val="Normal"/>
        <w:ind w:right="-108" w:hanging="0"/>
        <w:jc w:val="both"/>
        <w:rPr/>
      </w:pPr>
      <w:r>
        <w:rPr>
          <w:rFonts w:cs="Arial" w:ascii="Arial" w:hAnsi="Arial"/>
          <w:sz w:val="18"/>
          <w:szCs w:val="18"/>
        </w:rPr>
        <w:t>L’analyse n’a pas fait apparaître de différence de traitement entre les origines, les sexes, les situations de famille, les états de santé, les handicaps, les caractéristiques génétiques, les mœurs, les orientations sexuelles, les identités de genre, les âges, les opinions politiques, les activités syndicales, les appartenances ou non-appartenances, vraie ou supposées, à une ethnie, une nation, une prétendue race ou une religion déterminée, du personnel au sein de l’entreprise. La Direction poursuivra sa politique de maintien et de respect de l’équité entre les collaborateurs de la société, et de non-discrimination en matière de recrutement, d’emploi et d’accès à la formation professionnelle.</w:t>
      </w:r>
    </w:p>
    <w:p>
      <w:pPr>
        <w:pStyle w:val="Normal"/>
        <w:ind w:right="-108" w:hanging="0"/>
        <w:jc w:val="both"/>
        <w:rPr>
          <w:rFonts w:ascii="Arial" w:hAnsi="Arial" w:cs="Arial"/>
          <w:sz w:val="18"/>
          <w:szCs w:val="18"/>
        </w:rPr>
      </w:pPr>
      <w:r>
        <w:rPr>
          <w:rFonts w:cs="Arial" w:ascii="Arial" w:hAnsi="Arial"/>
          <w:sz w:val="18"/>
          <w:szCs w:val="18"/>
        </w:rPr>
      </w:r>
    </w:p>
    <w:p>
      <w:pPr>
        <w:pStyle w:val="Normal"/>
        <w:jc w:val="both"/>
        <w:rPr/>
      </w:pPr>
      <w:r>
        <w:rPr>
          <w:rFonts w:cs="Arial" w:ascii="Arial" w:hAnsi="Arial"/>
          <w:b/>
          <w:sz w:val="18"/>
          <w:szCs w:val="18"/>
        </w:rPr>
        <w:t>C. Travailleurs Handicapés</w:t>
      </w:r>
    </w:p>
    <w:p>
      <w:pPr>
        <w:pStyle w:val="Normal"/>
        <w:jc w:val="both"/>
        <w:rPr>
          <w:rFonts w:ascii="Arial" w:hAnsi="Arial" w:cs="Arial"/>
          <w:b/>
          <w:b/>
          <w:sz w:val="18"/>
          <w:szCs w:val="18"/>
        </w:rPr>
      </w:pPr>
      <w:r>
        <w:rPr>
          <w:rFonts w:cs="Arial" w:ascii="Arial" w:hAnsi="Arial"/>
          <w:b/>
          <w:sz w:val="18"/>
          <w:szCs w:val="18"/>
        </w:rPr>
      </w:r>
    </w:p>
    <w:p>
      <w:pPr>
        <w:pStyle w:val="Normal"/>
        <w:ind w:right="252" w:hanging="0"/>
        <w:jc w:val="both"/>
        <w:rPr/>
      </w:pPr>
      <w:r>
        <w:rPr>
          <w:rFonts w:cs="Arial" w:ascii="Arial" w:hAnsi="Arial"/>
          <w:sz w:val="18"/>
          <w:szCs w:val="18"/>
        </w:rPr>
        <w:t xml:space="preserve">Afin d'améliorer l'embauche et l'intégration des travailleurs handicapés, un accord Handicap a été signé le 24 février 2021 au niveau de la Branche Construction. </w:t>
      </w:r>
    </w:p>
    <w:p>
      <w:pPr>
        <w:pStyle w:val="Normal"/>
        <w:ind w:right="252" w:hanging="0"/>
        <w:jc w:val="both"/>
        <w:rPr>
          <w:rFonts w:ascii="Arial" w:hAnsi="Arial" w:cs="Arial"/>
          <w:sz w:val="18"/>
          <w:szCs w:val="18"/>
        </w:rPr>
      </w:pPr>
      <w:r>
        <w:rPr>
          <w:rFonts w:cs="Arial" w:ascii="Arial" w:hAnsi="Arial"/>
          <w:sz w:val="18"/>
          <w:szCs w:val="18"/>
        </w:rPr>
      </w:r>
    </w:p>
    <w:p>
      <w:pPr>
        <w:pStyle w:val="Normal"/>
        <w:jc w:val="both"/>
        <w:rPr>
          <w:rFonts w:ascii="Arial" w:hAnsi="Arial" w:cs="Arial"/>
          <w:b/>
          <w:b/>
          <w:sz w:val="18"/>
          <w:szCs w:val="18"/>
        </w:rPr>
      </w:pPr>
      <w:r>
        <w:rPr>
          <w:rFonts w:cs="Arial" w:ascii="Arial" w:hAnsi="Arial"/>
          <w:b/>
          <w:sz w:val="18"/>
          <w:szCs w:val="18"/>
        </w:rPr>
        <w:t>D. Risques psychosociaux et Droit à la déconnexion</w:t>
      </w:r>
    </w:p>
    <w:p>
      <w:pPr>
        <w:pStyle w:val="Normal"/>
        <w:jc w:val="both"/>
        <w:rPr>
          <w:rFonts w:ascii="Arial" w:hAnsi="Arial" w:cs="Arial"/>
          <w:b/>
          <w:b/>
          <w:sz w:val="18"/>
          <w:szCs w:val="18"/>
        </w:rPr>
      </w:pPr>
      <w:r>
        <w:rPr>
          <w:rFonts w:cs="Arial" w:ascii="Arial" w:hAnsi="Arial"/>
          <w:b/>
          <w:sz w:val="18"/>
          <w:szCs w:val="18"/>
        </w:rPr>
      </w:r>
    </w:p>
    <w:p>
      <w:pPr>
        <w:pStyle w:val="Normal"/>
        <w:jc w:val="both"/>
        <w:rPr>
          <w:rFonts w:ascii="Arial" w:hAnsi="Arial" w:cs="Arial"/>
          <w:b/>
          <w:b/>
          <w:sz w:val="18"/>
          <w:szCs w:val="18"/>
        </w:rPr>
      </w:pPr>
      <w:r>
        <w:rPr>
          <w:rFonts w:cs="Arial" w:ascii="Arial" w:hAnsi="Arial"/>
          <w:sz w:val="18"/>
          <w:szCs w:val="18"/>
        </w:rPr>
        <w:t>Un accord Groupe relatif à la prévention du stress, des RPS et du droit à la déconnexion a été signé le 14 avril 2021.</w:t>
      </w:r>
    </w:p>
    <w:p>
      <w:pPr>
        <w:pStyle w:val="Normal"/>
        <w:ind w:right="-108" w:hanging="0"/>
        <w:jc w:val="both"/>
        <w:rPr>
          <w:rFonts w:ascii="Arial" w:hAnsi="Arial" w:cs="Arial"/>
          <w:b/>
          <w:b/>
          <w:sz w:val="18"/>
          <w:szCs w:val="18"/>
        </w:rPr>
      </w:pPr>
      <w:r>
        <w:rPr>
          <w:rFonts w:cs="Arial" w:ascii="Arial" w:hAnsi="Arial"/>
          <w:b/>
          <w:sz w:val="18"/>
          <w:szCs w:val="18"/>
        </w:rPr>
      </w:r>
    </w:p>
    <w:p>
      <w:pPr>
        <w:pStyle w:val="Normal"/>
        <w:ind w:right="-108" w:hanging="0"/>
        <w:jc w:val="both"/>
        <w:rPr>
          <w:rFonts w:ascii="Arial" w:hAnsi="Arial" w:cs="Arial"/>
          <w:sz w:val="18"/>
          <w:szCs w:val="18"/>
        </w:rPr>
      </w:pPr>
      <w:r>
        <w:rPr>
          <w:rFonts w:cs="Arial" w:ascii="Arial" w:hAnsi="Arial"/>
          <w:sz w:val="18"/>
          <w:szCs w:val="18"/>
        </w:rPr>
      </w:r>
    </w:p>
    <w:p>
      <w:pPr>
        <w:pStyle w:val="Normal"/>
        <w:jc w:val="both"/>
        <w:rPr>
          <w:rFonts w:ascii="Arial" w:hAnsi="Arial" w:cs="Arial"/>
          <w:sz w:val="18"/>
          <w:szCs w:val="18"/>
        </w:rPr>
      </w:pPr>
      <w:r>
        <w:rPr>
          <w:rFonts w:cs="Arial" w:ascii="Arial" w:hAnsi="Arial"/>
          <w:b/>
          <w:color w:val="0070C0"/>
          <w:sz w:val="18"/>
          <w:szCs w:val="18"/>
          <w:u w:val="single"/>
        </w:rPr>
        <w:t>III/ Dépôt et publicité</w:t>
      </w:r>
    </w:p>
    <w:p>
      <w:pPr>
        <w:pStyle w:val="Style11"/>
        <w:spacing w:lineRule="auto" w:line="240"/>
        <w:rPr>
          <w:rFonts w:ascii="Arial" w:hAnsi="Arial" w:cs="Arial"/>
          <w:bCs/>
          <w:sz w:val="18"/>
          <w:szCs w:val="18"/>
        </w:rPr>
      </w:pPr>
      <w:r>
        <w:rPr>
          <w:rFonts w:cs="Arial" w:ascii="Arial" w:hAnsi="Arial"/>
          <w:bCs/>
          <w:sz w:val="18"/>
          <w:szCs w:val="18"/>
        </w:rPr>
      </w:r>
    </w:p>
    <w:p>
      <w:pPr>
        <w:pStyle w:val="Normal"/>
        <w:tabs>
          <w:tab w:val="left" w:pos="8647" w:leader="none"/>
        </w:tabs>
        <w:ind w:right="565" w:hanging="0"/>
        <w:jc w:val="both"/>
        <w:rPr/>
      </w:pPr>
      <w:r>
        <w:rPr>
          <w:rFonts w:cs="Arial" w:ascii="Arial" w:hAnsi="Arial"/>
          <w:sz w:val="18"/>
          <w:szCs w:val="18"/>
        </w:rPr>
        <w:t>Le présent procès-verbal d’accord donnera lieu à dépôt dans les conditions prévues aux articles L. 2231-6, D. 2231-2 et D. 2231-4 à D. 2231-8 du code du travail, à savoir dépôt en 2 exemplaires dont un sous forme électronique, à la DREETS et un exemplaire au secrétariat greffe du conseil de Prud’hommes. Un exemplaire sera remis aux organisations syndicales représentatives.</w:t>
      </w:r>
    </w:p>
    <w:p>
      <w:pPr>
        <w:pStyle w:val="Style11"/>
        <w:spacing w:lineRule="auto" w:line="240"/>
        <w:rPr>
          <w:rFonts w:ascii="Arial" w:hAnsi="Arial" w:cs="Arial"/>
          <w:bCs/>
          <w:sz w:val="18"/>
          <w:szCs w:val="18"/>
        </w:rPr>
      </w:pPr>
      <w:r>
        <w:rPr>
          <w:rFonts w:cs="Arial" w:ascii="Arial" w:hAnsi="Arial"/>
          <w:bCs/>
          <w:sz w:val="18"/>
          <w:szCs w:val="18"/>
        </w:rPr>
      </w:r>
    </w:p>
    <w:p>
      <w:pPr>
        <w:pStyle w:val="Style11"/>
        <w:spacing w:lineRule="auto" w:line="240"/>
        <w:rPr>
          <w:rFonts w:ascii="Arial" w:hAnsi="Arial" w:cs="Arial"/>
          <w:bCs/>
          <w:sz w:val="18"/>
          <w:szCs w:val="18"/>
        </w:rPr>
      </w:pPr>
      <w:r>
        <w:rPr>
          <w:rFonts w:cs="Arial" w:ascii="Arial" w:hAnsi="Arial"/>
          <w:bCs/>
          <w:sz w:val="18"/>
          <w:szCs w:val="18"/>
        </w:rPr>
        <w:t>Fait en 5 exemplaires, à Puteaux, le 15 mars 2023.</w:t>
      </w:r>
    </w:p>
    <w:p>
      <w:pPr>
        <w:pStyle w:val="Normal"/>
        <w:rPr>
          <w:rFonts w:ascii="Arial" w:hAnsi="Arial" w:cs="Arial"/>
          <w:bCs/>
          <w:sz w:val="18"/>
          <w:szCs w:val="18"/>
          <w:highlight w:val="yellow"/>
        </w:rPr>
      </w:pPr>
      <w:r>
        <w:rPr>
          <w:rFonts w:cs="Arial" w:ascii="Arial" w:hAnsi="Arial"/>
          <w:bCs/>
          <w:sz w:val="18"/>
          <w:szCs w:val="18"/>
          <w:highlight w:val="yellow"/>
        </w:rPr>
      </w:r>
    </w:p>
    <w:p>
      <w:pPr>
        <w:pStyle w:val="Style11"/>
        <w:jc w:val="left"/>
        <w:rPr/>
      </w:pPr>
      <w:r>
        <w:rPr>
          <w:rFonts w:cs="Arial" w:ascii="Arial" w:hAnsi="Arial"/>
          <w:bCs/>
          <w:sz w:val="18"/>
          <w:szCs w:val="20"/>
        </w:rPr>
        <w:t>Pour la Direction</w:t>
        <w:tab/>
        <w:tab/>
        <w:tab/>
        <w:tab/>
        <w:tab/>
        <w:tab/>
        <w:tab/>
        <w:t xml:space="preserve">Pour la CFTC                                                            </w:t>
      </w:r>
    </w:p>
    <w:p>
      <w:pPr>
        <w:pStyle w:val="Style11"/>
        <w:rPr>
          <w:rFonts w:ascii="Arial" w:hAnsi="Arial" w:cs="Arial"/>
          <w:bCs/>
          <w:sz w:val="18"/>
          <w:szCs w:val="20"/>
        </w:rPr>
      </w:pPr>
      <w:r>
        <w:rPr>
          <w:rFonts w:cs="Arial" w:ascii="Arial" w:hAnsi="Arial"/>
          <w:bCs/>
          <w:sz w:val="18"/>
          <w:szCs w:val="20"/>
        </w:rPr>
      </w:r>
    </w:p>
    <w:p>
      <w:pPr>
        <w:pStyle w:val="Style11"/>
        <w:rPr>
          <w:rFonts w:ascii="Arial" w:hAnsi="Arial" w:cs="Arial"/>
          <w:bCs/>
          <w:sz w:val="18"/>
          <w:szCs w:val="20"/>
        </w:rPr>
      </w:pPr>
      <w:r>
        <w:rPr>
          <w:rFonts w:cs="Arial" w:ascii="Arial" w:hAnsi="Arial"/>
          <w:bCs/>
          <w:sz w:val="18"/>
          <w:szCs w:val="20"/>
        </w:rPr>
      </w:r>
    </w:p>
    <w:p>
      <w:pPr>
        <w:pStyle w:val="Style11"/>
        <w:rPr>
          <w:rFonts w:ascii="Arial" w:hAnsi="Arial" w:cs="Arial"/>
          <w:bCs/>
          <w:sz w:val="18"/>
          <w:szCs w:val="20"/>
        </w:rPr>
      </w:pPr>
      <w:r>
        <w:rPr>
          <w:rFonts w:cs="Arial" w:ascii="Arial" w:hAnsi="Arial"/>
          <w:bCs/>
          <w:sz w:val="18"/>
          <w:szCs w:val="20"/>
        </w:rPr>
      </w:r>
    </w:p>
    <w:p>
      <w:pPr>
        <w:pStyle w:val="Style11"/>
        <w:ind w:left="5672" w:hanging="0"/>
        <w:rPr>
          <w:rFonts w:ascii="Arial" w:hAnsi="Arial" w:cs="Arial"/>
          <w:bCs/>
          <w:sz w:val="18"/>
          <w:szCs w:val="20"/>
        </w:rPr>
      </w:pPr>
      <w:r>
        <w:rPr>
          <w:rFonts w:cs="Arial" w:ascii="Arial" w:hAnsi="Arial"/>
          <w:bCs/>
          <w:sz w:val="18"/>
          <w:szCs w:val="20"/>
        </w:rPr>
        <w:t>Pour la CGT</w:t>
        <w:tab/>
        <w:tab/>
      </w:r>
    </w:p>
    <w:p>
      <w:pPr>
        <w:pStyle w:val="Style11"/>
        <w:ind w:left="5672" w:hanging="0"/>
        <w:rPr>
          <w:rFonts w:ascii="Arial" w:hAnsi="Arial" w:cs="Arial"/>
          <w:bCs/>
          <w:sz w:val="18"/>
          <w:szCs w:val="20"/>
        </w:rPr>
      </w:pPr>
      <w:r>
        <w:rPr>
          <w:rFonts w:cs="Arial" w:ascii="Arial" w:hAnsi="Arial"/>
          <w:bCs/>
          <w:sz w:val="18"/>
          <w:szCs w:val="20"/>
        </w:rPr>
        <w:tab/>
        <w:tab/>
        <w:tab/>
        <w:tab/>
        <w:tab/>
        <w:tab/>
      </w:r>
    </w:p>
    <w:p>
      <w:pPr>
        <w:pStyle w:val="Normal"/>
        <w:tabs>
          <w:tab w:val="left" w:pos="3120" w:leader="none"/>
        </w:tabs>
        <w:rPr>
          <w:vanish/>
        </w:rPr>
      </w:pPr>
      <w:bookmarkStart w:id="0" w:name="_PictureBullets"/>
      <w:bookmarkStart w:id="1" w:name="_PictureBullets"/>
      <w:bookmarkEnd w:id="1"/>
      <w:r>
        <w:rPr>
          <w:vanish/>
        </w:rPr>
      </w:r>
    </w:p>
    <w:sectPr>
      <w:headerReference w:type="default" r:id="rId2"/>
      <w:footerReference w:type="default" r:id="rId3"/>
      <w:type w:val="nextPage"/>
      <w:pgSz w:w="11906" w:h="16838"/>
      <w:pgMar w:left="1418" w:right="1274" w:header="720" w:top="1985" w:footer="72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Verdana">
    <w:charset w:val="00"/>
    <w:family w:val="swiss"/>
    <w:pitch w:val="variable"/>
  </w:font>
  <w:font w:name="Monotype Sorts">
    <w:altName w:val="Times New Roman"/>
    <w:charset w:val="00"/>
    <w:family w:val="roman"/>
    <w:pitch w:val="default"/>
  </w:font>
  <w:font w:name="Frutiger">
    <w:altName w:val="Microsoft YaHei"/>
    <w:charset w:val="00"/>
    <w:family w:val="swiss"/>
    <w:pitch w:val="variable"/>
  </w:font>
  <w:font w:name="Liberation Sans">
    <w:altName w:val="Arial"/>
    <w:charset w:val="01"/>
    <w:family w:val="swiss"/>
    <w:pitch w:val="variable"/>
  </w:font>
  <w:font w:name="Minion">
    <w:altName w:val="Sitka Small"/>
    <w:charset w:val="00"/>
    <w:family w:val="roman"/>
    <w:pitch w:val="variable"/>
  </w:font>
  <w:font w:name="Arial Narrow">
    <w:charset w:val="00"/>
    <w:family w:val="swiss"/>
    <w:pitch w:val="variable"/>
  </w:font>
  <w:font w:name="Tahoma">
    <w:charset w:val="00"/>
    <w:family w:val="swiss"/>
    <w:pitch w:val="variable"/>
  </w:font>
  <w:font w:name="Courier">
    <w:altName w:val="Courier New"/>
    <w:charset w:val="00"/>
    <w:family w:val="moder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r>
  </w:p>
  <w:tbl>
    <w:tblPr>
      <w:tblW w:w="10084" w:type="dxa"/>
      <w:jc w:val="center"/>
      <w:tblInd w:w="0" w:type="dxa"/>
      <w:tblBorders>
        <w:top w:val="single" w:sz="4" w:space="0" w:color="000000"/>
      </w:tblBorders>
      <w:tblCellMar>
        <w:top w:w="0" w:type="dxa"/>
        <w:left w:w="70" w:type="dxa"/>
        <w:bottom w:w="0" w:type="dxa"/>
        <w:right w:w="70" w:type="dxa"/>
      </w:tblCellMar>
    </w:tblPr>
    <w:tblGrid>
      <w:gridCol w:w="8560"/>
      <w:gridCol w:w="1524"/>
    </w:tblGrid>
    <w:tr>
      <w:trPr/>
      <w:tc>
        <w:tcPr>
          <w:tcW w:w="8560" w:type="dxa"/>
          <w:tcBorders>
            <w:top w:val="single" w:sz="4" w:space="0" w:color="000000"/>
          </w:tcBorders>
          <w:shd w:fill="auto" w:val="clear"/>
        </w:tcPr>
        <w:p>
          <w:pPr>
            <w:pStyle w:val="Footer"/>
            <w:tabs>
              <w:tab w:val="center" w:pos="4536" w:leader="none"/>
              <w:tab w:val="right" w:pos="7944" w:leader="none"/>
            </w:tabs>
            <w:jc w:val="center"/>
            <w:rPr>
              <w:rFonts w:ascii="Arial" w:hAnsi="Arial" w:cs="Arial"/>
              <w:sz w:val="18"/>
            </w:rPr>
          </w:pPr>
          <w:r>
            <w:rPr>
              <w:rFonts w:cs="Arial" w:ascii="Arial" w:hAnsi="Arial"/>
              <w:sz w:val="18"/>
            </w:rPr>
            <w:t>Procès-Verbal d’accord Pradeau Morin Rénovation – NAO 2023</w:t>
          </w:r>
        </w:p>
        <w:p>
          <w:pPr>
            <w:pStyle w:val="Footer"/>
            <w:jc w:val="both"/>
            <w:rPr>
              <w:rFonts w:ascii="Minion;Sitka Small" w:hAnsi="Minion;Sitka Small" w:cs="Minion;Sitka Small"/>
              <w:sz w:val="16"/>
            </w:rPr>
          </w:pPr>
          <w:r>
            <w:rPr>
              <w:rFonts w:cs="Minion;Sitka Small" w:ascii="Minion;Sitka Small" w:hAnsi="Minion;Sitka Small"/>
              <w:sz w:val="16"/>
            </w:rPr>
          </w:r>
        </w:p>
      </w:tc>
      <w:tc>
        <w:tcPr>
          <w:tcW w:w="1524" w:type="dxa"/>
          <w:tcBorders>
            <w:top w:val="single" w:sz="4" w:space="0" w:color="000000"/>
          </w:tcBorders>
          <w:shd w:fill="auto" w:val="clear"/>
          <w:vAlign w:val="bottom"/>
        </w:tcPr>
        <w:p>
          <w:pPr>
            <w:pStyle w:val="Normal"/>
            <w:jc w:val="right"/>
            <w:rPr>
              <w:rFonts w:ascii="Arial" w:hAnsi="Arial" w:cs="Arial"/>
              <w:sz w:val="18"/>
              <w:szCs w:val="18"/>
            </w:rPr>
          </w:pPr>
          <w:r>
            <w:rPr>
              <w:rFonts w:cs="Arial" w:ascii="Arial" w:hAnsi="Arial"/>
              <w:sz w:val="18"/>
              <w:szCs w:val="18"/>
            </w:rPr>
            <w:t xml:space="preserve">Page </w:t>
          </w:r>
          <w:r>
            <w:rPr>
              <w:rStyle w:val="PageNumber"/>
              <w:rFonts w:cs="Arial" w:ascii="Arial" w:hAnsi="Arial"/>
              <w:sz w:val="18"/>
              <w:szCs w:val="18"/>
            </w:rPr>
            <w:fldChar w:fldCharType="begin"/>
          </w:r>
          <w:r>
            <w:instrText> PAGE </w:instrText>
          </w:r>
          <w:r>
            <w:fldChar w:fldCharType="separate"/>
          </w:r>
          <w:r>
            <w:t>3</w:t>
          </w:r>
          <w:r>
            <w:fldChar w:fldCharType="end"/>
          </w:r>
          <w:r>
            <w:rPr>
              <w:rFonts w:cs="Arial" w:ascii="Arial" w:hAnsi="Arial"/>
              <w:sz w:val="18"/>
              <w:szCs w:val="18"/>
            </w:rPr>
            <w:t>/</w:t>
          </w:r>
          <w:r>
            <w:rPr>
              <w:rStyle w:val="PageNumber"/>
              <w:rFonts w:cs="Arial" w:ascii="Arial" w:hAnsi="Arial"/>
              <w:sz w:val="18"/>
              <w:szCs w:val="18"/>
            </w:rPr>
            <w:fldChar w:fldCharType="begin"/>
          </w:r>
          <w:r>
            <w:instrText> NUMPAGES \* ARABIC </w:instrText>
          </w:r>
          <w:r>
            <w:fldChar w:fldCharType="separate"/>
          </w:r>
          <w:r>
            <w:t>3</w:t>
          </w:r>
          <w: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pPr>
    <w:r>
      <w:rPr/>
      <w:tab/>
      <w:tab/>
    </w:r>
  </w:p>
  <w:p>
    <w:pPr>
      <w:pStyle w:val="Header"/>
      <w:rPr/>
    </w:pPr>
    <w:r>
      <w:rPr/>
      <w:drawing>
        <wp:inline distT="0" distB="0" distL="0" distR="0">
          <wp:extent cx="2097405" cy="4000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6" t="-33" r="-6" b="-33"/>
                  <a:stretch>
                    <a:fillRect/>
                  </a:stretch>
                </pic:blipFill>
                <pic:spPr bwMode="auto">
                  <a:xfrm>
                    <a:off x="0" y="0"/>
                    <a:ext cx="2097405" cy="400050"/>
                  </a:xfrm>
                  <a:prstGeom prst="rect">
                    <a:avLst/>
                  </a:prstGeom>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decimal"/>
      <w:lvlText w:val="%3"/>
      <w:lvlJc w:val="left"/>
      <w:pPr>
        <w:tabs>
          <w:tab w:val="num" w:pos="720"/>
        </w:tabs>
        <w:ind w:left="720" w:hanging="720"/>
      </w:pPr>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o"/>
      <w:lvlJc w:val="left"/>
      <w:pPr>
        <w:ind w:left="1069" w:hanging="360"/>
      </w:pPr>
      <w:rPr>
        <w:rFonts w:ascii="Courier New" w:hAnsi="Courier New" w:cs="Courier New" w:hint="default"/>
        <w:sz w:val="18"/>
        <w:szCs w:val="18"/>
        <w:rFonts w:cs="Courier New"/>
      </w:rPr>
    </w:lvl>
  </w:abstractNum>
  <w:abstractNum w:abstractNumId="3">
    <w:lvl w:ilvl="0">
      <w:start w:val="1"/>
      <w:numFmt w:val="bullet"/>
      <w:lvlText w:val=""/>
      <w:lvlJc w:val="left"/>
      <w:pPr>
        <w:ind w:left="720" w:hanging="360"/>
      </w:pPr>
      <w:rPr>
        <w:rFonts w:ascii="Wingdings" w:hAnsi="Wingdings" w:cs="Wingdings" w:hint="default"/>
        <w:rFonts w:cs="Wingdings"/>
      </w:rPr>
    </w:lvl>
  </w:abstractNum>
  <w:abstractNum w:abstractNumId="4">
    <w:lvl w:ilvl="0">
      <w:numFmt w:val="bullet"/>
      <w:lvlText w:val="-"/>
      <w:lvlJc w:val="left"/>
      <w:pPr>
        <w:ind w:left="720" w:hanging="360"/>
      </w:pPr>
      <w:rPr>
        <w:rFonts w:ascii="Verdana" w:hAnsi="Verdana" w:cs="Verdana" w:hint="default"/>
        <w:rFonts w:cs="Times New Roman"/>
      </w:rPr>
    </w:lvl>
  </w:abstractNum>
  <w:abstractNum w:abstractNumId="5">
    <w:lvl w:ilvl="0">
      <w:start w:val="1"/>
      <w:numFmt w:val="bullet"/>
      <w:lvlText w:val=""/>
      <w:lvlJc w:val="left"/>
      <w:pPr>
        <w:ind w:left="720" w:hanging="360"/>
      </w:pPr>
      <w:rPr>
        <w:rFonts w:ascii="Wingdings" w:hAnsi="Wingdings" w:cs="Wingdings" w:hint="default"/>
        <w:rFonts w:cs="Wingdings"/>
      </w:rPr>
    </w:lvl>
  </w:abstractNum>
  <w:abstractNum w:abstractNumId="6">
    <w:lvl w:ilvl="0">
      <w:start w:val="1"/>
      <w:numFmt w:val="bullet"/>
      <w:lvlText w:val=""/>
      <w:lvlPicBulletId w:val="0"/>
      <w:lvlJc w:val="left"/>
      <w:pPr>
        <w:tabs>
          <w:tab w:val="num" w:pos="720"/>
        </w:tabs>
        <w:ind w:left="720" w:hanging="360"/>
      </w:pPr>
      <w:rPr>
        <w:rFonts w:ascii="Symbol" w:hAnsi="Symbol" w:cs="Symbol" w:hint="default"/>
        <w:rFonts w:cs="Symbol"/>
      </w:rPr>
    </w:lvl>
    <w:lvl w:ilvl="1">
      <w:start w:val="1"/>
      <w:numFmt w:val="bullet"/>
      <w:lvlText w:val=""/>
      <w:lvlJc w:val="left"/>
      <w:pPr>
        <w:tabs>
          <w:tab w:val="num" w:pos="786"/>
        </w:tabs>
        <w:ind w:left="786" w:hanging="360"/>
      </w:pPr>
      <w:rPr>
        <w:rFonts w:ascii="Wingdings" w:hAnsi="Wingdings" w:cs="Wingdings" w:hint="default"/>
        <w:sz w:val="18"/>
        <w:szCs w:val="18"/>
        <w:rFonts w:cs="Wingdings"/>
      </w:rPr>
    </w:lvl>
    <w:lvl w:ilvl="2">
      <w:start w:val="1"/>
      <w:numFmt w:val="bullet"/>
      <w:lvlText w:val=""/>
      <w:lvlJc w:val="left"/>
      <w:pPr>
        <w:tabs>
          <w:tab w:val="num" w:pos="2160"/>
        </w:tabs>
        <w:ind w:left="2160" w:hanging="360"/>
      </w:pPr>
      <w:rPr>
        <w:rFonts w:ascii="Wingdings" w:hAnsi="Wingdings" w:cs="Wingdings" w:hint="default"/>
        <w:sz w:val="18"/>
        <w:szCs w:val="18"/>
        <w:rFonts w:cs="Wingdings"/>
      </w:rPr>
    </w:lvl>
    <w:lvl w:ilvl="3">
      <w:start w:val="1"/>
      <w:numFmt w:val="bullet"/>
      <w:lvlText w:val=""/>
      <w:lvlPicBulletId w:val="0"/>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sz w:val="18"/>
        <w:szCs w:val="18"/>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sz w:val="18"/>
        <w:szCs w:val="18"/>
        <w:rFonts w:cs="Wingdings"/>
      </w:rPr>
    </w:lvl>
  </w:abstractNum>
  <w:abstractNum w:abstractNumId="7">
    <w:lvl w:ilvl="0">
      <w:start w:val="4"/>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fr-FR" w:bidi="ar-SA" w:eastAsia="zh-CN"/>
    </w:rPr>
  </w:style>
  <w:style w:type="paragraph" w:styleId="Heading1">
    <w:name w:val="Heading 1"/>
    <w:basedOn w:val="Normal"/>
    <w:next w:val="Normal"/>
    <w:qFormat/>
    <w:pPr>
      <w:keepNext w:val="true"/>
      <w:spacing w:before="240" w:after="60"/>
      <w:outlineLvl w:val="0"/>
    </w:pPr>
    <w:rPr>
      <w:rFonts w:ascii="Arial" w:hAnsi="Arial" w:cs="Arial"/>
      <w:b/>
      <w:sz w:val="28"/>
    </w:rPr>
  </w:style>
  <w:style w:type="paragraph" w:styleId="Heading2">
    <w:name w:val="Heading 2"/>
    <w:basedOn w:val="Normal"/>
    <w:next w:val="Normal"/>
    <w:qFormat/>
    <w:pPr>
      <w:keepNext w:val="true"/>
      <w:jc w:val="center"/>
      <w:outlineLvl w:val="1"/>
    </w:pPr>
    <w:rPr>
      <w:b/>
      <w:sz w:val="36"/>
    </w:rPr>
  </w:style>
  <w:style w:type="paragraph" w:styleId="Heading3">
    <w:name w:val="Heading 3"/>
    <w:basedOn w:val="Normal"/>
    <w:next w:val="Normal"/>
    <w:qFormat/>
    <w:pPr>
      <w:keepNext w:val="true"/>
      <w:numPr>
        <w:ilvl w:val="2"/>
        <w:numId w:val="1"/>
      </w:numPr>
      <w:spacing w:before="0" w:after="120"/>
      <w:outlineLvl w:val="2"/>
    </w:pPr>
    <w:rPr>
      <w:rFonts w:ascii="Arial" w:hAnsi="Arial" w:cs="Arial"/>
      <w:sz w:val="22"/>
    </w:rPr>
  </w:style>
  <w:style w:type="paragraph" w:styleId="Heading4">
    <w:name w:val="Heading 4"/>
    <w:basedOn w:val="Normal"/>
    <w:next w:val="Normal"/>
    <w:qFormat/>
    <w:pPr>
      <w:keepNext w:val="true"/>
      <w:outlineLvl w:val="3"/>
    </w:pPr>
    <w:rPr>
      <w:sz w:val="24"/>
    </w:rPr>
  </w:style>
  <w:style w:type="paragraph" w:styleId="Heading5">
    <w:name w:val="Heading 5"/>
    <w:basedOn w:val="Normal"/>
    <w:next w:val="Normal"/>
    <w:qFormat/>
    <w:pPr>
      <w:keepNext w:val="true"/>
      <w:outlineLvl w:val="4"/>
    </w:pPr>
    <w:rPr>
      <w:b/>
      <w:sz w:val="24"/>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rFonts w:ascii="Courier New" w:hAnsi="Courier New" w:cs="Courier New"/>
      <w:sz w:val="18"/>
      <w:szCs w:val="18"/>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Wingdings" w:hAnsi="Wingdings" w:cs="Wingdings"/>
    </w:rPr>
  </w:style>
  <w:style w:type="character" w:styleId="WW8Num4z4">
    <w:name w:val="WW8Num4z4"/>
    <w:qFormat/>
    <w:rPr>
      <w:rFonts w:ascii="Courier New" w:hAnsi="Courier New" w:cs="Courier New"/>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Wingdings" w:hAnsi="Wingdings" w:cs="Wingdings"/>
    </w:rPr>
  </w:style>
  <w:style w:type="character" w:styleId="WW8Num6z4">
    <w:name w:val="WW8Num6z4"/>
    <w:qFormat/>
    <w:rPr>
      <w:rFonts w:ascii="Courier New" w:hAnsi="Courier New" w:cs="Courier New"/>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Wingdings" w:hAnsi="Wingdings" w:cs="Wingdings"/>
    </w:rPr>
  </w:style>
  <w:style w:type="character" w:styleId="WW8Num9z4">
    <w:name w:val="WW8Num9z4"/>
    <w:qFormat/>
    <w:rPr>
      <w:rFonts w:ascii="Courier New" w:hAnsi="Courier New" w:cs="Courier New"/>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Verdana" w:hAnsi="Verdana"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Arial" w:hAnsi="Arial" w:eastAsia="Times New Roman" w:cs="Aria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Arial" w:hAnsi="Arial" w:eastAsia="Times New Roman" w:cs="Aria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Wingdings" w:hAnsi="Wingdings" w:cs="Wingdings"/>
      <w:sz w:val="18"/>
      <w:szCs w:val="18"/>
    </w:rPr>
  </w:style>
  <w:style w:type="character" w:styleId="WW8Num19z4">
    <w:name w:val="WW8Num19z4"/>
    <w:qFormat/>
    <w:rPr>
      <w:rFonts w:ascii="Courier New" w:hAnsi="Courier New" w:cs="Courier New"/>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Monotype Sorts;Times New Roman" w:hAnsi="Monotype Sorts;Times New Roman" w:cs="Monotype Sorts;Times New Roman"/>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Frutiger;Microsoft YaHei" w:hAnsi="Frutiger;Microsoft YaHei" w:eastAsia="Times New Roman" w:cs="Aria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St11z0">
    <w:name w:val="WW8NumSt11z0"/>
    <w:qFormat/>
    <w:rPr>
      <w:rFonts w:ascii="Monotype Sorts;Times New Roman" w:hAnsi="Monotype Sorts;Times New Roman" w:cs="Monotype Sorts;Times New Roman"/>
      <w:sz w:val="24"/>
    </w:rPr>
  </w:style>
  <w:style w:type="character" w:styleId="Policepardfaut">
    <w:name w:val="Police par défaut"/>
    <w:qFormat/>
    <w:rPr/>
  </w:style>
  <w:style w:type="character" w:styleId="PageNumber">
    <w:name w:val="Page Number"/>
    <w:basedOn w:val="Policepardfaut"/>
    <w:rPr/>
  </w:style>
  <w:style w:type="character" w:styleId="EntteCar">
    <w:name w:val="En-tête Car"/>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b/>
      <w:sz w:val="24"/>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3">
    <w:name w:val="TOC 3"/>
    <w:basedOn w:val="Normal"/>
    <w:next w:val="Normal"/>
    <w:pPr>
      <w:tabs>
        <w:tab w:val="right" w:pos="9061" w:leader="dot"/>
      </w:tabs>
      <w:ind w:left="403" w:hanging="0"/>
    </w:pPr>
    <w:rPr>
      <w:smallCaps/>
    </w:rPr>
  </w:style>
  <w:style w:type="paragraph" w:styleId="Contents2">
    <w:name w:val="TOC 2"/>
    <w:basedOn w:val="Normal"/>
    <w:next w:val="Normal"/>
    <w:pPr>
      <w:spacing w:before="240" w:after="240"/>
      <w:ind w:left="198" w:hanging="0"/>
    </w:pPr>
    <w:rPr>
      <w:caps/>
      <w:lang w:val="en-GB" w:eastAsia="en-GB"/>
    </w:rPr>
  </w:style>
  <w:style w:type="paragraph" w:styleId="Header">
    <w:name w:val="Header"/>
    <w:basedOn w:val="Normal"/>
    <w:pPr>
      <w:tabs>
        <w:tab w:val="center" w:pos="4536" w:leader="none"/>
        <w:tab w:val="right" w:pos="9072" w:leader="none"/>
      </w:tabs>
    </w:pPr>
    <w:rPr/>
  </w:style>
  <w:style w:type="paragraph" w:styleId="TITRE2B">
    <w:name w:val="TITRE2 B"/>
    <w:basedOn w:val="Heading1"/>
    <w:qFormat/>
    <w:pPr>
      <w:numPr>
        <w:ilvl w:val="0"/>
        <w:numId w:val="7"/>
      </w:numPr>
    </w:pPr>
    <w:rPr>
      <w:b w:val="false"/>
      <w:i/>
      <w:sz w:val="22"/>
    </w:rPr>
  </w:style>
  <w:style w:type="paragraph" w:styleId="Footer">
    <w:name w:val="Footer"/>
    <w:basedOn w:val="Normal"/>
    <w:pPr>
      <w:tabs>
        <w:tab w:val="center" w:pos="4536" w:leader="none"/>
        <w:tab w:val="right" w:pos="9072" w:leader="none"/>
      </w:tabs>
    </w:pPr>
    <w:rPr/>
  </w:style>
  <w:style w:type="paragraph" w:styleId="Corpsdetexte2">
    <w:name w:val="Corps de texte 2"/>
    <w:basedOn w:val="Normal"/>
    <w:qFormat/>
    <w:pPr>
      <w:pBdr>
        <w:top w:val="double" w:sz="4" w:space="4" w:color="000000" w:shadow="1"/>
        <w:left w:val="double" w:sz="4" w:space="4" w:color="000000" w:shadow="1"/>
        <w:bottom w:val="double" w:sz="4" w:space="4" w:color="000000" w:shadow="1"/>
        <w:right w:val="double" w:sz="4" w:space="4" w:color="000000" w:shadow="1"/>
      </w:pBdr>
    </w:pPr>
    <w:rPr>
      <w:b/>
      <w:smallCaps/>
      <w:sz w:val="40"/>
    </w:rPr>
  </w:style>
  <w:style w:type="paragraph" w:styleId="Retraitcorpsdetexte2">
    <w:name w:val="Retrait corps de texte 2"/>
    <w:basedOn w:val="Normal"/>
    <w:qFormat/>
    <w:pPr>
      <w:ind w:left="2832" w:hanging="2832"/>
      <w:jc w:val="both"/>
    </w:pPr>
    <w:rPr>
      <w:rFonts w:ascii="Minion;Sitka Small" w:hAnsi="Minion;Sitka Small" w:cs="Minion;Sitka Small"/>
      <w:sz w:val="24"/>
      <w:szCs w:val="24"/>
    </w:rPr>
  </w:style>
  <w:style w:type="paragraph" w:styleId="Corpsdetexte3">
    <w:name w:val="Corps de texte 3"/>
    <w:basedOn w:val="Normal"/>
    <w:qFormat/>
    <w:pPr>
      <w:tabs>
        <w:tab w:val="left" w:pos="8280" w:leader="none"/>
      </w:tabs>
      <w:jc w:val="both"/>
    </w:pPr>
    <w:rPr>
      <w:rFonts w:ascii="Arial Narrow" w:hAnsi="Arial Narrow" w:cs="Arial Narrow"/>
      <w:sz w:val="24"/>
    </w:rPr>
  </w:style>
  <w:style w:type="paragraph" w:styleId="Textebrut">
    <w:name w:val="Texte brut"/>
    <w:basedOn w:val="Normal"/>
    <w:qFormat/>
    <w:pPr/>
    <w:rPr>
      <w:rFonts w:ascii="Courier New" w:hAnsi="Courier New" w:cs="Courier New"/>
    </w:rPr>
  </w:style>
  <w:style w:type="paragraph" w:styleId="Textedebulles">
    <w:name w:val="Texte de bulles"/>
    <w:basedOn w:val="Normal"/>
    <w:qFormat/>
    <w:pPr/>
    <w:rPr>
      <w:rFonts w:ascii="Tahoma" w:hAnsi="Tahoma" w:cs="Tahoma"/>
      <w:sz w:val="16"/>
      <w:szCs w:val="16"/>
    </w:rPr>
  </w:style>
  <w:style w:type="paragraph" w:styleId="Style11">
    <w:name w:val="Style1"/>
    <w:basedOn w:val="Normal"/>
    <w:qFormat/>
    <w:pPr>
      <w:spacing w:lineRule="exact" w:line="360"/>
      <w:jc w:val="both"/>
    </w:pPr>
    <w:rPr>
      <w:rFonts w:ascii="Courier" w:hAnsi="Courier" w:cs="Courier"/>
      <w:sz w:val="24"/>
      <w:szCs w:val="24"/>
    </w:rPr>
  </w:style>
  <w:style w:type="paragraph" w:styleId="Commentaire">
    <w:name w:val="Commentaire"/>
    <w:basedOn w:val="Normal"/>
    <w:qFormat/>
    <w:pPr/>
    <w:rPr/>
  </w:style>
  <w:style w:type="paragraph" w:styleId="Paragraphedeliste">
    <w:name w:val="Paragraphe de liste"/>
    <w:basedOn w:val="Normal"/>
    <w:qFormat/>
    <w:pPr>
      <w:ind w:left="708"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numbering.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2023-03-28T14:44:00Z</dcterms:created>
  <dc:creator/>
  <dc:description/>
  <dc:language>en-GB</dc:language>
  <cp:lastModifiedBy/>
  <cp:lastPrinted>2023-03-15T08:34:00Z</cp:lastPrinted>
  <dcterms:modified xsi:type="dcterms:W3CDTF">2023-03-28T14:45:00Z</dcterms:modified>
  <cp:revision>3</cp:revision>
  <dc:subject/>
  <dc:title>ACCORD D’ENTREPRISE PORTANT DEFINITION DE  L’ETABLISSEMENT DISTINCT DES INSTITUTIONS DELEGUES DU PERSONNEL, COMITE D’ETABLISSEMENT ET COMPOSITION DU COMITE CENTRAL D’ENTREPRISE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0x010100A12DD562787A6D4A9D1A968CB6E0515F</vt:lpwstr>
  </property>
  <property fmtid="{D5CDD505-2E9C-101B-9397-08002B2CF9AE}" pid="3" name="_activity">
    <vt:lpwstr/>
  </property>
</Properties>
</file>