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0F08BBA" w14:textId="77777777" w:rsidR="00BF2AAC" w:rsidRDefault="00125AB0">
      <w:pPr>
        <w:rPr>
          <w:sz w:val="24"/>
        </w:rPr>
      </w:pPr>
      <w:r>
        <w:rPr>
          <w:noProof/>
          <w:sz w:val="24"/>
        </w:rPr>
        <w:drawing>
          <wp:inline distB="0" distL="0" distR="0" distT="0" wp14:anchorId="2DBF4DED" wp14:editId="1F1D434F">
            <wp:extent cx="914400" cy="1190625"/>
            <wp:effectExtent b="9525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G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1F75" w14:textId="77777777" w:rsidR="008217FF" w:rsidRDefault="008217FF">
      <w:pPr>
        <w:rPr>
          <w:sz w:val="24"/>
        </w:rPr>
      </w:pPr>
    </w:p>
    <w:p w14:paraId="291CB0E2" w14:textId="77777777" w:rsidR="00BF2AAC" w:rsidRDefault="00BF2AAC">
      <w:pPr>
        <w:rPr>
          <w:sz w:val="24"/>
        </w:rPr>
      </w:pPr>
    </w:p>
    <w:p w14:paraId="4CBA9EB9" w14:textId="77777777" w:rsidR="00BF2AAC" w:rsidRDefault="00F615D7" w:rsidRPr="00211B35">
      <w:pPr>
        <w:pStyle w:val="Titre1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rFonts w:asciiTheme="minorHAnsi" w:cstheme="minorHAnsi" w:hAnsiTheme="minorHAnsi"/>
          <w:sz w:val="24"/>
        </w:rPr>
      </w:pPr>
      <w:r w:rsidRPr="00211B35">
        <w:rPr>
          <w:rFonts w:asciiTheme="minorHAnsi" w:cstheme="minorHAnsi" w:hAnsiTheme="minorHAnsi"/>
        </w:rPr>
        <w:t xml:space="preserve">Accord </w:t>
      </w:r>
      <w:r w:rsidR="008D691C" w:rsidRPr="00211B35">
        <w:rPr>
          <w:rFonts w:asciiTheme="minorHAnsi" w:cstheme="minorHAnsi" w:hAnsiTheme="minorHAnsi"/>
        </w:rPr>
        <w:t xml:space="preserve">sur les négociations obligatoires </w:t>
      </w:r>
      <w:r w:rsidRPr="00211B35">
        <w:rPr>
          <w:rFonts w:asciiTheme="minorHAnsi" w:cstheme="minorHAnsi" w:hAnsiTheme="minorHAnsi"/>
        </w:rPr>
        <w:t>202</w:t>
      </w:r>
      <w:r w:rsidR="00CE276A" w:rsidRPr="00211B35">
        <w:rPr>
          <w:rFonts w:asciiTheme="minorHAnsi" w:cstheme="minorHAnsi" w:hAnsiTheme="minorHAnsi"/>
        </w:rPr>
        <w:t>2</w:t>
      </w:r>
    </w:p>
    <w:p w14:paraId="2E680A22" w14:textId="77777777" w:rsidR="00BF2AAC" w:rsidRDefault="00BF2AAC" w:rsidRPr="00CC10FC">
      <w:pPr>
        <w:jc w:val="center"/>
        <w:rPr>
          <w:rFonts w:ascii="Georgia" w:hAnsi="Georgia"/>
          <w:b/>
          <w:sz w:val="24"/>
        </w:rPr>
      </w:pPr>
    </w:p>
    <w:p w14:paraId="6859758B" w14:textId="77777777" w:rsidR="00876444" w:rsidRDefault="00876444" w:rsidRPr="00DA6DFE">
      <w:pPr>
        <w:jc w:val="both"/>
        <w:rPr>
          <w:rFonts w:asciiTheme="minorHAnsi" w:hAnsiTheme="minorHAnsi"/>
          <w:b/>
          <w:sz w:val="22"/>
          <w:szCs w:val="22"/>
        </w:rPr>
      </w:pPr>
    </w:p>
    <w:p w14:paraId="4AFF425E" w14:textId="77777777" w:rsidP="008D691C" w:rsidR="00CE276A" w:rsidRDefault="00CE276A" w:rsidRPr="00DA6DFE">
      <w:pPr>
        <w:jc w:val="both"/>
        <w:rPr>
          <w:rFonts w:asciiTheme="minorHAnsi" w:hAnsiTheme="minorHAnsi"/>
          <w:b/>
          <w:i/>
          <w:sz w:val="22"/>
          <w:szCs w:val="22"/>
        </w:rPr>
      </w:pPr>
      <w:r w:rsidRPr="00DA6DFE">
        <w:rPr>
          <w:rFonts w:asciiTheme="minorHAnsi" w:hAnsiTheme="minorHAnsi"/>
          <w:b/>
          <w:i/>
          <w:sz w:val="22"/>
          <w:szCs w:val="22"/>
        </w:rPr>
        <w:t>Entre :</w:t>
      </w:r>
    </w:p>
    <w:p w14:paraId="3DA1E711" w14:textId="77777777" w:rsidP="008D691C" w:rsidR="00CE276A" w:rsidRDefault="00CE276A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072A45A1" w14:textId="5D1CE116" w:rsidP="008D691C" w:rsidR="00CE276A" w:rsidRDefault="00CE276A" w:rsidRPr="00DA6DFE">
      <w:pPr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 xml:space="preserve">La Confédération Générale du Travail, située au 263 rue de Paris, 93516 Montreuil cedex, </w:t>
      </w:r>
    </w:p>
    <w:p w14:paraId="7BBDEBC7" w14:textId="77777777" w:rsidP="008D691C" w:rsidR="00CE276A" w:rsidRDefault="00CE276A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400B3DA2" w14:textId="77777777" w:rsidP="008D691C" w:rsidR="00CE276A" w:rsidRDefault="00CE276A" w:rsidRPr="00DA6DFE">
      <w:pPr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>D’une part,</w:t>
      </w:r>
    </w:p>
    <w:p w14:paraId="0A4851F0" w14:textId="77777777" w:rsidP="008D691C" w:rsidR="00CE276A" w:rsidRDefault="00CE276A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137C0EC0" w14:textId="14A5295D" w:rsidP="008D691C" w:rsidR="00CE276A" w:rsidRDefault="00CE276A" w:rsidRPr="00DA6DFE">
      <w:pPr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 xml:space="preserve">Le syndicat CGT des personnels de la Confédération, des associations et organismes </w:t>
      </w:r>
    </w:p>
    <w:p w14:paraId="194E95D2" w14:textId="1F308411" w:rsidP="008D691C" w:rsidR="00CE276A" w:rsidRDefault="00CE276A">
      <w:pPr>
        <w:jc w:val="both"/>
        <w:rPr>
          <w:rFonts w:asciiTheme="minorHAnsi" w:hAnsiTheme="minorHAnsi"/>
          <w:sz w:val="22"/>
          <w:szCs w:val="22"/>
        </w:rPr>
      </w:pPr>
    </w:p>
    <w:p w14:paraId="23474B42" w14:textId="77777777" w:rsidP="008D691C" w:rsidR="00EF0E82" w:rsidRDefault="00EF0E82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76D66A5C" w14:textId="77777777" w:rsidP="008D691C" w:rsidR="00CE276A" w:rsidRDefault="00CE276A" w:rsidRPr="00DA6DFE">
      <w:pPr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>D’autre part,</w:t>
      </w:r>
    </w:p>
    <w:p w14:paraId="1ABB39CB" w14:textId="77777777" w:rsidP="008D691C" w:rsidR="00CE276A" w:rsidRDefault="00CE276A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1BA4E9A7" w14:textId="77777777" w:rsidP="008D691C" w:rsidR="002C4D30" w:rsidRDefault="002C4D30" w:rsidRPr="00DA6DFE">
      <w:pPr>
        <w:jc w:val="both"/>
        <w:rPr>
          <w:rFonts w:asciiTheme="minorHAnsi" w:hAnsiTheme="minorHAnsi"/>
          <w:b/>
          <w:sz w:val="22"/>
          <w:szCs w:val="22"/>
        </w:rPr>
      </w:pPr>
    </w:p>
    <w:p w14:paraId="20A47B65" w14:textId="77777777" w:rsidP="000C7AA6" w:rsidR="0067422B" w:rsidRDefault="008D691C" w:rsidRPr="00DA6DFE">
      <w:pPr>
        <w:spacing w:after="120"/>
        <w:jc w:val="both"/>
        <w:rPr>
          <w:rFonts w:asciiTheme="minorHAnsi" w:hAnsiTheme="minorHAnsi"/>
          <w:b/>
          <w:i/>
          <w:sz w:val="22"/>
          <w:szCs w:val="22"/>
        </w:rPr>
      </w:pPr>
      <w:r w:rsidRPr="00DA6DFE">
        <w:rPr>
          <w:rFonts w:asciiTheme="minorHAnsi" w:hAnsiTheme="minorHAnsi"/>
          <w:b/>
          <w:i/>
          <w:sz w:val="22"/>
          <w:szCs w:val="22"/>
        </w:rPr>
        <w:t>Préambule</w:t>
      </w:r>
    </w:p>
    <w:p w14:paraId="611E8F5B" w14:textId="6316B0B0" w:rsidP="008D691C" w:rsidR="00290343" w:rsidRDefault="00D414BD" w:rsidRPr="00DA6DFE">
      <w:pPr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>Conformé</w:t>
      </w:r>
      <w:r w:rsidR="008D691C" w:rsidRPr="00DA6DFE">
        <w:rPr>
          <w:rFonts w:asciiTheme="minorHAnsi" w:hAnsiTheme="minorHAnsi"/>
          <w:sz w:val="22"/>
          <w:szCs w:val="22"/>
        </w:rPr>
        <w:t>ment au planning de négociation</w:t>
      </w:r>
      <w:r w:rsidRPr="00DA6DFE">
        <w:rPr>
          <w:rFonts w:asciiTheme="minorHAnsi" w:hAnsiTheme="minorHAnsi"/>
          <w:sz w:val="22"/>
          <w:szCs w:val="22"/>
        </w:rPr>
        <w:t xml:space="preserve">, </w:t>
      </w:r>
      <w:r w:rsidR="007D1253" w:rsidRPr="00DA6DFE">
        <w:rPr>
          <w:rFonts w:asciiTheme="minorHAnsi" w:hAnsiTheme="minorHAnsi"/>
          <w:sz w:val="22"/>
          <w:szCs w:val="22"/>
        </w:rPr>
        <w:t xml:space="preserve">les parties se sont rencontrées les </w:t>
      </w:r>
      <w:r w:rsidR="000C7AA6">
        <w:rPr>
          <w:rFonts w:asciiTheme="minorHAnsi" w:hAnsiTheme="minorHAnsi"/>
          <w:sz w:val="22"/>
          <w:szCs w:val="22"/>
        </w:rPr>
        <w:t>07 </w:t>
      </w:r>
      <w:r w:rsidR="007D1253" w:rsidRPr="00DA6DFE">
        <w:rPr>
          <w:rFonts w:asciiTheme="minorHAnsi" w:hAnsiTheme="minorHAnsi"/>
          <w:sz w:val="22"/>
          <w:szCs w:val="22"/>
        </w:rPr>
        <w:t>octobre</w:t>
      </w:r>
      <w:r w:rsidR="000C7AA6">
        <w:rPr>
          <w:rFonts w:asciiTheme="minorHAnsi" w:hAnsiTheme="minorHAnsi"/>
          <w:sz w:val="22"/>
          <w:szCs w:val="22"/>
        </w:rPr>
        <w:t> </w:t>
      </w:r>
      <w:r w:rsidR="007D1253" w:rsidRPr="00DA6DFE">
        <w:rPr>
          <w:rFonts w:asciiTheme="minorHAnsi" w:hAnsiTheme="minorHAnsi"/>
          <w:sz w:val="22"/>
          <w:szCs w:val="22"/>
        </w:rPr>
        <w:t>2021, 28</w:t>
      </w:r>
      <w:r w:rsidR="000C7AA6">
        <w:rPr>
          <w:rFonts w:asciiTheme="minorHAnsi" w:hAnsiTheme="minorHAnsi"/>
          <w:sz w:val="22"/>
          <w:szCs w:val="22"/>
        </w:rPr>
        <w:t> </w:t>
      </w:r>
      <w:r w:rsidR="007D1253" w:rsidRPr="00DA6DFE">
        <w:rPr>
          <w:rFonts w:asciiTheme="minorHAnsi" w:hAnsiTheme="minorHAnsi"/>
          <w:sz w:val="22"/>
          <w:szCs w:val="22"/>
        </w:rPr>
        <w:t>octobre</w:t>
      </w:r>
      <w:r w:rsidR="000C7AA6">
        <w:rPr>
          <w:rFonts w:asciiTheme="minorHAnsi" w:hAnsiTheme="minorHAnsi"/>
          <w:sz w:val="22"/>
          <w:szCs w:val="22"/>
        </w:rPr>
        <w:t> </w:t>
      </w:r>
      <w:r w:rsidR="007D1253" w:rsidRPr="00DA6DFE">
        <w:rPr>
          <w:rFonts w:asciiTheme="minorHAnsi" w:hAnsiTheme="minorHAnsi"/>
          <w:sz w:val="22"/>
          <w:szCs w:val="22"/>
        </w:rPr>
        <w:t>2021, 08</w:t>
      </w:r>
      <w:r w:rsidR="000C7AA6">
        <w:rPr>
          <w:rFonts w:asciiTheme="minorHAnsi" w:hAnsiTheme="minorHAnsi"/>
          <w:sz w:val="22"/>
          <w:szCs w:val="22"/>
        </w:rPr>
        <w:t> </w:t>
      </w:r>
      <w:r w:rsidR="007D1253" w:rsidRPr="00DA6DFE">
        <w:rPr>
          <w:rFonts w:asciiTheme="minorHAnsi" w:hAnsiTheme="minorHAnsi"/>
          <w:sz w:val="22"/>
          <w:szCs w:val="22"/>
        </w:rPr>
        <w:t>décembre</w:t>
      </w:r>
      <w:r w:rsidR="000C7AA6">
        <w:rPr>
          <w:rFonts w:asciiTheme="minorHAnsi" w:hAnsiTheme="minorHAnsi"/>
          <w:sz w:val="22"/>
          <w:szCs w:val="22"/>
        </w:rPr>
        <w:t> </w:t>
      </w:r>
      <w:r w:rsidR="007D1253" w:rsidRPr="00DA6DFE">
        <w:rPr>
          <w:rFonts w:asciiTheme="minorHAnsi" w:hAnsiTheme="minorHAnsi"/>
          <w:sz w:val="22"/>
          <w:szCs w:val="22"/>
        </w:rPr>
        <w:t>2021 et 06</w:t>
      </w:r>
      <w:r w:rsidR="000C7AA6">
        <w:rPr>
          <w:rFonts w:asciiTheme="minorHAnsi" w:hAnsiTheme="minorHAnsi"/>
          <w:sz w:val="22"/>
          <w:szCs w:val="22"/>
        </w:rPr>
        <w:t> </w:t>
      </w:r>
      <w:r w:rsidR="007D1253" w:rsidRPr="00DA6DFE">
        <w:rPr>
          <w:rFonts w:asciiTheme="minorHAnsi" w:hAnsiTheme="minorHAnsi"/>
          <w:sz w:val="22"/>
          <w:szCs w:val="22"/>
        </w:rPr>
        <w:t>janvier</w:t>
      </w:r>
      <w:r w:rsidR="000C7AA6">
        <w:rPr>
          <w:rFonts w:asciiTheme="minorHAnsi" w:hAnsiTheme="minorHAnsi"/>
          <w:sz w:val="22"/>
          <w:szCs w:val="22"/>
        </w:rPr>
        <w:t> </w:t>
      </w:r>
      <w:r w:rsidR="007D1253" w:rsidRPr="00DA6DFE">
        <w:rPr>
          <w:rFonts w:asciiTheme="minorHAnsi" w:hAnsiTheme="minorHAnsi"/>
          <w:sz w:val="22"/>
          <w:szCs w:val="22"/>
        </w:rPr>
        <w:t>2022.</w:t>
      </w:r>
      <w:r w:rsidR="00290343" w:rsidRPr="00DA6DFE">
        <w:rPr>
          <w:rFonts w:asciiTheme="minorHAnsi" w:hAnsiTheme="minorHAnsi"/>
          <w:sz w:val="22"/>
          <w:szCs w:val="22"/>
        </w:rPr>
        <w:t xml:space="preserve"> Les négociations ont porté sur l’évolution des rémunérations, l’égalité professionnelle entre les femmes et les hommes, ainsi que sur l’emploi des travailleurs handicapés.</w:t>
      </w:r>
    </w:p>
    <w:p w14:paraId="6C6E82B4" w14:textId="77777777" w:rsidP="00256AC0" w:rsidR="00290343" w:rsidRDefault="004F53D6" w:rsidRPr="00DA6DFE">
      <w:pPr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Après examen des données statistiques fournies, </w:t>
      </w:r>
      <w:r w:rsidR="00256AC0">
        <w:rPr>
          <w:rFonts w:asciiTheme="minorHAnsi" w:hAnsiTheme="minorHAnsi"/>
          <w:sz w:val="22"/>
          <w:szCs w:val="22"/>
        </w:rPr>
        <w:t>les représentants du syndicat n’ont pas formulé d’observations particulières.</w:t>
      </w:r>
    </w:p>
    <w:p w14:paraId="66991BC4" w14:textId="77777777" w:rsidP="008D691C" w:rsidR="00EC1396" w:rsidRDefault="00EC1396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1ACB0918" w14:textId="77777777" w:rsidP="00EC1396" w:rsidR="008D691C" w:rsidRDefault="007D1253" w:rsidRPr="00DA6DFE">
      <w:pPr>
        <w:spacing w:after="120"/>
        <w:jc w:val="both"/>
        <w:rPr>
          <w:rFonts w:asciiTheme="minorHAnsi" w:hAnsiTheme="minorHAnsi"/>
          <w:b/>
          <w:i/>
          <w:sz w:val="22"/>
          <w:szCs w:val="22"/>
        </w:rPr>
      </w:pPr>
      <w:r w:rsidRPr="00DA6DFE">
        <w:rPr>
          <w:rFonts w:asciiTheme="minorHAnsi" w:hAnsiTheme="minorHAnsi"/>
          <w:b/>
          <w:i/>
          <w:sz w:val="22"/>
          <w:szCs w:val="22"/>
        </w:rPr>
        <w:t xml:space="preserve">Article 1 </w:t>
      </w:r>
      <w:r w:rsidR="000A08A0" w:rsidRPr="00DA6DFE">
        <w:rPr>
          <w:rFonts w:asciiTheme="minorHAnsi" w:hAnsiTheme="minorHAnsi"/>
          <w:b/>
          <w:i/>
          <w:sz w:val="22"/>
          <w:szCs w:val="22"/>
        </w:rPr>
        <w:t>-</w:t>
      </w:r>
      <w:r w:rsidRPr="00DA6DFE">
        <w:rPr>
          <w:rFonts w:asciiTheme="minorHAnsi" w:hAnsiTheme="minorHAnsi"/>
          <w:b/>
          <w:i/>
          <w:sz w:val="22"/>
          <w:szCs w:val="22"/>
        </w:rPr>
        <w:t xml:space="preserve"> Égalité professionnelle </w:t>
      </w:r>
      <w:r w:rsidR="004F53D6">
        <w:rPr>
          <w:rFonts w:asciiTheme="minorHAnsi" w:hAnsiTheme="minorHAnsi"/>
          <w:b/>
          <w:i/>
          <w:sz w:val="22"/>
          <w:szCs w:val="22"/>
        </w:rPr>
        <w:t xml:space="preserve">entre les femmes et les hommes </w:t>
      </w:r>
      <w:r w:rsidRPr="00DA6DFE">
        <w:rPr>
          <w:rFonts w:asciiTheme="minorHAnsi" w:hAnsiTheme="minorHAnsi"/>
          <w:b/>
          <w:i/>
          <w:sz w:val="22"/>
          <w:szCs w:val="22"/>
        </w:rPr>
        <w:t>et emploi des travailleurs handicapés</w:t>
      </w:r>
    </w:p>
    <w:p w14:paraId="7A289DDB" w14:textId="7885420D" w:rsidP="00211B35" w:rsidR="007D1253" w:rsidRDefault="007D1253" w:rsidRPr="00DA6DFE">
      <w:pPr>
        <w:spacing w:after="240"/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>Les parties sont d’accord pour poursuivre les mesures en cours à savoir :</w:t>
      </w:r>
    </w:p>
    <w:p w14:paraId="033CC6FC" w14:textId="77777777" w:rsidP="00211B35" w:rsidR="007D1253" w:rsidRDefault="007D1253" w:rsidRPr="00DA6DFE">
      <w:pPr>
        <w:pStyle w:val="Paragraphedeliste"/>
        <w:numPr>
          <w:ilvl w:val="0"/>
          <w:numId w:val="3"/>
        </w:numPr>
        <w:spacing w:before="120"/>
        <w:ind w:hanging="357" w:left="71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>Favoriser une répartition équilibrée dans les emplois des femmes et des hommes par les recrutements et les promotions internes</w:t>
      </w:r>
      <w:r w:rsidR="00EC1396" w:rsidRPr="00DA6DFE">
        <w:rPr>
          <w:rFonts w:asciiTheme="minorHAnsi" w:hAnsiTheme="minorHAnsi"/>
          <w:sz w:val="22"/>
          <w:szCs w:val="22"/>
        </w:rPr>
        <w:t>.</w:t>
      </w:r>
    </w:p>
    <w:p w14:paraId="4DAA5EBA" w14:textId="77777777" w:rsidP="00211B35" w:rsidR="00EC1396" w:rsidRDefault="007D1253" w:rsidRPr="00DA6DFE">
      <w:pPr>
        <w:pStyle w:val="Paragraphedeliste"/>
        <w:numPr>
          <w:ilvl w:val="0"/>
          <w:numId w:val="3"/>
        </w:numPr>
        <w:spacing w:before="120"/>
        <w:ind w:hanging="357" w:left="71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>Favoriser l’accès à l’emploi des personnes handicapées</w:t>
      </w:r>
      <w:r w:rsidR="00EC1396" w:rsidRPr="00DA6DFE">
        <w:rPr>
          <w:rFonts w:asciiTheme="minorHAnsi" w:hAnsiTheme="minorHAnsi"/>
          <w:sz w:val="22"/>
          <w:szCs w:val="22"/>
        </w:rPr>
        <w:t>.</w:t>
      </w:r>
    </w:p>
    <w:p w14:paraId="1C00F3B8" w14:textId="77777777" w:rsidP="00211B35" w:rsidR="007D1253" w:rsidRDefault="00EC1396" w:rsidRPr="00DA6DFE">
      <w:pPr>
        <w:pStyle w:val="Paragraphedeliste"/>
        <w:numPr>
          <w:ilvl w:val="0"/>
          <w:numId w:val="3"/>
        </w:numPr>
        <w:spacing w:before="120"/>
        <w:ind w:hanging="357" w:left="71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 xml:space="preserve">Mettre en œuvre </w:t>
      </w:r>
      <w:r w:rsidR="007D1253" w:rsidRPr="00DA6DFE">
        <w:rPr>
          <w:rFonts w:asciiTheme="minorHAnsi" w:hAnsiTheme="minorHAnsi"/>
          <w:sz w:val="22"/>
          <w:szCs w:val="22"/>
        </w:rPr>
        <w:t xml:space="preserve">les recommandations </w:t>
      </w:r>
      <w:r w:rsidRPr="00DA6DFE">
        <w:rPr>
          <w:rFonts w:asciiTheme="minorHAnsi" w:hAnsiTheme="minorHAnsi"/>
          <w:sz w:val="22"/>
          <w:szCs w:val="22"/>
        </w:rPr>
        <w:t xml:space="preserve">d’adaptations des postes de travail </w:t>
      </w:r>
      <w:r w:rsidR="00775E13">
        <w:rPr>
          <w:rFonts w:asciiTheme="minorHAnsi" w:hAnsiTheme="minorHAnsi"/>
          <w:sz w:val="22"/>
          <w:szCs w:val="22"/>
        </w:rPr>
        <w:t xml:space="preserve">de </w:t>
      </w:r>
      <w:r w:rsidR="007D1253" w:rsidRPr="00DA6DFE">
        <w:rPr>
          <w:rFonts w:asciiTheme="minorHAnsi" w:hAnsiTheme="minorHAnsi"/>
          <w:sz w:val="22"/>
          <w:szCs w:val="22"/>
        </w:rPr>
        <w:t>la médecine du travail.</w:t>
      </w:r>
    </w:p>
    <w:p w14:paraId="6B92A4C5" w14:textId="77777777" w:rsidP="008D691C" w:rsidR="007D1253" w:rsidRDefault="007D1253" w:rsidRPr="00DA6DFE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14:paraId="73C80BFB" w14:textId="77777777" w:rsidP="008D691C" w:rsidR="007D1253" w:rsidRDefault="007D1253" w:rsidRPr="00DA6DFE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14:paraId="5C80841C" w14:textId="77777777" w:rsidP="00EC1396" w:rsidR="00EC1396" w:rsidRDefault="00EC1396" w:rsidRPr="00DA6DFE">
      <w:pPr>
        <w:spacing w:after="120"/>
        <w:jc w:val="both"/>
        <w:rPr>
          <w:rFonts w:asciiTheme="minorHAnsi" w:hAnsiTheme="minorHAnsi"/>
          <w:b/>
          <w:i/>
          <w:sz w:val="22"/>
          <w:szCs w:val="22"/>
        </w:rPr>
      </w:pPr>
      <w:r w:rsidRPr="00DA6DFE">
        <w:rPr>
          <w:rFonts w:asciiTheme="minorHAnsi" w:hAnsiTheme="minorHAnsi"/>
          <w:b/>
          <w:i/>
          <w:sz w:val="22"/>
          <w:szCs w:val="22"/>
        </w:rPr>
        <w:t xml:space="preserve">Article 2 </w:t>
      </w:r>
      <w:r w:rsidR="000A08A0" w:rsidRPr="00DA6DFE">
        <w:rPr>
          <w:rFonts w:asciiTheme="minorHAnsi" w:hAnsiTheme="minorHAnsi"/>
          <w:b/>
          <w:i/>
          <w:sz w:val="22"/>
          <w:szCs w:val="22"/>
        </w:rPr>
        <w:t>-</w:t>
      </w:r>
      <w:r w:rsidRPr="00DA6DFE">
        <w:rPr>
          <w:rFonts w:asciiTheme="minorHAnsi" w:hAnsiTheme="minorHAnsi"/>
          <w:b/>
          <w:i/>
          <w:sz w:val="22"/>
          <w:szCs w:val="22"/>
        </w:rPr>
        <w:t xml:space="preserve"> Évolution des rémunérations</w:t>
      </w:r>
    </w:p>
    <w:p w14:paraId="4958FD9D" w14:textId="77777777" w:rsidP="008D691C" w:rsidR="00BF2AAC" w:rsidRDefault="0007141D" w:rsidRPr="00DA6DFE">
      <w:pPr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>À</w:t>
      </w:r>
      <w:r w:rsidR="00EC1396" w:rsidRPr="00DA6DFE">
        <w:rPr>
          <w:rFonts w:asciiTheme="minorHAnsi" w:hAnsiTheme="minorHAnsi"/>
          <w:sz w:val="22"/>
          <w:szCs w:val="22"/>
        </w:rPr>
        <w:t xml:space="preserve"> l’issue des négociations, i</w:t>
      </w:r>
      <w:r w:rsidR="00BF2AAC" w:rsidRPr="00DA6DFE">
        <w:rPr>
          <w:rFonts w:asciiTheme="minorHAnsi" w:hAnsiTheme="minorHAnsi"/>
          <w:sz w:val="22"/>
          <w:szCs w:val="22"/>
        </w:rPr>
        <w:t xml:space="preserve">l a été convenu </w:t>
      </w:r>
      <w:r w:rsidR="00F615D7" w:rsidRPr="00DA6DFE">
        <w:rPr>
          <w:rFonts w:asciiTheme="minorHAnsi" w:hAnsiTheme="minorHAnsi"/>
          <w:sz w:val="22"/>
          <w:szCs w:val="22"/>
        </w:rPr>
        <w:t>pour 202</w:t>
      </w:r>
      <w:r w:rsidR="00290343" w:rsidRPr="00DA6DFE">
        <w:rPr>
          <w:rFonts w:asciiTheme="minorHAnsi" w:hAnsiTheme="minorHAnsi"/>
          <w:sz w:val="22"/>
          <w:szCs w:val="22"/>
        </w:rPr>
        <w:t>2</w:t>
      </w:r>
      <w:r w:rsidR="00F615D7" w:rsidRPr="00DA6DFE">
        <w:rPr>
          <w:rFonts w:asciiTheme="minorHAnsi" w:hAnsiTheme="minorHAnsi"/>
          <w:sz w:val="22"/>
          <w:szCs w:val="22"/>
        </w:rPr>
        <w:t xml:space="preserve"> </w:t>
      </w:r>
      <w:r w:rsidR="00290343" w:rsidRPr="00DA6DFE">
        <w:rPr>
          <w:rFonts w:asciiTheme="minorHAnsi" w:hAnsiTheme="minorHAnsi"/>
          <w:sz w:val="22"/>
          <w:szCs w:val="22"/>
        </w:rPr>
        <w:t xml:space="preserve">d’une augmentation générale des salaires bruts </w:t>
      </w:r>
      <w:r w:rsidR="00BF2AAC" w:rsidRPr="00DA6DFE">
        <w:rPr>
          <w:rFonts w:asciiTheme="minorHAnsi" w:hAnsiTheme="minorHAnsi"/>
          <w:sz w:val="22"/>
          <w:szCs w:val="22"/>
        </w:rPr>
        <w:t xml:space="preserve">mensuels de </w:t>
      </w:r>
      <w:r w:rsidR="0067422B" w:rsidRPr="00DA6DFE">
        <w:rPr>
          <w:rFonts w:asciiTheme="minorHAnsi" w:hAnsiTheme="minorHAnsi"/>
          <w:sz w:val="22"/>
          <w:szCs w:val="22"/>
        </w:rPr>
        <w:t>3</w:t>
      </w:r>
      <w:r w:rsidR="00BF2AAC" w:rsidRPr="00DA6DFE">
        <w:rPr>
          <w:rFonts w:asciiTheme="minorHAnsi" w:hAnsiTheme="minorHAnsi"/>
          <w:sz w:val="22"/>
          <w:szCs w:val="22"/>
        </w:rPr>
        <w:t xml:space="preserve"> %</w:t>
      </w:r>
      <w:r w:rsidR="00290343" w:rsidRPr="00DA6DFE">
        <w:rPr>
          <w:rFonts w:asciiTheme="minorHAnsi" w:hAnsiTheme="minorHAnsi"/>
          <w:sz w:val="22"/>
          <w:szCs w:val="22"/>
        </w:rPr>
        <w:t>.</w:t>
      </w:r>
      <w:r w:rsidR="00EC1396" w:rsidRPr="00DA6DFE">
        <w:rPr>
          <w:rFonts w:asciiTheme="minorHAnsi" w:hAnsiTheme="minorHAnsi"/>
          <w:sz w:val="22"/>
          <w:szCs w:val="22"/>
        </w:rPr>
        <w:t xml:space="preserve"> </w:t>
      </w:r>
      <w:r w:rsidR="00F615D7" w:rsidRPr="00DA6DFE">
        <w:rPr>
          <w:rFonts w:asciiTheme="minorHAnsi" w:hAnsiTheme="minorHAnsi"/>
          <w:sz w:val="22"/>
          <w:szCs w:val="22"/>
        </w:rPr>
        <w:t>Ce</w:t>
      </w:r>
      <w:r w:rsidR="00290343" w:rsidRPr="00DA6DFE">
        <w:rPr>
          <w:rFonts w:asciiTheme="minorHAnsi" w:hAnsiTheme="minorHAnsi"/>
          <w:sz w:val="22"/>
          <w:szCs w:val="22"/>
        </w:rPr>
        <w:t>tte</w:t>
      </w:r>
      <w:r w:rsidR="00F615D7" w:rsidRPr="00DA6DFE">
        <w:rPr>
          <w:rFonts w:asciiTheme="minorHAnsi" w:hAnsiTheme="minorHAnsi"/>
          <w:sz w:val="22"/>
          <w:szCs w:val="22"/>
        </w:rPr>
        <w:t xml:space="preserve"> disposition</w:t>
      </w:r>
      <w:r w:rsidR="00290343" w:rsidRPr="00DA6DFE">
        <w:rPr>
          <w:rFonts w:asciiTheme="minorHAnsi" w:hAnsiTheme="minorHAnsi"/>
          <w:sz w:val="22"/>
          <w:szCs w:val="22"/>
        </w:rPr>
        <w:t xml:space="preserve"> est</w:t>
      </w:r>
      <w:r w:rsidR="00F615D7" w:rsidRPr="00DA6DFE">
        <w:rPr>
          <w:rFonts w:asciiTheme="minorHAnsi" w:hAnsiTheme="minorHAnsi"/>
          <w:sz w:val="22"/>
          <w:szCs w:val="22"/>
        </w:rPr>
        <w:t xml:space="preserve"> effective au 1</w:t>
      </w:r>
      <w:r w:rsidR="00F615D7" w:rsidRPr="00DA6DFE">
        <w:rPr>
          <w:rFonts w:asciiTheme="minorHAnsi" w:hAnsiTheme="minorHAnsi"/>
          <w:sz w:val="22"/>
          <w:szCs w:val="22"/>
          <w:vertAlign w:val="superscript"/>
        </w:rPr>
        <w:t>er</w:t>
      </w:r>
      <w:r w:rsidR="00F615D7" w:rsidRPr="00DA6DFE">
        <w:rPr>
          <w:rFonts w:asciiTheme="minorHAnsi" w:hAnsiTheme="minorHAnsi"/>
          <w:sz w:val="22"/>
          <w:szCs w:val="22"/>
        </w:rPr>
        <w:t xml:space="preserve"> janvier 202</w:t>
      </w:r>
      <w:r w:rsidR="00290343" w:rsidRPr="00DA6DFE">
        <w:rPr>
          <w:rFonts w:asciiTheme="minorHAnsi" w:hAnsiTheme="minorHAnsi"/>
          <w:sz w:val="22"/>
          <w:szCs w:val="22"/>
        </w:rPr>
        <w:t>2</w:t>
      </w:r>
      <w:r w:rsidR="00F615D7" w:rsidRPr="00DA6DFE">
        <w:rPr>
          <w:rFonts w:asciiTheme="minorHAnsi" w:hAnsiTheme="minorHAnsi"/>
          <w:sz w:val="22"/>
          <w:szCs w:val="22"/>
        </w:rPr>
        <w:t>.</w:t>
      </w:r>
    </w:p>
    <w:p w14:paraId="760648E6" w14:textId="77777777" w:rsidP="00A86124" w:rsidR="00BE725C" w:rsidRDefault="00BE725C" w:rsidRPr="00DA6DFE">
      <w:pPr>
        <w:ind w:left="1070"/>
        <w:jc w:val="both"/>
        <w:rPr>
          <w:rFonts w:asciiTheme="minorHAnsi" w:hAnsiTheme="minorHAnsi"/>
          <w:sz w:val="22"/>
          <w:szCs w:val="22"/>
        </w:rPr>
      </w:pPr>
    </w:p>
    <w:p w14:paraId="6A2789BA" w14:textId="77777777" w:rsidR="000A08A0" w:rsidRDefault="000A08A0" w:rsidRPr="00DA6DFE">
      <w:pPr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br w:type="page"/>
      </w:r>
    </w:p>
    <w:p w14:paraId="09DB8D40" w14:textId="77777777" w:rsidR="00BE725C" w:rsidRDefault="00BE725C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46C67A36" w14:textId="77777777" w:rsidR="000A08A0" w:rsidRDefault="000A08A0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474B38AB" w14:textId="58C7409A" w:rsidP="000A08A0" w:rsidR="000A08A0" w:rsidRDefault="000A08A0" w:rsidRPr="00DA6DFE">
      <w:pPr>
        <w:spacing w:after="120"/>
        <w:jc w:val="both"/>
        <w:rPr>
          <w:rFonts w:asciiTheme="minorHAnsi" w:hAnsiTheme="minorHAnsi"/>
          <w:b/>
          <w:i/>
          <w:sz w:val="22"/>
          <w:szCs w:val="22"/>
        </w:rPr>
      </w:pPr>
      <w:r w:rsidRPr="00DA6DFE">
        <w:rPr>
          <w:rFonts w:asciiTheme="minorHAnsi" w:hAnsiTheme="minorHAnsi"/>
          <w:b/>
          <w:i/>
          <w:sz w:val="22"/>
          <w:szCs w:val="22"/>
        </w:rPr>
        <w:t>Article 3</w:t>
      </w:r>
      <w:r w:rsidR="00211B35">
        <w:rPr>
          <w:rFonts w:asciiTheme="minorHAnsi" w:hAnsiTheme="minorHAnsi"/>
          <w:b/>
          <w:i/>
          <w:sz w:val="22"/>
          <w:szCs w:val="22"/>
        </w:rPr>
        <w:t> </w:t>
      </w:r>
      <w:r w:rsidR="00211B35" w:rsidRPr="00DA6DFE">
        <w:rPr>
          <w:rFonts w:asciiTheme="minorHAnsi" w:hAnsiTheme="minorHAnsi"/>
          <w:b/>
          <w:i/>
          <w:sz w:val="22"/>
          <w:szCs w:val="22"/>
        </w:rPr>
        <w:t>- Dépôt</w:t>
      </w:r>
      <w:r w:rsidRPr="00DA6DFE">
        <w:rPr>
          <w:rFonts w:asciiTheme="minorHAnsi" w:hAnsiTheme="minorHAnsi"/>
          <w:b/>
          <w:i/>
          <w:sz w:val="22"/>
          <w:szCs w:val="22"/>
        </w:rPr>
        <w:t xml:space="preserve"> et date d’effet</w:t>
      </w:r>
    </w:p>
    <w:p w14:paraId="2BC9C3CD" w14:textId="4D5B8C82" w:rsidP="0095675A" w:rsidR="000A08A0" w:rsidRDefault="000A08A0" w:rsidRPr="00DA6DFE">
      <w:pPr>
        <w:spacing w:after="120"/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 xml:space="preserve">Conformément aux dispositions du </w:t>
      </w:r>
      <w:r w:rsidR="00211B35">
        <w:rPr>
          <w:rFonts w:asciiTheme="minorHAnsi" w:hAnsiTheme="minorHAnsi"/>
          <w:sz w:val="22"/>
          <w:szCs w:val="22"/>
        </w:rPr>
        <w:t>C</w:t>
      </w:r>
      <w:r w:rsidRPr="00DA6DFE">
        <w:rPr>
          <w:rFonts w:asciiTheme="minorHAnsi" w:hAnsiTheme="minorHAnsi"/>
          <w:sz w:val="22"/>
          <w:szCs w:val="22"/>
        </w:rPr>
        <w:t xml:space="preserve">ode du travail et à l’expiration du délai prévu pour l’exercice du droit d’opposition, un dépôt du présent accord est effectué sur la plateforme </w:t>
      </w:r>
      <w:proofErr w:type="spellStart"/>
      <w:r w:rsidR="00E671C2">
        <w:rPr>
          <w:rFonts w:asciiTheme="minorHAnsi" w:hAnsiTheme="minorHAnsi"/>
          <w:sz w:val="22"/>
          <w:szCs w:val="22"/>
        </w:rPr>
        <w:t>TéléAccords</w:t>
      </w:r>
      <w:proofErr w:type="spellEnd"/>
      <w:r w:rsidRPr="00DA6DFE">
        <w:rPr>
          <w:rFonts w:asciiTheme="minorHAnsi" w:hAnsiTheme="minorHAnsi"/>
          <w:sz w:val="22"/>
          <w:szCs w:val="22"/>
        </w:rPr>
        <w:t xml:space="preserve"> du ministère du </w:t>
      </w:r>
      <w:r w:rsidR="00211B35">
        <w:rPr>
          <w:rFonts w:asciiTheme="minorHAnsi" w:hAnsiTheme="minorHAnsi"/>
          <w:sz w:val="22"/>
          <w:szCs w:val="22"/>
        </w:rPr>
        <w:t>T</w:t>
      </w:r>
      <w:r w:rsidRPr="00DA6DFE">
        <w:rPr>
          <w:rFonts w:asciiTheme="minorHAnsi" w:hAnsiTheme="minorHAnsi"/>
          <w:sz w:val="22"/>
          <w:szCs w:val="22"/>
        </w:rPr>
        <w:t xml:space="preserve">ravail. </w:t>
      </w:r>
    </w:p>
    <w:p w14:paraId="7669547B" w14:textId="096D5ADC" w:rsidP="0095675A" w:rsidR="000A08A0" w:rsidRDefault="000A08A0" w:rsidRPr="00DA6DFE">
      <w:pPr>
        <w:spacing w:after="120"/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 xml:space="preserve">Un exemplaire de cet accord collectif sera également </w:t>
      </w:r>
      <w:r w:rsidR="00211B35" w:rsidRPr="00DA6DFE">
        <w:rPr>
          <w:rFonts w:asciiTheme="minorHAnsi" w:hAnsiTheme="minorHAnsi"/>
          <w:sz w:val="22"/>
          <w:szCs w:val="22"/>
        </w:rPr>
        <w:t xml:space="preserve">remis </w:t>
      </w:r>
      <w:r w:rsidRPr="00DA6DFE">
        <w:rPr>
          <w:rFonts w:asciiTheme="minorHAnsi" w:hAnsiTheme="minorHAnsi"/>
          <w:sz w:val="22"/>
          <w:szCs w:val="22"/>
        </w:rPr>
        <w:t xml:space="preserve">au greffe du </w:t>
      </w:r>
      <w:r w:rsidR="00211B35">
        <w:rPr>
          <w:rFonts w:asciiTheme="minorHAnsi" w:hAnsiTheme="minorHAnsi"/>
          <w:sz w:val="22"/>
          <w:szCs w:val="22"/>
        </w:rPr>
        <w:t>C</w:t>
      </w:r>
      <w:r w:rsidRPr="00DA6DFE">
        <w:rPr>
          <w:rFonts w:asciiTheme="minorHAnsi" w:hAnsiTheme="minorHAnsi"/>
          <w:sz w:val="22"/>
          <w:szCs w:val="22"/>
        </w:rPr>
        <w:t>onseil de prud’hommes de Bobigny.</w:t>
      </w:r>
    </w:p>
    <w:p w14:paraId="41DAD7B0" w14:textId="77777777" w:rsidP="0095675A" w:rsidR="000A08A0" w:rsidRDefault="000A08A0" w:rsidRPr="00DA6DFE">
      <w:pPr>
        <w:spacing w:after="120"/>
        <w:jc w:val="both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>Ce texte entrera en vigueur à partir du jour qui suit son dépôt auprès des services compétents ci-dessus mentionnés.</w:t>
      </w:r>
    </w:p>
    <w:p w14:paraId="03914F16" w14:textId="77777777" w:rsidR="00125AB0" w:rsidRDefault="00125AB0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7893B1CA" w14:textId="77777777" w:rsidR="000A08A0" w:rsidRDefault="000A08A0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5518986E" w14:textId="77777777" w:rsidR="000A08A0" w:rsidRDefault="000A08A0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2B9C8C27" w14:textId="77777777" w:rsidP="00211B35" w:rsidR="00BF2AAC" w:rsidRDefault="00565AF5" w:rsidRPr="00DA6DFE">
      <w:pPr>
        <w:tabs>
          <w:tab w:pos="6804" w:val="center"/>
        </w:tabs>
        <w:ind w:left="5245"/>
        <w:rPr>
          <w:rFonts w:asciiTheme="minorHAnsi" w:hAnsiTheme="minorHAnsi"/>
          <w:sz w:val="22"/>
          <w:szCs w:val="22"/>
        </w:rPr>
      </w:pPr>
      <w:r w:rsidRPr="00DA6DFE">
        <w:rPr>
          <w:rFonts w:asciiTheme="minorHAnsi" w:hAnsiTheme="minorHAnsi"/>
          <w:sz w:val="22"/>
          <w:szCs w:val="22"/>
        </w:rPr>
        <w:t xml:space="preserve">Fait à Montreuil, le </w:t>
      </w:r>
      <w:r w:rsidR="00603804" w:rsidRPr="00DA6DFE">
        <w:rPr>
          <w:rFonts w:asciiTheme="minorHAnsi" w:hAnsiTheme="minorHAnsi"/>
          <w:sz w:val="22"/>
          <w:szCs w:val="22"/>
        </w:rPr>
        <w:t>12</w:t>
      </w:r>
      <w:r w:rsidR="00D40C4A" w:rsidRPr="00DA6DFE">
        <w:rPr>
          <w:rFonts w:asciiTheme="minorHAnsi" w:hAnsiTheme="minorHAnsi"/>
          <w:sz w:val="22"/>
          <w:szCs w:val="22"/>
        </w:rPr>
        <w:t xml:space="preserve"> janvier 20</w:t>
      </w:r>
      <w:r w:rsidR="00603804" w:rsidRPr="00DA6DFE">
        <w:rPr>
          <w:rFonts w:asciiTheme="minorHAnsi" w:hAnsiTheme="minorHAnsi"/>
          <w:sz w:val="22"/>
          <w:szCs w:val="22"/>
        </w:rPr>
        <w:t>2</w:t>
      </w:r>
      <w:r w:rsidR="00290343" w:rsidRPr="00DA6DFE">
        <w:rPr>
          <w:rFonts w:asciiTheme="minorHAnsi" w:hAnsiTheme="minorHAnsi"/>
          <w:sz w:val="22"/>
          <w:szCs w:val="22"/>
        </w:rPr>
        <w:t>2</w:t>
      </w:r>
    </w:p>
    <w:p w14:paraId="2FB985FE" w14:textId="77777777" w:rsidR="00BF2AAC" w:rsidRDefault="00BF2AAC" w:rsidRPr="00DA6DFE">
      <w:pPr>
        <w:jc w:val="both"/>
        <w:rPr>
          <w:rFonts w:asciiTheme="minorHAnsi" w:hAnsiTheme="minorHAnsi"/>
          <w:sz w:val="22"/>
          <w:szCs w:val="22"/>
        </w:rPr>
      </w:pPr>
    </w:p>
    <w:p w14:paraId="7B56223C" w14:textId="77777777" w:rsidR="000A08A0" w:rsidRDefault="000A08A0">
      <w:pPr>
        <w:jc w:val="both"/>
        <w:rPr>
          <w:rFonts w:asciiTheme="minorHAnsi" w:hAnsiTheme="minorHAnsi"/>
          <w:sz w:val="22"/>
          <w:szCs w:val="22"/>
        </w:rPr>
      </w:pPr>
    </w:p>
    <w:p w14:paraId="326C4425" w14:textId="77777777" w:rsidR="00DA6DFE" w:rsidRDefault="00DA6DFE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Grilledutableau"/>
        <w:tblW w:type="auto" w:w="0"/>
        <w:jc w:val="center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531"/>
        <w:gridCol w:w="4531"/>
      </w:tblGrid>
      <w:tr w14:paraId="643F8D43" w14:textId="77777777" w:rsidR="00DA6DFE" w:rsidTr="000C7AA6">
        <w:trPr>
          <w:jc w:val="center"/>
        </w:trPr>
        <w:tc>
          <w:tcPr>
            <w:tcW w:type="dxa" w:w="4531"/>
          </w:tcPr>
          <w:p w14:paraId="7E7F0C17" w14:textId="77777777" w:rsidP="00DA6DFE" w:rsidR="00DA6DFE" w:rsidRDefault="00DA6DFE" w:rsidRPr="00DA6DF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DA6DFE">
              <w:rPr>
                <w:rFonts w:asciiTheme="minorHAnsi" w:hAnsiTheme="minorHAnsi"/>
                <w:b/>
                <w:sz w:val="22"/>
                <w:szCs w:val="22"/>
              </w:rPr>
              <w:t>L’Administration confédérale</w:t>
            </w:r>
          </w:p>
          <w:p w14:paraId="7198C1CC" w14:textId="011ED69B" w:rsidP="00DA6DFE" w:rsidR="00DA6DFE" w:rsidRDefault="00DA6DF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type="dxa" w:w="4531"/>
          </w:tcPr>
          <w:p w14:paraId="0C4F9624" w14:textId="171BB18E" w:rsidP="00EF0E82" w:rsidR="00DA6DFE" w:rsidRDefault="00DA6DF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A6DFE">
              <w:rPr>
                <w:rFonts w:asciiTheme="minorHAnsi" w:hAnsiTheme="minorHAnsi"/>
                <w:b/>
                <w:sz w:val="22"/>
                <w:szCs w:val="22"/>
              </w:rPr>
              <w:t>Le Syndicat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bookmarkStart w:id="0" w:name="_GoBack"/>
            <w:bookmarkEnd w:id="0"/>
          </w:p>
        </w:tc>
      </w:tr>
    </w:tbl>
    <w:p w14:paraId="751B274B" w14:textId="77777777" w:rsidR="00DA6DFE" w:rsidRDefault="00DA6DFE">
      <w:pPr>
        <w:jc w:val="both"/>
        <w:rPr>
          <w:rFonts w:asciiTheme="minorHAnsi" w:hAnsiTheme="minorHAnsi"/>
          <w:sz w:val="22"/>
          <w:szCs w:val="22"/>
        </w:rPr>
      </w:pPr>
    </w:p>
    <w:sectPr w:rsidR="00DA6DFE" w:rsidSect="00BE725C">
      <w:pgSz w:h="16838" w:w="11906"/>
      <w:pgMar w:bottom="1417" w:footer="720" w:gutter="0" w:header="720" w:left="1417" w:right="1417" w:top="42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37B8528B"/>
    <w:multiLevelType w:val="singleLevel"/>
    <w:tmpl w:val="B56474A4"/>
    <w:lvl w:ilvl="0">
      <w:start w:val="2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1">
    <w:nsid w:val="6A9B11B1"/>
    <w:multiLevelType w:val="hybridMultilevel"/>
    <w:tmpl w:val="C8CA9CE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E653A08"/>
    <w:multiLevelType w:val="hybridMultilevel"/>
    <w:tmpl w:val="7944BBD6"/>
    <w:lvl w:ilvl="0" w:tplc="A2DC4B08">
      <w:start w:val="1"/>
      <w:numFmt w:val="decimal"/>
      <w:lvlText w:val="%1."/>
      <w:lvlJc w:val="left"/>
      <w:pPr>
        <w:tabs>
          <w:tab w:pos="928" w:val="num"/>
        </w:tabs>
        <w:ind w:hanging="360" w:left="928"/>
      </w:pPr>
      <w:rPr>
        <w:b/>
      </w:rPr>
    </w:lvl>
    <w:lvl w:ilvl="1" w:tentative="1" w:tplc="040C0019">
      <w:start w:val="1"/>
      <w:numFmt w:val="lowerLetter"/>
      <w:lvlText w:val="%2."/>
      <w:lvlJc w:val="left"/>
      <w:pPr>
        <w:tabs>
          <w:tab w:pos="2007" w:val="num"/>
        </w:tabs>
        <w:ind w:hanging="360" w:left="2007"/>
      </w:pPr>
    </w:lvl>
    <w:lvl w:ilvl="2" w:tentative="1" w:tplc="040C001B">
      <w:start w:val="1"/>
      <w:numFmt w:val="lowerRoman"/>
      <w:lvlText w:val="%3."/>
      <w:lvlJc w:val="right"/>
      <w:pPr>
        <w:tabs>
          <w:tab w:pos="2727" w:val="num"/>
        </w:tabs>
        <w:ind w:hanging="180" w:left="2727"/>
      </w:pPr>
    </w:lvl>
    <w:lvl w:ilvl="3" w:tentative="1" w:tplc="040C000F">
      <w:start w:val="1"/>
      <w:numFmt w:val="decimal"/>
      <w:lvlText w:val="%4."/>
      <w:lvlJc w:val="left"/>
      <w:pPr>
        <w:tabs>
          <w:tab w:pos="3447" w:val="num"/>
        </w:tabs>
        <w:ind w:hanging="360" w:left="3447"/>
      </w:pPr>
    </w:lvl>
    <w:lvl w:ilvl="4" w:tentative="1" w:tplc="040C0019">
      <w:start w:val="1"/>
      <w:numFmt w:val="lowerLetter"/>
      <w:lvlText w:val="%5."/>
      <w:lvlJc w:val="left"/>
      <w:pPr>
        <w:tabs>
          <w:tab w:pos="4167" w:val="num"/>
        </w:tabs>
        <w:ind w:hanging="360" w:left="4167"/>
      </w:pPr>
    </w:lvl>
    <w:lvl w:ilvl="5" w:tentative="1" w:tplc="040C001B">
      <w:start w:val="1"/>
      <w:numFmt w:val="lowerRoman"/>
      <w:lvlText w:val="%6."/>
      <w:lvlJc w:val="right"/>
      <w:pPr>
        <w:tabs>
          <w:tab w:pos="4887" w:val="num"/>
        </w:tabs>
        <w:ind w:hanging="180" w:left="4887"/>
      </w:pPr>
    </w:lvl>
    <w:lvl w:ilvl="6" w:tentative="1" w:tplc="040C000F">
      <w:start w:val="1"/>
      <w:numFmt w:val="decimal"/>
      <w:lvlText w:val="%7."/>
      <w:lvlJc w:val="left"/>
      <w:pPr>
        <w:tabs>
          <w:tab w:pos="5607" w:val="num"/>
        </w:tabs>
        <w:ind w:hanging="360" w:left="5607"/>
      </w:pPr>
    </w:lvl>
    <w:lvl w:ilvl="7" w:tentative="1" w:tplc="040C0019">
      <w:start w:val="1"/>
      <w:numFmt w:val="lowerLetter"/>
      <w:lvlText w:val="%8."/>
      <w:lvlJc w:val="left"/>
      <w:pPr>
        <w:tabs>
          <w:tab w:pos="6327" w:val="num"/>
        </w:tabs>
        <w:ind w:hanging="360" w:left="6327"/>
      </w:pPr>
    </w:lvl>
    <w:lvl w:ilvl="8" w:tentative="1" w:tplc="040C001B">
      <w:start w:val="1"/>
      <w:numFmt w:val="lowerRoman"/>
      <w:lvlText w:val="%9."/>
      <w:lvlJc w:val="right"/>
      <w:pPr>
        <w:tabs>
          <w:tab w:pos="7047" w:val="num"/>
        </w:tabs>
        <w:ind w:hanging="180" w:left="7047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oNotDisplayPageBoundaries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F5"/>
    <w:rsid w:val="00010B3B"/>
    <w:rsid w:val="0007141D"/>
    <w:rsid w:val="000A035B"/>
    <w:rsid w:val="000A08A0"/>
    <w:rsid w:val="000C7AA6"/>
    <w:rsid w:val="00125AB0"/>
    <w:rsid w:val="00211B35"/>
    <w:rsid w:val="00256AC0"/>
    <w:rsid w:val="00264739"/>
    <w:rsid w:val="00290343"/>
    <w:rsid w:val="002C4D30"/>
    <w:rsid w:val="002D3D0A"/>
    <w:rsid w:val="00470CD7"/>
    <w:rsid w:val="004765EC"/>
    <w:rsid w:val="004C07B7"/>
    <w:rsid w:val="004F53D6"/>
    <w:rsid w:val="00556489"/>
    <w:rsid w:val="00565AF5"/>
    <w:rsid w:val="00595A0C"/>
    <w:rsid w:val="005C50F8"/>
    <w:rsid w:val="005D63B5"/>
    <w:rsid w:val="00603804"/>
    <w:rsid w:val="0067422B"/>
    <w:rsid w:val="006B14A0"/>
    <w:rsid w:val="007714ED"/>
    <w:rsid w:val="00775E13"/>
    <w:rsid w:val="00790394"/>
    <w:rsid w:val="007D1253"/>
    <w:rsid w:val="007E07A5"/>
    <w:rsid w:val="008217FF"/>
    <w:rsid w:val="00876444"/>
    <w:rsid w:val="008D691C"/>
    <w:rsid w:val="009253D8"/>
    <w:rsid w:val="0095100F"/>
    <w:rsid w:val="0095675A"/>
    <w:rsid w:val="00A86124"/>
    <w:rsid w:val="00AB4A69"/>
    <w:rsid w:val="00AE6DE5"/>
    <w:rsid w:val="00B6298A"/>
    <w:rsid w:val="00B87446"/>
    <w:rsid w:val="00BE725C"/>
    <w:rsid w:val="00BF2AAC"/>
    <w:rsid w:val="00C24134"/>
    <w:rsid w:val="00C705B9"/>
    <w:rsid w:val="00CB045D"/>
    <w:rsid w:val="00CC10FC"/>
    <w:rsid w:val="00CE276A"/>
    <w:rsid w:val="00D40C4A"/>
    <w:rsid w:val="00D414BD"/>
    <w:rsid w:val="00D43B07"/>
    <w:rsid w:val="00D74EAA"/>
    <w:rsid w:val="00DA6DFE"/>
    <w:rsid w:val="00E60E87"/>
    <w:rsid w:val="00E671C2"/>
    <w:rsid w:val="00EC1396"/>
    <w:rsid w:val="00EF0E82"/>
    <w:rsid w:val="00EF6F3C"/>
    <w:rsid w:val="00F615D7"/>
    <w:rsid w:val="00F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4:docId w14:val="1E0C9FF6"/>
  <w15:chartTrackingRefBased/>
  <w15:docId w15:val="{E78422FC-185C-4204-A4AF-79E50FCB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Body Text 3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szCs w:val="48"/>
    </w:rPr>
  </w:style>
  <w:style w:styleId="Titre2" w:type="paragraph">
    <w:name w:val="heading 2"/>
    <w:basedOn w:val="Normal"/>
    <w:next w:val="Normal"/>
    <w:qFormat/>
    <w:pPr>
      <w:keepNext/>
      <w:tabs>
        <w:tab w:pos="5387" w:val="left"/>
      </w:tabs>
      <w:jc w:val="both"/>
      <w:outlineLvl w:val="1"/>
    </w:pPr>
    <w:rPr>
      <w:sz w:val="24"/>
      <w:szCs w:val="24"/>
    </w:rPr>
  </w:style>
  <w:style w:styleId="Titre4" w:type="paragraph">
    <w:name w:val="heading 4"/>
    <w:basedOn w:val="Normal"/>
    <w:next w:val="Normal"/>
    <w:link w:val="Titre4Car"/>
    <w:semiHidden/>
    <w:unhideWhenUsed/>
    <w:qFormat/>
    <w:rsid w:val="000A08A0"/>
    <w:pPr>
      <w:keepNext/>
      <w:keepLines/>
      <w:spacing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9253D8"/>
    <w:pPr>
      <w:ind w:left="720"/>
      <w:contextualSpacing/>
    </w:pPr>
  </w:style>
  <w:style w:styleId="Textedebulles" w:type="paragraph">
    <w:name w:val="Balloon Text"/>
    <w:basedOn w:val="Normal"/>
    <w:link w:val="TextedebullesCar"/>
    <w:rsid w:val="00AE6DE5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rsid w:val="00AE6DE5"/>
    <w:rPr>
      <w:rFonts w:ascii="Segoe UI" w:cs="Segoe UI" w:hAnsi="Segoe UI"/>
      <w:sz w:val="18"/>
      <w:szCs w:val="18"/>
    </w:rPr>
  </w:style>
  <w:style w:customStyle="1" w:styleId="Titre4Car" w:type="character">
    <w:name w:val="Titre 4 Car"/>
    <w:basedOn w:val="Policepardfaut"/>
    <w:link w:val="Titre4"/>
    <w:semiHidden/>
    <w:rsid w:val="000A08A0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Corpsdetexte3" w:type="paragraph">
    <w:name w:val="Body Text 3"/>
    <w:basedOn w:val="Normal"/>
    <w:link w:val="Corpsdetexte3Car"/>
    <w:qFormat/>
    <w:rsid w:val="000A08A0"/>
    <w:pPr>
      <w:jc w:val="both"/>
    </w:pPr>
    <w:rPr>
      <w:rFonts w:ascii="Arial" w:cs="Arial" w:hAnsi="Arial"/>
      <w:i/>
      <w:iCs/>
      <w:szCs w:val="24"/>
      <w:lang w:eastAsia="zh-CN"/>
    </w:rPr>
  </w:style>
  <w:style w:customStyle="1" w:styleId="Corpsdetexte3Car" w:type="character">
    <w:name w:val="Corps de texte 3 Car"/>
    <w:basedOn w:val="Policepardfaut"/>
    <w:link w:val="Corpsdetexte3"/>
    <w:rsid w:val="000A08A0"/>
    <w:rPr>
      <w:rFonts w:ascii="Arial" w:cs="Arial" w:hAnsi="Arial"/>
      <w:i/>
      <w:iCs/>
      <w:szCs w:val="24"/>
      <w:lang w:eastAsia="zh-CN"/>
    </w:rPr>
  </w:style>
  <w:style w:styleId="Grilledutableau" w:type="table">
    <w:name w:val="Table Grid"/>
    <w:basedOn w:val="TableauNormal"/>
    <w:rsid w:val="00DA6D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1673</Characters>
  <Application>Microsoft Office Word</Application>
  <DocSecurity>0</DocSecurity>
  <Lines>13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salarial 2007</vt:lpstr>
    </vt:vector>
  </TitlesOfParts>
  <Company>CGT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2022-01-12T09:10:00Z</dcterms:created>
  <cp:lastPrinted>2022-01-11T11:49:00Z</cp:lastPrinted>
  <dcterms:modified xsi:type="dcterms:W3CDTF">2022-01-12T12:41:00Z</dcterms:modified>
  <cp:revision>4</cp:revision>
  <dc:title>Accord salarial 2007</dc:title>
</cp:coreProperties>
</file>