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
    </w:p>
    <w:p>
      <w:pPr>
        <w:pStyle w:val="Normal"/>
        <w:ind w:left="0" w:hanging="0"/>
        <w:rPr/>
      </w:pPr>
      <w:r>
        <w:rPr/>
      </w:r>
    </w:p>
    <w:p>
      <w:pPr>
        <w:pStyle w:val="Normal"/>
        <w:ind w:left="0" w:hanging="0"/>
        <w:rPr>
          <w:b/>
          <w:b/>
          <w:sz w:val="40"/>
          <w:szCs w:val="40"/>
        </w:rPr>
      </w:pPr>
      <w:r>
        <w:rPr>
          <w:b/>
          <w:sz w:val="40"/>
          <w:szCs w:val="40"/>
        </w:rPr>
      </w:r>
    </w:p>
    <w:p>
      <w:pPr>
        <w:pStyle w:val="Normal"/>
        <w:pBdr>
          <w:top w:val="single" w:sz="4" w:space="1" w:color="000000"/>
          <w:left w:val="single" w:sz="4" w:space="4" w:color="000000"/>
          <w:bottom w:val="single" w:sz="4" w:space="1" w:color="000000"/>
          <w:right w:val="single" w:sz="4" w:space="4" w:color="000000"/>
        </w:pBdr>
        <w:ind w:left="0" w:hanging="0"/>
        <w:jc w:val="center"/>
        <w:rPr>
          <w:b/>
          <w:b/>
          <w:sz w:val="16"/>
          <w:szCs w:val="16"/>
        </w:rPr>
      </w:pPr>
      <w:r>
        <w:rPr>
          <w:b/>
          <w:sz w:val="16"/>
          <w:szCs w:val="16"/>
        </w:rPr>
      </w:r>
    </w:p>
    <w:p>
      <w:pPr>
        <w:pStyle w:val="Normal"/>
        <w:pBdr>
          <w:top w:val="single" w:sz="4" w:space="1" w:color="000000"/>
          <w:left w:val="single" w:sz="4" w:space="4" w:color="000000"/>
          <w:bottom w:val="single" w:sz="4" w:space="1" w:color="000000"/>
          <w:right w:val="single" w:sz="4" w:space="4" w:color="000000"/>
        </w:pBdr>
        <w:ind w:left="0" w:hanging="0"/>
        <w:jc w:val="center"/>
        <w:rPr>
          <w:b/>
          <w:b/>
          <w:sz w:val="36"/>
          <w:szCs w:val="36"/>
        </w:rPr>
      </w:pPr>
      <w:r>
        <w:rPr>
          <w:b/>
          <w:sz w:val="36"/>
          <w:szCs w:val="36"/>
        </w:rPr>
        <w:t>Accord d’entreprise - NA0 2022</w:t>
      </w:r>
    </w:p>
    <w:p>
      <w:pPr>
        <w:pStyle w:val="Normal"/>
        <w:pBdr>
          <w:top w:val="single" w:sz="4" w:space="1" w:color="000000"/>
          <w:left w:val="single" w:sz="4" w:space="4" w:color="000000"/>
          <w:bottom w:val="single" w:sz="4" w:space="1" w:color="000000"/>
          <w:right w:val="single" w:sz="4" w:space="4" w:color="000000"/>
        </w:pBdr>
        <w:ind w:left="0" w:hanging="0"/>
        <w:rPr>
          <w:b/>
          <w:b/>
          <w:sz w:val="16"/>
          <w:szCs w:val="16"/>
        </w:rPr>
      </w:pPr>
      <w:r>
        <w:rPr>
          <w:b/>
          <w:sz w:val="16"/>
          <w:szCs w:val="16"/>
        </w:rPr>
      </w:r>
    </w:p>
    <w:p>
      <w:pPr>
        <w:pStyle w:val="Normal"/>
        <w:rPr>
          <w:b/>
          <w:b/>
          <w:sz w:val="16"/>
          <w:szCs w:val="16"/>
        </w:rPr>
      </w:pPr>
      <w:r>
        <w:rPr>
          <w:b/>
          <w:sz w:val="16"/>
          <w:szCs w:val="16"/>
        </w:rPr>
      </w:r>
    </w:p>
    <w:p>
      <w:pPr>
        <w:pStyle w:val="Normal"/>
        <w:ind w:left="0" w:hanging="0"/>
        <w:rPr>
          <w:b/>
          <w:b/>
          <w:bCs/>
          <w:sz w:val="24"/>
          <w:szCs w:val="24"/>
          <w:u w:val="single"/>
        </w:rPr>
      </w:pPr>
      <w:r>
        <w:rPr>
          <w:b/>
          <w:bCs/>
          <w:sz w:val="24"/>
          <w:szCs w:val="24"/>
          <w:u w:val="single"/>
        </w:rPr>
        <w:t>ENTRE :</w:t>
      </w:r>
    </w:p>
    <w:p>
      <w:pPr>
        <w:pStyle w:val="Normal"/>
        <w:ind w:left="0" w:hanging="0"/>
        <w:rPr>
          <w:b/>
          <w:b/>
          <w:bCs/>
          <w:sz w:val="24"/>
          <w:szCs w:val="24"/>
          <w:u w:val="single"/>
        </w:rPr>
      </w:pPr>
      <w:r>
        <w:rPr>
          <w:b/>
          <w:bCs/>
          <w:sz w:val="24"/>
          <w:szCs w:val="24"/>
          <w:u w:val="single"/>
        </w:rPr>
      </w:r>
    </w:p>
    <w:p>
      <w:pPr>
        <w:pStyle w:val="Normal"/>
        <w:ind w:left="0" w:hanging="0"/>
        <w:rPr/>
      </w:pPr>
      <w:r>
        <w:rPr>
          <w:sz w:val="24"/>
          <w:szCs w:val="24"/>
        </w:rPr>
        <w:t>La Société BENTIN, dont le siège social est situé 2 rue Maurice de Broglie à Aulnay-sous-Bois (93600), immatriculée au registre des commerces et des sociétés de Bobigny sous le numéro 598 201 101, représentée par M., en sa qualité de Directeur Général,</w:t>
      </w:r>
    </w:p>
    <w:p>
      <w:pPr>
        <w:pStyle w:val="Normal"/>
        <w:tabs>
          <w:tab w:val="left" w:pos="5604" w:leader="none"/>
        </w:tabs>
        <w:ind w:left="0" w:hanging="0"/>
        <w:rPr>
          <w:sz w:val="24"/>
          <w:szCs w:val="24"/>
        </w:rPr>
      </w:pPr>
      <w:r>
        <w:rPr>
          <w:sz w:val="24"/>
          <w:szCs w:val="24"/>
        </w:rPr>
        <w:t>Ci-après dénommée « la Société »</w:t>
        <w:tab/>
      </w:r>
    </w:p>
    <w:p>
      <w:pPr>
        <w:pStyle w:val="Normal"/>
        <w:ind w:left="0" w:hanging="0"/>
        <w:rPr>
          <w:b/>
          <w:b/>
          <w:bCs/>
          <w:i/>
          <w:i/>
          <w:iCs/>
          <w:sz w:val="24"/>
          <w:szCs w:val="24"/>
        </w:rPr>
      </w:pPr>
      <w:r>
        <w:rPr>
          <w:b/>
          <w:bCs/>
          <w:i/>
          <w:iCs/>
          <w:sz w:val="24"/>
          <w:szCs w:val="24"/>
        </w:rPr>
        <w:t>D’une part,</w:t>
      </w:r>
    </w:p>
    <w:p>
      <w:pPr>
        <w:pStyle w:val="Normal"/>
        <w:ind w:left="0" w:hanging="0"/>
        <w:rPr>
          <w:b/>
          <w:b/>
          <w:bCs/>
          <w:i/>
          <w:i/>
          <w:iCs/>
          <w:sz w:val="24"/>
          <w:szCs w:val="24"/>
        </w:rPr>
      </w:pPr>
      <w:r>
        <w:rPr>
          <w:b/>
          <w:bCs/>
          <w:i/>
          <w:iCs/>
          <w:sz w:val="24"/>
          <w:szCs w:val="24"/>
        </w:rPr>
      </w:r>
    </w:p>
    <w:p>
      <w:pPr>
        <w:pStyle w:val="Normal"/>
        <w:ind w:left="0" w:hanging="0"/>
        <w:rPr>
          <w:b/>
          <w:b/>
          <w:bCs/>
          <w:sz w:val="24"/>
          <w:szCs w:val="24"/>
          <w:u w:val="single"/>
        </w:rPr>
      </w:pPr>
      <w:r>
        <w:rPr>
          <w:b/>
          <w:bCs/>
          <w:sz w:val="24"/>
          <w:szCs w:val="24"/>
          <w:u w:val="single"/>
        </w:rPr>
        <w:t>ET</w:t>
      </w:r>
    </w:p>
    <w:p>
      <w:pPr>
        <w:pStyle w:val="Normal"/>
        <w:ind w:left="0" w:hanging="0"/>
        <w:rPr>
          <w:b/>
          <w:b/>
          <w:bCs/>
          <w:sz w:val="24"/>
          <w:szCs w:val="24"/>
          <w:u w:val="single"/>
        </w:rPr>
      </w:pPr>
      <w:r>
        <w:rPr>
          <w:b/>
          <w:bCs/>
          <w:sz w:val="24"/>
          <w:szCs w:val="24"/>
          <w:u w:val="single"/>
        </w:rPr>
      </w:r>
    </w:p>
    <w:p>
      <w:pPr>
        <w:pStyle w:val="Normal"/>
        <w:ind w:left="0" w:hanging="0"/>
        <w:rPr>
          <w:sz w:val="24"/>
          <w:szCs w:val="24"/>
        </w:rPr>
      </w:pPr>
      <w:r>
        <w:rPr>
          <w:b/>
          <w:bCs/>
          <w:sz w:val="24"/>
          <w:szCs w:val="24"/>
        </w:rPr>
        <w:t>Les syndicats</w:t>
      </w:r>
      <w:r>
        <w:rPr>
          <w:sz w:val="24"/>
          <w:szCs w:val="24"/>
        </w:rPr>
        <w:t>, représentés par :</w:t>
      </w:r>
    </w:p>
    <w:p>
      <w:pPr>
        <w:pStyle w:val="Normal"/>
        <w:ind w:left="0" w:hanging="0"/>
        <w:rPr>
          <w:sz w:val="24"/>
          <w:szCs w:val="24"/>
        </w:rPr>
      </w:pPr>
      <w:r>
        <w:rPr>
          <w:sz w:val="24"/>
          <w:szCs w:val="24"/>
        </w:rPr>
      </w:r>
    </w:p>
    <w:p>
      <w:pPr>
        <w:pStyle w:val="Normal"/>
        <w:ind w:left="0" w:hanging="0"/>
        <w:rPr/>
      </w:pPr>
      <w:r>
        <w:rPr>
          <w:sz w:val="24"/>
          <w:szCs w:val="24"/>
        </w:rPr>
        <w:t>M., Délégué Syndical CGT,</w:t>
      </w:r>
    </w:p>
    <w:p>
      <w:pPr>
        <w:pStyle w:val="Normal"/>
        <w:ind w:left="0" w:hanging="0"/>
        <w:rPr>
          <w:sz w:val="24"/>
          <w:szCs w:val="24"/>
        </w:rPr>
      </w:pPr>
      <w:r>
        <w:rPr>
          <w:sz w:val="24"/>
          <w:szCs w:val="24"/>
        </w:rPr>
        <w:t>M., Délégué Syndical CFDT,</w:t>
      </w:r>
    </w:p>
    <w:p>
      <w:pPr>
        <w:pStyle w:val="Normal"/>
        <w:ind w:left="0" w:hanging="0"/>
        <w:rPr>
          <w:sz w:val="24"/>
          <w:szCs w:val="24"/>
        </w:rPr>
      </w:pPr>
      <w:r>
        <w:rPr>
          <w:sz w:val="24"/>
          <w:szCs w:val="24"/>
        </w:rPr>
      </w:r>
    </w:p>
    <w:p>
      <w:pPr>
        <w:pStyle w:val="Normal"/>
        <w:ind w:left="0" w:hanging="0"/>
        <w:rPr>
          <w:b/>
          <w:b/>
          <w:bCs/>
          <w:i/>
          <w:i/>
          <w:iCs/>
          <w:sz w:val="24"/>
          <w:szCs w:val="24"/>
        </w:rPr>
      </w:pPr>
      <w:r>
        <w:rPr>
          <w:b/>
          <w:bCs/>
          <w:i/>
          <w:iCs/>
          <w:sz w:val="24"/>
          <w:szCs w:val="24"/>
        </w:rPr>
        <w:t>D’autre part,</w:t>
      </w:r>
    </w:p>
    <w:p>
      <w:pPr>
        <w:pStyle w:val="Normal"/>
        <w:ind w:left="0" w:hanging="0"/>
        <w:rPr>
          <w:b/>
          <w:b/>
          <w:bCs/>
          <w:i/>
          <w:i/>
          <w:iCs/>
          <w:sz w:val="24"/>
          <w:szCs w:val="24"/>
        </w:rPr>
      </w:pPr>
      <w:r>
        <w:rPr>
          <w:b/>
          <w:bCs/>
          <w:i/>
          <w:iCs/>
          <w:sz w:val="24"/>
          <w:szCs w:val="24"/>
        </w:rPr>
      </w:r>
    </w:p>
    <w:p>
      <w:pPr>
        <w:pStyle w:val="Normal"/>
        <w:ind w:left="0" w:hanging="0"/>
        <w:rPr/>
      </w:pPr>
      <w:r>
        <w:rPr>
          <w:sz w:val="24"/>
          <w:szCs w:val="24"/>
        </w:rPr>
        <w:t>Il a été convenu et arrêté ce qui suit :</w:t>
      </w:r>
    </w:p>
    <w:p>
      <w:pPr>
        <w:pStyle w:val="Normal"/>
        <w:ind w:left="0" w:hanging="0"/>
        <w:rPr>
          <w:sz w:val="24"/>
          <w:szCs w:val="24"/>
        </w:rPr>
      </w:pPr>
      <w:r>
        <w:rPr>
          <w:sz w:val="24"/>
          <w:szCs w:val="24"/>
        </w:rPr>
      </w:r>
    </w:p>
    <w:p>
      <w:pPr>
        <w:pStyle w:val="Normal"/>
        <w:pBdr>
          <w:top w:val="single" w:sz="4" w:space="1" w:color="000000"/>
          <w:left w:val="single" w:sz="4" w:space="4" w:color="000000"/>
          <w:bottom w:val="single" w:sz="4" w:space="1" w:color="000000"/>
          <w:right w:val="single" w:sz="4" w:space="4" w:color="000000"/>
        </w:pBdr>
        <w:ind w:left="0" w:hanging="0"/>
        <w:jc w:val="center"/>
        <w:rPr>
          <w:b/>
          <w:b/>
          <w:bCs/>
          <w:sz w:val="24"/>
          <w:szCs w:val="24"/>
        </w:rPr>
      </w:pPr>
      <w:r>
        <w:rPr>
          <w:b/>
          <w:bCs/>
          <w:sz w:val="24"/>
          <w:szCs w:val="24"/>
        </w:rPr>
        <w:t>PREAMBULE</w:t>
      </w:r>
    </w:p>
    <w:p>
      <w:pPr>
        <w:pStyle w:val="Normal"/>
        <w:ind w:left="0" w:hanging="0"/>
        <w:rPr>
          <w:b/>
          <w:b/>
          <w:bCs/>
          <w:sz w:val="24"/>
          <w:szCs w:val="24"/>
        </w:rPr>
      </w:pPr>
      <w:r>
        <w:rPr>
          <w:b/>
          <w:bCs/>
          <w:sz w:val="24"/>
          <w:szCs w:val="24"/>
        </w:rPr>
      </w:r>
    </w:p>
    <w:p>
      <w:pPr>
        <w:pStyle w:val="Normal"/>
        <w:ind w:left="0" w:hanging="0"/>
        <w:rPr>
          <w:sz w:val="24"/>
          <w:szCs w:val="24"/>
        </w:rPr>
      </w:pPr>
      <w:r>
        <w:rPr>
          <w:sz w:val="24"/>
          <w:szCs w:val="24"/>
        </w:rPr>
        <w:t>Les réunions de négociation annuelles se sont tenues les 07, 18 et 28 janvier 2022. La négociation a porté sur les rémunérations et l’égalité professionnelle. Les organisations syndicales ont transmis leurs revendications qui ont été étudiées. La CGT souhaitait une augmentation des salaires de 3.5% avec une attention particulière sur les ouvriers ayant les coefficients les plus bas, notamment les terrassiers. La CFDT souhaitait une augmentation des salaires de 3%.</w:t>
      </w:r>
    </w:p>
    <w:p>
      <w:pPr>
        <w:pStyle w:val="Normal"/>
        <w:ind w:left="0" w:hanging="0"/>
        <w:rPr>
          <w:sz w:val="24"/>
          <w:szCs w:val="24"/>
        </w:rPr>
      </w:pPr>
      <w:r>
        <w:rPr>
          <w:sz w:val="24"/>
          <w:szCs w:val="24"/>
        </w:rPr>
      </w:r>
    </w:p>
    <w:p>
      <w:pPr>
        <w:pStyle w:val="Normal"/>
        <w:ind w:left="0" w:hanging="0"/>
        <w:rPr>
          <w:b/>
          <w:b/>
          <w:bCs/>
          <w:sz w:val="24"/>
          <w:szCs w:val="24"/>
          <w:u w:val="single"/>
        </w:rPr>
      </w:pPr>
      <w:r>
        <w:rPr>
          <w:b/>
          <w:bCs/>
          <w:sz w:val="24"/>
          <w:szCs w:val="24"/>
          <w:u w:val="single"/>
        </w:rPr>
        <w:t>Article 1 : Rémunérations</w:t>
      </w:r>
    </w:p>
    <w:p>
      <w:pPr>
        <w:pStyle w:val="Normal"/>
        <w:ind w:left="0" w:hanging="0"/>
        <w:rPr>
          <w:b/>
          <w:b/>
          <w:bCs/>
          <w:sz w:val="24"/>
          <w:szCs w:val="24"/>
          <w:u w:val="single"/>
        </w:rPr>
      </w:pPr>
      <w:r>
        <w:rPr>
          <w:b/>
          <w:bCs/>
          <w:sz w:val="24"/>
          <w:szCs w:val="24"/>
          <w:u w:val="single"/>
        </w:rPr>
      </w:r>
    </w:p>
    <w:p>
      <w:pPr>
        <w:pStyle w:val="Normal"/>
        <w:ind w:left="0" w:hanging="0"/>
        <w:rPr>
          <w:sz w:val="24"/>
          <w:szCs w:val="24"/>
        </w:rPr>
      </w:pPr>
      <w:r>
        <w:rPr>
          <w:sz w:val="24"/>
          <w:szCs w:val="24"/>
        </w:rPr>
        <w:t>Selon les statistiques de l’INSEE, l’inflation des prix à la consommation a été de 2.8% pour l’année 2021.</w:t>
      </w:r>
    </w:p>
    <w:p>
      <w:pPr>
        <w:pStyle w:val="Normal"/>
        <w:ind w:left="0" w:hanging="0"/>
        <w:rPr>
          <w:sz w:val="24"/>
          <w:szCs w:val="24"/>
        </w:rPr>
      </w:pPr>
      <w:r>
        <w:rPr>
          <w:sz w:val="24"/>
          <w:szCs w:val="24"/>
        </w:rPr>
      </w:r>
    </w:p>
    <w:p>
      <w:pPr>
        <w:pStyle w:val="Normal"/>
        <w:ind w:left="0" w:hanging="0"/>
        <w:rPr>
          <w:sz w:val="24"/>
          <w:szCs w:val="24"/>
        </w:rPr>
      </w:pPr>
      <w:r>
        <w:rPr>
          <w:sz w:val="24"/>
          <w:szCs w:val="24"/>
        </w:rPr>
        <w:t>La Direction prévoyait d’appliquer une enveloppe équivalente au montant de l’inflation.</w:t>
      </w:r>
    </w:p>
    <w:p>
      <w:pPr>
        <w:pStyle w:val="Normal"/>
        <w:ind w:left="0" w:hanging="0"/>
        <w:rPr>
          <w:sz w:val="24"/>
          <w:szCs w:val="24"/>
        </w:rPr>
      </w:pPr>
      <w:r>
        <w:rPr>
          <w:sz w:val="24"/>
          <w:szCs w:val="24"/>
        </w:rPr>
      </w:r>
      <w:r>
        <w:br w:type="page"/>
      </w:r>
    </w:p>
    <w:p>
      <w:pPr>
        <w:pStyle w:val="Normal"/>
        <w:ind w:left="0" w:hanging="0"/>
        <w:rPr/>
      </w:pPr>
      <w:r>
        <w:rPr>
          <w:sz w:val="24"/>
          <w:szCs w:val="24"/>
        </w:rPr>
        <w:t>Après discussion, les parties conviennent qu’à compter du 1</w:t>
      </w:r>
      <w:r>
        <w:rPr>
          <w:sz w:val="24"/>
          <w:szCs w:val="24"/>
          <w:vertAlign w:val="superscript"/>
        </w:rPr>
        <w:t>er</w:t>
      </w:r>
      <w:r>
        <w:rPr>
          <w:sz w:val="24"/>
          <w:szCs w:val="24"/>
        </w:rPr>
        <w:t xml:space="preserve"> mars 2022, une enveloppe globale et minimale de 3% sera consacrée à l’augmentation des taux horaires des collaborateurs.</w:t>
      </w:r>
    </w:p>
    <w:p>
      <w:pPr>
        <w:pStyle w:val="Normal"/>
        <w:ind w:left="0" w:hanging="0"/>
        <w:rPr>
          <w:sz w:val="24"/>
          <w:szCs w:val="24"/>
        </w:rPr>
      </w:pPr>
      <w:r>
        <w:rPr>
          <w:sz w:val="24"/>
          <w:szCs w:val="24"/>
        </w:rPr>
      </w:r>
    </w:p>
    <w:p>
      <w:pPr>
        <w:pStyle w:val="Normal"/>
        <w:ind w:left="0" w:hanging="0"/>
        <w:rPr>
          <w:sz w:val="24"/>
          <w:szCs w:val="24"/>
        </w:rPr>
      </w:pPr>
      <w:r>
        <w:rPr>
          <w:sz w:val="24"/>
          <w:szCs w:val="24"/>
        </w:rPr>
        <w:t>Les parties conviennent que les augmentations resteront individualisées.</w:t>
      </w:r>
    </w:p>
    <w:p>
      <w:pPr>
        <w:pStyle w:val="Normal"/>
        <w:ind w:left="0" w:hanging="0"/>
        <w:rPr>
          <w:b/>
          <w:b/>
          <w:bCs/>
          <w:sz w:val="24"/>
          <w:szCs w:val="24"/>
          <w:u w:val="single"/>
        </w:rPr>
      </w:pPr>
      <w:r>
        <w:rPr>
          <w:b/>
          <w:bCs/>
          <w:sz w:val="24"/>
          <w:szCs w:val="24"/>
          <w:u w:val="single"/>
        </w:rPr>
      </w:r>
    </w:p>
    <w:p>
      <w:pPr>
        <w:pStyle w:val="Normal"/>
        <w:ind w:left="0" w:hanging="0"/>
        <w:rPr>
          <w:sz w:val="24"/>
          <w:szCs w:val="24"/>
        </w:rPr>
      </w:pPr>
      <w:r>
        <w:rPr>
          <w:sz w:val="24"/>
          <w:szCs w:val="24"/>
        </w:rPr>
        <w:t>Parallèlement, certains élus du CSE avaient évoqué lors de la réunion du CSE de décembre 2019, la mise en place de titre restaurant pour les salariés sédentaires ETAM et cadres qui ne bénéficiaient pas de prise en charge de leur repas. La Direction avait émis son accord de principe mais avait reporté sa mise en place à une date ultérieure compte tenu du redressement en cours des résultats économiques de la société et du risque de pénaliser l’enveloppe des augmentations individuelles au regard du coût de la mesure.</w:t>
      </w:r>
    </w:p>
    <w:p>
      <w:pPr>
        <w:pStyle w:val="Normal"/>
        <w:ind w:left="0" w:hanging="0"/>
        <w:rPr>
          <w:sz w:val="24"/>
          <w:szCs w:val="24"/>
        </w:rPr>
      </w:pPr>
      <w:r>
        <w:rPr>
          <w:sz w:val="24"/>
          <w:szCs w:val="24"/>
        </w:rPr>
      </w:r>
    </w:p>
    <w:p>
      <w:pPr>
        <w:pStyle w:val="Normal"/>
        <w:ind w:left="0" w:hanging="0"/>
        <w:rPr/>
      </w:pPr>
      <w:r>
        <w:rPr>
          <w:sz w:val="24"/>
          <w:szCs w:val="24"/>
        </w:rPr>
        <w:t xml:space="preserve">La Direction a donc souhaité tenir son engagement et souhaite mettre en place cette mesure en 2022. </w:t>
      </w:r>
    </w:p>
    <w:p>
      <w:pPr>
        <w:pStyle w:val="Normal"/>
        <w:ind w:left="0" w:hanging="0"/>
        <w:rPr>
          <w:sz w:val="24"/>
          <w:szCs w:val="24"/>
        </w:rPr>
      </w:pPr>
      <w:r>
        <w:rPr>
          <w:sz w:val="24"/>
          <w:szCs w:val="24"/>
        </w:rPr>
      </w:r>
    </w:p>
    <w:p>
      <w:pPr>
        <w:pStyle w:val="Normal"/>
        <w:ind w:left="0" w:hanging="0"/>
        <w:rPr/>
      </w:pPr>
      <w:r>
        <w:rPr>
          <w:sz w:val="24"/>
          <w:szCs w:val="24"/>
        </w:rPr>
        <w:t xml:space="preserve">La valeur faciale du titre de restaurant sera de 10€, 50% étant pris en charge par la société et 50% restant à la charge du salarié. </w:t>
      </w:r>
    </w:p>
    <w:p>
      <w:pPr>
        <w:pStyle w:val="Normal"/>
        <w:ind w:left="0" w:hanging="0"/>
        <w:rPr>
          <w:sz w:val="24"/>
          <w:szCs w:val="24"/>
        </w:rPr>
      </w:pPr>
      <w:r>
        <w:rPr>
          <w:sz w:val="24"/>
          <w:szCs w:val="24"/>
        </w:rPr>
        <w:t>Cette mesure s’appliquera aux salariés ne bénéficiant pas de l’indemnité de panier prévue par la convention collective. Il sera attribué par journée travaillée, sous réserve que la journée comporte une pause pour le repas.</w:t>
      </w:r>
    </w:p>
    <w:p>
      <w:pPr>
        <w:pStyle w:val="Normal"/>
        <w:ind w:left="0" w:hanging="0"/>
        <w:rPr>
          <w:sz w:val="24"/>
          <w:szCs w:val="24"/>
        </w:rPr>
      </w:pPr>
      <w:r>
        <w:rPr>
          <w:sz w:val="24"/>
          <w:szCs w:val="24"/>
        </w:rPr>
        <w:t>Le titre restaurant ne se cumule pas avec le remboursement forfaitaire du repas (notamment en cas de déplacement) ou en cas de prise en charge du repas par la société.</w:t>
      </w:r>
    </w:p>
    <w:p>
      <w:pPr>
        <w:pStyle w:val="Normal"/>
        <w:ind w:left="0" w:hanging="0"/>
        <w:rPr>
          <w:sz w:val="24"/>
          <w:szCs w:val="24"/>
        </w:rPr>
      </w:pPr>
      <w:r>
        <w:rPr>
          <w:sz w:val="24"/>
          <w:szCs w:val="24"/>
        </w:rPr>
        <w:t>La gestion se faisant a posteriori, le salarié percevra en mois M+1 les titres restaurant relatifs au mois M en fonction des droits ouverts.</w:t>
      </w:r>
    </w:p>
    <w:p>
      <w:pPr>
        <w:pStyle w:val="Normal"/>
        <w:ind w:left="0" w:hanging="0"/>
        <w:rPr>
          <w:b/>
          <w:b/>
          <w:bCs/>
          <w:sz w:val="24"/>
          <w:szCs w:val="24"/>
          <w:u w:val="single"/>
        </w:rPr>
      </w:pPr>
      <w:r>
        <w:rPr>
          <w:b/>
          <w:bCs/>
          <w:sz w:val="24"/>
          <w:szCs w:val="24"/>
          <w:u w:val="single"/>
        </w:rPr>
      </w:r>
    </w:p>
    <w:p>
      <w:pPr>
        <w:pStyle w:val="Normal"/>
        <w:ind w:left="0" w:hanging="0"/>
        <w:rPr>
          <w:b/>
          <w:b/>
          <w:bCs/>
          <w:sz w:val="24"/>
          <w:szCs w:val="24"/>
          <w:u w:val="single"/>
        </w:rPr>
      </w:pPr>
      <w:r>
        <w:rPr>
          <w:b/>
          <w:bCs/>
          <w:sz w:val="24"/>
          <w:szCs w:val="24"/>
          <w:u w:val="single"/>
        </w:rPr>
        <w:t>Article 2 : Egalité professionnelle</w:t>
      </w:r>
    </w:p>
    <w:p>
      <w:pPr>
        <w:pStyle w:val="Normal"/>
        <w:ind w:left="0" w:hanging="0"/>
        <w:rPr>
          <w:b/>
          <w:b/>
          <w:bCs/>
          <w:sz w:val="24"/>
          <w:szCs w:val="24"/>
          <w:u w:val="single"/>
        </w:rPr>
      </w:pPr>
      <w:r>
        <w:rPr>
          <w:b/>
          <w:bCs/>
          <w:sz w:val="24"/>
          <w:szCs w:val="24"/>
          <w:u w:val="single"/>
        </w:rPr>
      </w:r>
    </w:p>
    <w:p>
      <w:pPr>
        <w:pStyle w:val="Normal"/>
        <w:ind w:left="0" w:hanging="0"/>
        <w:rPr>
          <w:sz w:val="24"/>
          <w:szCs w:val="24"/>
        </w:rPr>
      </w:pPr>
      <w:r>
        <w:rPr>
          <w:sz w:val="24"/>
          <w:szCs w:val="24"/>
        </w:rPr>
        <w:t>Un accord relatif à l’égalité professionnelle est signé en parallèle du présent accord. Il s’appliquera pour une durée de 3 ans.</w:t>
      </w:r>
    </w:p>
    <w:p>
      <w:pPr>
        <w:pStyle w:val="Normal"/>
        <w:ind w:left="0" w:hanging="0"/>
        <w:rPr>
          <w:sz w:val="24"/>
          <w:szCs w:val="24"/>
        </w:rPr>
      </w:pPr>
      <w:r>
        <w:rPr>
          <w:sz w:val="24"/>
          <w:szCs w:val="24"/>
        </w:rPr>
      </w:r>
    </w:p>
    <w:p>
      <w:pPr>
        <w:pStyle w:val="Normal"/>
        <w:ind w:left="0" w:hanging="0"/>
        <w:rPr>
          <w:b/>
          <w:b/>
          <w:bCs/>
          <w:sz w:val="24"/>
          <w:szCs w:val="24"/>
          <w:u w:val="single"/>
        </w:rPr>
      </w:pPr>
      <w:r>
        <w:rPr>
          <w:b/>
          <w:bCs/>
          <w:sz w:val="24"/>
          <w:szCs w:val="24"/>
          <w:u w:val="single"/>
        </w:rPr>
        <w:t>Article 3 : Entrée en vigueur et application de l’accord</w:t>
      </w:r>
    </w:p>
    <w:p>
      <w:pPr>
        <w:pStyle w:val="Normal"/>
        <w:ind w:left="0" w:hanging="0"/>
        <w:rPr/>
      </w:pPr>
      <w:r>
        <w:rPr>
          <w:sz w:val="24"/>
          <w:szCs w:val="24"/>
        </w:rPr>
        <w:t>Le présent accord s’appliquera à l’ensemble du personnel de la société BENTIN, quels que soient :</w:t>
      </w:r>
    </w:p>
    <w:p>
      <w:pPr>
        <w:pStyle w:val="Normal"/>
        <w:numPr>
          <w:ilvl w:val="0"/>
          <w:numId w:val="1"/>
        </w:numPr>
        <w:rPr>
          <w:sz w:val="24"/>
          <w:szCs w:val="24"/>
        </w:rPr>
      </w:pPr>
      <w:r>
        <w:rPr>
          <w:sz w:val="24"/>
          <w:szCs w:val="24"/>
        </w:rPr>
        <w:t>La nature de leur contrat de travail</w:t>
      </w:r>
    </w:p>
    <w:p>
      <w:pPr>
        <w:pStyle w:val="Normal"/>
        <w:numPr>
          <w:ilvl w:val="0"/>
          <w:numId w:val="1"/>
        </w:numPr>
        <w:rPr>
          <w:sz w:val="24"/>
          <w:szCs w:val="24"/>
        </w:rPr>
      </w:pPr>
      <w:r>
        <w:rPr>
          <w:sz w:val="24"/>
          <w:szCs w:val="24"/>
        </w:rPr>
        <w:t>Leur fonction</w:t>
      </w:r>
    </w:p>
    <w:p>
      <w:pPr>
        <w:pStyle w:val="Normal"/>
        <w:numPr>
          <w:ilvl w:val="0"/>
          <w:numId w:val="1"/>
        </w:numPr>
        <w:rPr>
          <w:b/>
          <w:b/>
          <w:bCs/>
          <w:sz w:val="24"/>
          <w:szCs w:val="24"/>
          <w:u w:val="single"/>
        </w:rPr>
      </w:pPr>
      <w:r>
        <w:rPr>
          <w:sz w:val="24"/>
          <w:szCs w:val="24"/>
        </w:rPr>
        <w:t>Leur durée du travail</w:t>
      </w:r>
    </w:p>
    <w:p>
      <w:pPr>
        <w:pStyle w:val="Normal"/>
        <w:ind w:left="0" w:hanging="0"/>
        <w:rPr>
          <w:b/>
          <w:b/>
          <w:bCs/>
          <w:sz w:val="24"/>
          <w:szCs w:val="24"/>
          <w:u w:val="single"/>
        </w:rPr>
      </w:pPr>
      <w:r>
        <w:rPr>
          <w:b/>
          <w:bCs/>
          <w:sz w:val="24"/>
          <w:szCs w:val="24"/>
          <w:u w:val="single"/>
        </w:rPr>
      </w:r>
    </w:p>
    <w:p>
      <w:pPr>
        <w:pStyle w:val="Normal"/>
        <w:ind w:left="0" w:hanging="0"/>
        <w:rPr>
          <w:b/>
          <w:b/>
          <w:bCs/>
          <w:sz w:val="24"/>
          <w:szCs w:val="24"/>
          <w:u w:val="single"/>
        </w:rPr>
      </w:pPr>
      <w:r>
        <w:rPr>
          <w:b/>
          <w:bCs/>
          <w:sz w:val="24"/>
          <w:szCs w:val="24"/>
          <w:u w:val="single"/>
        </w:rPr>
        <w:t>Article 4 : Publicité de l’accord</w:t>
      </w:r>
      <w:r>
        <w:rPr>
          <w:b/>
          <w:sz w:val="24"/>
          <w:szCs w:val="24"/>
        </w:rPr>
        <w:t xml:space="preserve"> </w:t>
      </w:r>
    </w:p>
    <w:p>
      <w:pPr>
        <w:pStyle w:val="Normal"/>
        <w:ind w:left="0" w:hanging="0"/>
        <w:rPr>
          <w:sz w:val="24"/>
          <w:szCs w:val="24"/>
        </w:rPr>
      </w:pPr>
      <w:r>
        <w:rPr>
          <w:sz w:val="24"/>
          <w:szCs w:val="24"/>
        </w:rPr>
        <w:t>Le présent accord sera déposé par la Direction conformément aux dispositions légales en vigueur.</w:t>
      </w:r>
    </w:p>
    <w:p>
      <w:pPr>
        <w:pStyle w:val="Normal"/>
        <w:ind w:left="0" w:hanging="0"/>
        <w:rPr>
          <w:sz w:val="24"/>
          <w:szCs w:val="24"/>
        </w:rPr>
      </w:pPr>
      <w:r>
        <w:rPr>
          <w:sz w:val="24"/>
          <w:szCs w:val="24"/>
        </w:rPr>
        <w:t>Fait à Aulnay, le 04 février 2022</w:t>
      </w:r>
    </w:p>
    <w:p>
      <w:pPr>
        <w:pStyle w:val="Normal"/>
        <w:ind w:left="0" w:hanging="0"/>
        <w:rPr>
          <w:sz w:val="24"/>
          <w:szCs w:val="24"/>
        </w:rPr>
      </w:pPr>
      <w:r>
        <w:rPr>
          <w:sz w:val="24"/>
          <w:szCs w:val="24"/>
        </w:rPr>
      </w:r>
    </w:p>
    <w:p>
      <w:pPr>
        <w:pStyle w:val="Normal"/>
        <w:ind w:left="0" w:hanging="0"/>
        <w:rPr/>
      </w:pPr>
      <w:r>
        <w:rPr>
          <w:sz w:val="24"/>
          <w:szCs w:val="24"/>
        </w:rPr>
        <w:t>Pour l’entreprise,</w:t>
      </w:r>
    </w:p>
    <w:p>
      <w:pPr>
        <w:pStyle w:val="Normal"/>
        <w:ind w:left="0" w:hanging="0"/>
        <w:rPr>
          <w:sz w:val="24"/>
          <w:szCs w:val="24"/>
        </w:rPr>
      </w:pPr>
      <w:r>
        <w:rPr>
          <w:sz w:val="24"/>
          <w:szCs w:val="24"/>
        </w:rPr>
        <w:t>M.</w:t>
      </w:r>
    </w:p>
    <w:p>
      <w:pPr>
        <w:pStyle w:val="Normal"/>
        <w:ind w:left="0" w:hanging="0"/>
        <w:rPr>
          <w:sz w:val="24"/>
          <w:szCs w:val="24"/>
        </w:rPr>
      </w:pPr>
      <w:r>
        <w:rPr>
          <w:sz w:val="24"/>
          <w:szCs w:val="24"/>
        </w:rPr>
      </w:r>
    </w:p>
    <w:p>
      <w:pPr>
        <w:pStyle w:val="Normal"/>
        <w:ind w:left="0" w:hanging="0"/>
        <w:rPr>
          <w:sz w:val="24"/>
          <w:szCs w:val="24"/>
        </w:rPr>
      </w:pPr>
      <w:r>
        <w:rPr>
          <w:sz w:val="24"/>
          <w:szCs w:val="24"/>
        </w:rPr>
        <w:t>Pour les organisations syndicales,</w:t>
      </w:r>
    </w:p>
    <w:p>
      <w:pPr>
        <w:pStyle w:val="Normal"/>
        <w:ind w:left="0" w:hanging="0"/>
        <w:rPr>
          <w:sz w:val="24"/>
          <w:szCs w:val="24"/>
        </w:rPr>
      </w:pPr>
      <w:r>
        <w:rPr>
          <w:sz w:val="24"/>
          <w:szCs w:val="24"/>
        </w:rPr>
        <w:t>Pour la CFDT,  M.</w:t>
      </w:r>
    </w:p>
    <w:p>
      <w:pPr>
        <w:pStyle w:val="Normal"/>
        <w:ind w:left="0" w:hanging="0"/>
        <w:rPr>
          <w:sz w:val="24"/>
          <w:szCs w:val="24"/>
        </w:rPr>
      </w:pPr>
      <w:r>
        <w:rPr>
          <w:sz w:val="24"/>
          <w:szCs w:val="24"/>
        </w:rPr>
        <w:t>Pour la CGT, M.</w:t>
      </w:r>
    </w:p>
    <w:sectPr>
      <w:headerReference w:type="default" r:id="rId2"/>
      <w:headerReference w:type="first" r:id="rId3"/>
      <w:footerReference w:type="default" r:id="rId4"/>
      <w:footerReference w:type="first" r:id="rId5"/>
      <w:type w:val="nextPage"/>
      <w:pgSz w:w="11906" w:h="16838"/>
      <w:pgMar w:left="1134" w:right="1274" w:header="709" w:top="1418" w:footer="420"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Candara">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rPr>
        <w:sz w:val="20"/>
        <w:szCs w:val="20"/>
      </w:rPr>
    </w:pPr>
    <w:r>
      <w:rPr>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3828" w:leader="none"/>
        <w:tab w:val="right" w:pos="9072" w:leader="none"/>
      </w:tabs>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2">
          <wp:simplePos x="0" y="0"/>
          <wp:positionH relativeFrom="page">
            <wp:posOffset>0</wp:posOffset>
          </wp:positionH>
          <wp:positionV relativeFrom="paragraph">
            <wp:posOffset>-450215</wp:posOffset>
          </wp:positionV>
          <wp:extent cx="7560310" cy="1069086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1"/>
                  <a:srcRect l="-5" t="-3" r="-5" b="-3"/>
                  <a:stretch>
                    <a:fillRect/>
                  </a:stretch>
                </pic:blipFill>
                <pic:spPr bwMode="auto">
                  <a:xfrm>
                    <a:off x="0" y="0"/>
                    <a:ext cx="7560310" cy="106908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ind w:left="708" w:hanging="0"/>
      <w:jc w:val="both"/>
    </w:pPr>
    <w:rPr>
      <w:rFonts w:ascii="Calibri" w:hAnsi="Calibri" w:eastAsia="Times New Roman" w:cs="Calibri"/>
      <w:color w:val="auto"/>
      <w:sz w:val="28"/>
      <w:szCs w:val="28"/>
      <w:lang w:val="fr-FR" w:bidi="ar-SA" w:eastAsia="zh-CN"/>
    </w:rPr>
  </w:style>
  <w:style w:type="character" w:styleId="WW8Num1z0">
    <w:name w:val="WW8Num1z0"/>
    <w:qFormat/>
    <w:rPr/>
  </w:style>
  <w:style w:type="character" w:styleId="WW8Num1z1">
    <w:name w:val="WW8Num1z1"/>
    <w:qFormat/>
    <w:rPr>
      <w:rFonts w:ascii="Symbol" w:hAnsi="Symbol" w:cs="Symbo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Wingdings" w:hAnsi="Wingdings" w:cs="Wingdings"/>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Wingdings" w:hAnsi="Wingdings" w:cs="Wingdings"/>
    </w:rPr>
  </w:style>
  <w:style w:type="character" w:styleId="WW8Num15z3">
    <w:name w:val="WW8Num15z3"/>
    <w:qFormat/>
    <w:rPr>
      <w:rFonts w:ascii="Candara" w:hAnsi="Candara" w:eastAsia="Times New Roman" w:cs="Times New Roman"/>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Calibri" w:hAnsi="Calibri" w:eastAsia="Times New Roman" w:cs="Calibri"/>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Policepardfaut">
    <w:name w:val="Police par défaut"/>
    <w:qFormat/>
    <w:rPr/>
  </w:style>
  <w:style w:type="character" w:styleId="InternetLink">
    <w:name w:val="Internet Link"/>
    <w:rPr>
      <w:color w:val="0000FF"/>
      <w:u w:val="single"/>
    </w:rPr>
  </w:style>
  <w:style w:type="character" w:styleId="PieddepageCar">
    <w:name w:val="Pied de page Car"/>
    <w:qFormat/>
    <w:rPr>
      <w:sz w:val="24"/>
      <w:szCs w:val="24"/>
    </w:rPr>
  </w:style>
  <w:style w:type="character" w:styleId="StrongEmphasis">
    <w:name w:val="Strong Emphasis"/>
    <w:qFormat/>
    <w:rPr>
      <w:b/>
      <w:bCs/>
    </w:rPr>
  </w:style>
  <w:style w:type="character" w:styleId="Marquedecommentaire">
    <w:name w:val="Marque de commentaire"/>
    <w:qFormat/>
    <w:rPr>
      <w:sz w:val="16"/>
      <w:szCs w:val="16"/>
    </w:rPr>
  </w:style>
  <w:style w:type="character" w:styleId="CommentaireCar">
    <w:name w:val="Commentaire Car"/>
    <w:qFormat/>
    <w:rPr>
      <w:rFonts w:ascii="Calibri" w:hAnsi="Calibri" w:cs="Calibri"/>
    </w:rPr>
  </w:style>
  <w:style w:type="character" w:styleId="ObjetducommentaireCar">
    <w:name w:val="Objet du commentaire Car"/>
    <w:qFormat/>
    <w:rPr>
      <w:rFonts w:ascii="Calibri" w:hAnsi="Calibri" w:cs="Calibri"/>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ind w:left="0" w:hanging="0"/>
      <w:jc w:val="left"/>
    </w:pPr>
    <w:rPr>
      <w:rFonts w:ascii="Times New Roman" w:hAnsi="Times New Roman" w:cs="Times New Roman"/>
      <w:sz w:val="24"/>
      <w:szCs w:val="24"/>
    </w:rPr>
  </w:style>
  <w:style w:type="paragraph" w:styleId="Rvision">
    <w:name w:val="Révision"/>
    <w:qFormat/>
    <w:pPr>
      <w:widowControl/>
    </w:pPr>
    <w:rPr>
      <w:rFonts w:ascii="Calibri" w:hAnsi="Calibri" w:eastAsia="Times New Roman" w:cs="Calibri"/>
      <w:color w:val="auto"/>
      <w:sz w:val="28"/>
      <w:szCs w:val="28"/>
      <w:lang w:val="fr-FR" w:bidi="ar-SA" w:eastAsia="zh-C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2022-02-10T10:38:00Z</dcterms:created>
  <dc:creator/>
  <dc:description/>
  <dc:language>en-GB</dc:language>
  <cp:lastModifiedBy/>
  <cp:lastPrinted>2022-01-28T13:55:00Z</cp:lastPrinted>
  <dcterms:modified xsi:type="dcterms:W3CDTF">2022-02-10T10:38:00Z</dcterms:modified>
  <cp:revision>2</cp:revision>
  <dc:subject/>
  <dc:title>Mesures en faveur de l’emploi des seniors issues de la LFSS 2009</dc:title>
</cp:coreProperties>
</file>