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Cs/>
          <w:sz w:val="22"/>
          <w:szCs w:val="22"/>
          <w:u w:val="single"/>
          <w:lang w:val="en-GB" w:eastAsia="en-GB"/>
        </w:rPr>
      </w:pPr>
      <w:r>
        <w:rPr>
          <w:rFonts w:cs="Arial" w:ascii="Arial" w:hAnsi="Arial"/>
          <w:bCs/>
          <w:sz w:val="22"/>
          <w:szCs w:val="22"/>
          <w:u w:val="single"/>
          <w:lang w:val="en-GB" w:eastAsia="en-GB"/>
        </w:rPr>
        <mc:AlternateContent>
          <mc:Choice Requires="wps">
            <w:drawing>
              <wp:anchor behindDoc="0" distT="0" distB="0" distL="114935" distR="114935" simplePos="0" locked="0" layoutInCell="1" allowOverlap="1" relativeHeight="7">
                <wp:simplePos x="0" y="0"/>
                <wp:positionH relativeFrom="column">
                  <wp:posOffset>-38100</wp:posOffset>
                </wp:positionH>
                <wp:positionV relativeFrom="paragraph">
                  <wp:posOffset>24765</wp:posOffset>
                </wp:positionV>
                <wp:extent cx="5825490" cy="1156335"/>
                <wp:effectExtent l="0" t="0" r="0" b="0"/>
                <wp:wrapNone/>
                <wp:docPr id="1" name=""/>
                <a:graphic xmlns:a="http://schemas.openxmlformats.org/drawingml/2006/main">
                  <a:graphicData uri="http://schemas.microsoft.com/office/word/2010/wordprocessingShape">
                    <wps:wsp>
                      <wps:cNvSpPr/>
                      <wps:spPr>
                        <a:xfrm>
                          <a:off x="0" y="0"/>
                          <a:ext cx="5824800" cy="1155600"/>
                        </a:xfrm>
                        <a:prstGeom prst="flowChartProcess">
                          <a:avLst/>
                        </a:prstGeom>
                        <a:solidFill>
                          <a:srgbClr val="ffffff"/>
                        </a:solidFill>
                        <a:ln w="12600">
                          <a:solidFill>
                            <a:srgbClr val="95b3d7"/>
                          </a:solidFill>
                          <a:miter/>
                        </a:ln>
                        <a:effectLst>
                          <a:outerShdw dist="25630" dir="3633274">
                            <a:srgbClr val="243f60">
                              <a:alpha val="50000"/>
                            </a:srgbClr>
                          </a:outerShdw>
                        </a:effectLst>
                      </wps:spPr>
                      <wps:style>
                        <a:lnRef idx="0"/>
                        <a:fillRef idx="0"/>
                        <a:effectRef idx="0"/>
                        <a:fontRef idx="minor"/>
                      </wps:style>
                      <wps:txbx>
                        <w:txbxContent>
                          <w:p>
                            <w:pPr>
                              <w:overflowPunct w:val="false"/>
                              <w:bidi w:val="0"/>
                              <w:spacing w:lineRule="auto" w:line="276"/>
                              <w:rPr/>
                            </w:pPr>
                            <w:r>
                              <w:rPr>
                                <w:rFonts w:ascii="Liberation Serif" w:hAnsi="Liberation Serif" w:eastAsia="DejaVu Sans" w:cs="DejaVu Sans"/>
                                <w:lang w:val="en-GB" w:bidi="hi-IN"/>
                              </w:rPr>
                            </w:r>
                          </w:p>
                          <w:p>
                            <w:pPr>
                              <w:overflowPunct w:val="false"/>
                              <w:bidi w:val="0"/>
                              <w:spacing w:lineRule="auto" w:line="276"/>
                              <w:jc w:val="center"/>
                              <w:rPr/>
                            </w:pPr>
                            <w:r>
                              <w:rPr>
                                <w:sz w:val="28"/>
                                <w:b/>
                                <w:szCs w:val="28"/>
                                <w:rFonts w:ascii="Arial" w:hAnsi="Arial" w:eastAsia="Times New Roman" w:cs="Arial"/>
                                <w:color w:val="auto"/>
                                <w:lang w:val="fr-FR" w:bidi="ar-SA"/>
                              </w:rPr>
                              <w:t>SOCIETE MSS</w:t>
                            </w:r>
                          </w:p>
                          <w:p>
                            <w:pPr>
                              <w:overflowPunct w:val="false"/>
                              <w:bidi w:val="0"/>
                              <w:spacing w:lineRule="auto" w:line="276"/>
                              <w:jc w:val="center"/>
                              <w:rPr/>
                            </w:pPr>
                            <w:r>
                              <w:rPr>
                                <w:rFonts w:ascii="Liberation Serif" w:hAnsi="Liberation Serif" w:eastAsia="DejaVu Sans" w:cs="DejaVu Sans"/>
                                <w:lang w:val="en-GB" w:bidi="hi-IN"/>
                              </w:rPr>
                            </w:r>
                          </w:p>
                          <w:p>
                            <w:pPr>
                              <w:overflowPunct w:val="false"/>
                              <w:bidi w:val="0"/>
                              <w:jc w:val="center"/>
                              <w:rPr/>
                            </w:pPr>
                            <w:r>
                              <w:rPr>
                                <w:sz w:val="28"/>
                                <w:b/>
                                <w:szCs w:val="28"/>
                                <w:rFonts w:ascii="Arial" w:hAnsi="Arial" w:eastAsia="Times New Roman" w:cs="Arial"/>
                                <w:color w:val="auto"/>
                                <w:lang w:val="fr-FR" w:bidi="ar-SA"/>
                              </w:rPr>
                              <w:t>ACCORD RELATIF A LA NEGOCIATION ANNUELLE OBLIGATOIRE 2022</w:t>
                            </w:r>
                          </w:p>
                          <w:p>
                            <w:pPr>
                              <w:overflowPunct w:val="false"/>
                              <w:bidi w:val="0"/>
                              <w:rPr/>
                            </w:pPr>
                            <w:r>
                              <w:rPr>
                                <w:rFonts w:ascii="Liberation Serif" w:hAnsi="Liberation Serif" w:eastAsia="DejaVu Sans" w:cs="DejaVu Sans"/>
                                <w:lang w:val="en-GB" w:bidi="hi-IN"/>
                              </w:rPr>
                            </w:r>
                          </w:p>
                          <w:p>
                            <w:pPr>
                              <w:overflowPunct w:val="false"/>
                              <w:bidi w:val="0"/>
                              <w:rPr/>
                            </w:pPr>
                            <w:r>
                              <w:rPr>
                                <w:rFonts w:ascii="Liberation Serif" w:hAnsi="Liberation Serif" w:eastAsia="DejaVu Sans" w:cs="DejaVu Sans"/>
                                <w:lang w:val="en-GB" w:bidi="hi-IN"/>
                              </w:rPr>
                            </w:r>
                          </w:p>
                        </w:txbxContent>
                      </wps:txbx>
                      <wps:bodyPr>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fillcolor="white" stroked="t" style="position:absolute;margin-left:-3pt;margin-top:1.95pt;width:458.6pt;height:90.95pt" type="shapetype_109">
                <v:textbox>
                  <w:txbxContent>
                    <w:p>
                      <w:pPr>
                        <w:overflowPunct w:val="false"/>
                        <w:bidi w:val="0"/>
                        <w:spacing w:lineRule="auto" w:line="276"/>
                        <w:rPr/>
                      </w:pPr>
                      <w:r>
                        <w:rPr>
                          <w:rFonts w:ascii="Liberation Serif" w:hAnsi="Liberation Serif" w:eastAsia="DejaVu Sans" w:cs="DejaVu Sans"/>
                          <w:lang w:val="en-GB" w:bidi="hi-IN"/>
                        </w:rPr>
                      </w:r>
                    </w:p>
                    <w:p>
                      <w:pPr>
                        <w:overflowPunct w:val="false"/>
                        <w:bidi w:val="0"/>
                        <w:spacing w:lineRule="auto" w:line="276"/>
                        <w:jc w:val="center"/>
                        <w:rPr/>
                      </w:pPr>
                      <w:r>
                        <w:rPr>
                          <w:sz w:val="28"/>
                          <w:b/>
                          <w:szCs w:val="28"/>
                          <w:rFonts w:ascii="Arial" w:hAnsi="Arial" w:eastAsia="Times New Roman" w:cs="Arial"/>
                          <w:color w:val="auto"/>
                          <w:lang w:val="fr-FR" w:bidi="ar-SA"/>
                        </w:rPr>
                        <w:t>SOCIETE MSS</w:t>
                      </w:r>
                    </w:p>
                    <w:p>
                      <w:pPr>
                        <w:overflowPunct w:val="false"/>
                        <w:bidi w:val="0"/>
                        <w:spacing w:lineRule="auto" w:line="276"/>
                        <w:jc w:val="center"/>
                        <w:rPr/>
                      </w:pPr>
                      <w:r>
                        <w:rPr>
                          <w:rFonts w:ascii="Liberation Serif" w:hAnsi="Liberation Serif" w:eastAsia="DejaVu Sans" w:cs="DejaVu Sans"/>
                          <w:lang w:val="en-GB" w:bidi="hi-IN"/>
                        </w:rPr>
                      </w:r>
                    </w:p>
                    <w:p>
                      <w:pPr>
                        <w:overflowPunct w:val="false"/>
                        <w:bidi w:val="0"/>
                        <w:jc w:val="center"/>
                        <w:rPr/>
                      </w:pPr>
                      <w:r>
                        <w:rPr>
                          <w:sz w:val="28"/>
                          <w:b/>
                          <w:szCs w:val="28"/>
                          <w:rFonts w:ascii="Arial" w:hAnsi="Arial" w:eastAsia="Times New Roman" w:cs="Arial"/>
                          <w:color w:val="auto"/>
                          <w:lang w:val="fr-FR" w:bidi="ar-SA"/>
                        </w:rPr>
                        <w:t>ACCORD RELATIF A LA NEGOCIATION ANNUELLE OBLIGATOIRE 2022</w:t>
                      </w:r>
                    </w:p>
                    <w:p>
                      <w:pPr>
                        <w:overflowPunct w:val="false"/>
                        <w:bidi w:val="0"/>
                        <w:rPr/>
                      </w:pPr>
                      <w:r>
                        <w:rPr>
                          <w:rFonts w:ascii="Liberation Serif" w:hAnsi="Liberation Serif" w:eastAsia="DejaVu Sans" w:cs="DejaVu Sans"/>
                          <w:lang w:val="en-GB" w:bidi="hi-IN"/>
                        </w:rPr>
                      </w:r>
                    </w:p>
                    <w:p>
                      <w:pPr>
                        <w:overflowPunct w:val="false"/>
                        <w:bidi w:val="0"/>
                        <w:rPr/>
                      </w:pPr>
                      <w:r>
                        <w:rPr>
                          <w:rFonts w:ascii="Liberation Serif" w:hAnsi="Liberation Serif" w:eastAsia="DejaVu Sans" w:cs="DejaVu Sans"/>
                          <w:lang w:val="en-GB" w:bidi="hi-IN"/>
                        </w:rPr>
                      </w:r>
                    </w:p>
                  </w:txbxContent>
                </v:textbox>
                <w10:wrap type="square"/>
                <v:fill o:detectmouseclick="t" type="solid" color2="black"/>
                <v:stroke color="#95b3d7" weight="12600" joinstyle="miter" endcap="square"/>
                <v:shadow on="t" obscured="f" color="#243f60"/>
              </v:shape>
            </w:pict>
          </mc:Fallback>
        </mc:AlternateContent>
      </w:r>
    </w:p>
    <w:p>
      <w:pPr>
        <w:pStyle w:val="Normal"/>
        <w:rPr>
          <w:rFonts w:ascii="Arial" w:hAnsi="Arial" w:cs="Arial"/>
          <w:bCs/>
          <w:sz w:val="22"/>
          <w:szCs w:val="22"/>
          <w:u w:val="single"/>
        </w:rPr>
      </w:pPr>
      <w:r>
        <w:rPr>
          <w:rFonts w:cs="Arial" w:ascii="Arial" w:hAnsi="Arial"/>
          <w:bCs/>
          <w:sz w:val="22"/>
          <w:szCs w:val="22"/>
          <w:u w:val="single"/>
        </w:rPr>
      </w:r>
    </w:p>
    <w:p>
      <w:pPr>
        <w:pStyle w:val="Normal"/>
        <w:rPr>
          <w:rFonts w:ascii="Arial" w:hAnsi="Arial" w:cs="Arial"/>
          <w:bCs/>
          <w:sz w:val="22"/>
          <w:szCs w:val="22"/>
          <w:u w:val="single"/>
        </w:rPr>
      </w:pPr>
      <w:r>
        <w:rPr>
          <w:rFonts w:cs="Arial" w:ascii="Arial" w:hAnsi="Arial"/>
          <w:bCs/>
          <w:sz w:val="22"/>
          <w:szCs w:val="22"/>
          <w:u w:val="single"/>
        </w:rPr>
      </w:r>
    </w:p>
    <w:p>
      <w:pPr>
        <w:pStyle w:val="Normal"/>
        <w:rPr>
          <w:rFonts w:ascii="Arial" w:hAnsi="Arial" w:cs="Arial"/>
          <w:bCs/>
          <w:sz w:val="22"/>
          <w:szCs w:val="22"/>
          <w:u w:val="single"/>
        </w:rPr>
      </w:pPr>
      <w:r>
        <w:rPr>
          <w:rFonts w:cs="Arial" w:ascii="Arial" w:hAnsi="Arial"/>
          <w:bCs/>
          <w:sz w:val="22"/>
          <w:szCs w:val="22"/>
          <w:u w:val="single"/>
        </w:rPr>
      </w:r>
    </w:p>
    <w:p>
      <w:pPr>
        <w:pStyle w:val="Normal"/>
        <w:spacing w:lineRule="auto" w:line="276"/>
        <w:rPr>
          <w:rFonts w:ascii="Arial" w:hAnsi="Arial" w:cs="Arial"/>
          <w:bCs/>
          <w:sz w:val="18"/>
          <w:szCs w:val="20"/>
          <w:u w:val="single"/>
        </w:rPr>
      </w:pPr>
      <w:r>
        <w:rPr>
          <w:rFonts w:cs="Arial" w:ascii="Arial" w:hAnsi="Arial"/>
          <w:bCs/>
          <w:sz w:val="18"/>
          <w:szCs w:val="20"/>
          <w:u w:val="single"/>
        </w:rPr>
      </w:r>
    </w:p>
    <w:p>
      <w:pPr>
        <w:pStyle w:val="Normal"/>
        <w:spacing w:lineRule="auto" w:line="276"/>
        <w:rPr>
          <w:rFonts w:ascii="Arial" w:hAnsi="Arial" w:cs="Arial"/>
          <w:bCs/>
          <w:sz w:val="18"/>
          <w:szCs w:val="20"/>
          <w:u w:val="single"/>
        </w:rPr>
      </w:pPr>
      <w:r>
        <w:rPr>
          <w:rFonts w:cs="Arial" w:ascii="Arial" w:hAnsi="Arial"/>
          <w:bCs/>
          <w:sz w:val="18"/>
          <w:szCs w:val="20"/>
          <w:u w:val="single"/>
        </w:rPr>
      </w:r>
    </w:p>
    <w:p>
      <w:pPr>
        <w:pStyle w:val="Normal"/>
        <w:spacing w:lineRule="auto" w:line="276"/>
        <w:rPr>
          <w:rFonts w:ascii="Arial" w:hAnsi="Arial" w:cs="Arial"/>
          <w:bCs/>
          <w:sz w:val="16"/>
          <w:szCs w:val="20"/>
          <w:u w:val="single"/>
        </w:rPr>
      </w:pPr>
      <w:r>
        <w:rPr>
          <w:rFonts w:cs="Arial" w:ascii="Arial" w:hAnsi="Arial"/>
          <w:bCs/>
          <w:sz w:val="16"/>
          <w:szCs w:val="20"/>
          <w:u w:val="single"/>
        </w:rPr>
      </w:r>
    </w:p>
    <w:p>
      <w:pPr>
        <w:pStyle w:val="Normal"/>
        <w:spacing w:lineRule="auto" w:line="276"/>
        <w:rPr>
          <w:rFonts w:ascii="Arial" w:hAnsi="Arial" w:cs="Arial"/>
          <w:bCs/>
          <w:sz w:val="16"/>
          <w:szCs w:val="20"/>
          <w:u w:val="single"/>
        </w:rPr>
      </w:pPr>
      <w:r>
        <w:rPr>
          <w:rFonts w:cs="Arial" w:ascii="Arial" w:hAnsi="Arial"/>
          <w:bCs/>
          <w:sz w:val="16"/>
          <w:szCs w:val="20"/>
          <w:u w:val="single"/>
        </w:rPr>
      </w:r>
    </w:p>
    <w:p>
      <w:pPr>
        <w:pStyle w:val="Normal"/>
        <w:spacing w:lineRule="auto" w:line="276"/>
        <w:rPr>
          <w:rFonts w:ascii="Arial" w:hAnsi="Arial" w:cs="Arial"/>
          <w:bCs/>
          <w:sz w:val="16"/>
          <w:szCs w:val="20"/>
          <w:u w:val="single"/>
        </w:rPr>
      </w:pPr>
      <w:r>
        <w:rPr>
          <w:rFonts w:cs="Arial" w:ascii="Arial" w:hAnsi="Arial"/>
          <w:bCs/>
          <w:sz w:val="16"/>
          <w:szCs w:val="20"/>
          <w:u w:val="single"/>
        </w:rPr>
      </w:r>
    </w:p>
    <w:p>
      <w:pPr>
        <w:pStyle w:val="Normal"/>
        <w:autoSpaceDE w:val="false"/>
        <w:spacing w:lineRule="auto" w:line="276"/>
        <w:rPr>
          <w:rFonts w:ascii="Arial" w:hAnsi="Arial" w:cs="Arial"/>
          <w:bCs/>
          <w:sz w:val="20"/>
          <w:szCs w:val="22"/>
          <w:u w:val="single"/>
        </w:rPr>
      </w:pPr>
      <w:r>
        <w:rPr>
          <w:rFonts w:cs="Arial" w:ascii="Arial" w:hAnsi="Arial"/>
          <w:bCs/>
          <w:sz w:val="20"/>
          <w:szCs w:val="22"/>
          <w:u w:val="single"/>
        </w:rPr>
      </w:r>
    </w:p>
    <w:p>
      <w:pPr>
        <w:pStyle w:val="Normal"/>
        <w:autoSpaceDE w:val="false"/>
        <w:spacing w:lineRule="auto" w:line="276"/>
        <w:rPr>
          <w:rFonts w:ascii="Arial" w:hAnsi="Arial" w:cs="Arial"/>
          <w:sz w:val="20"/>
          <w:szCs w:val="22"/>
        </w:rPr>
      </w:pPr>
      <w:r>
        <w:rPr>
          <w:rFonts w:cs="Arial" w:ascii="Arial" w:hAnsi="Arial"/>
          <w:sz w:val="20"/>
          <w:szCs w:val="22"/>
        </w:rPr>
        <w:t xml:space="preserve">La Société MSS représentée par </w:t>
      </w:r>
      <w:r>
        <w:rPr>
          <w:rFonts w:cs="Arial" w:ascii="Arial" w:hAnsi="Arial"/>
          <w:b/>
          <w:sz w:val="20"/>
          <w:szCs w:val="22"/>
        </w:rPr>
        <w:t>Mme X</w:t>
      </w:r>
      <w:r>
        <w:rPr>
          <w:rFonts w:cs="Arial" w:ascii="Arial" w:hAnsi="Arial"/>
          <w:sz w:val="20"/>
          <w:szCs w:val="22"/>
        </w:rPr>
        <w:t>, agissant en qualité de Directrice d’Exploitation et les Organisations Syndicales représentatives de salariés suivantes :</w:t>
      </w:r>
    </w:p>
    <w:p>
      <w:pPr>
        <w:pStyle w:val="Normal"/>
        <w:autoSpaceDE w:val="false"/>
        <w:spacing w:lineRule="auto" w:line="276"/>
        <w:rPr>
          <w:rFonts w:ascii="Arial" w:hAnsi="Arial" w:cs="Arial"/>
          <w:sz w:val="20"/>
          <w:szCs w:val="22"/>
        </w:rPr>
      </w:pPr>
      <w:r>
        <w:rPr>
          <w:rFonts w:cs="Arial" w:ascii="Arial" w:hAnsi="Arial"/>
          <w:sz w:val="20"/>
          <w:szCs w:val="22"/>
        </w:rPr>
      </w:r>
    </w:p>
    <w:p>
      <w:pPr>
        <w:pStyle w:val="Normal"/>
        <w:numPr>
          <w:ilvl w:val="0"/>
          <w:numId w:val="3"/>
        </w:numPr>
        <w:tabs>
          <w:tab w:val="left" w:pos="360" w:leader="none"/>
        </w:tabs>
        <w:spacing w:lineRule="auto" w:line="276"/>
        <w:ind w:left="360" w:hanging="360"/>
        <w:rPr/>
      </w:pPr>
      <w:r>
        <w:rPr>
          <w:rFonts w:cs="Arial" w:ascii="Arial" w:hAnsi="Arial"/>
          <w:sz w:val="20"/>
          <w:szCs w:val="22"/>
        </w:rPr>
        <w:t xml:space="preserve">Le syndicat CFTC, représenté par </w:t>
      </w:r>
      <w:r>
        <w:rPr>
          <w:rFonts w:cs="Arial" w:ascii="Arial" w:hAnsi="Arial"/>
          <w:b/>
          <w:sz w:val="20"/>
          <w:szCs w:val="22"/>
        </w:rPr>
        <w:t>M. X</w:t>
      </w:r>
      <w:r>
        <w:rPr>
          <w:rFonts w:cs="Arial" w:ascii="Arial" w:hAnsi="Arial"/>
          <w:sz w:val="20"/>
          <w:szCs w:val="22"/>
        </w:rPr>
        <w:t>, délégué syndical</w:t>
      </w:r>
    </w:p>
    <w:p>
      <w:pPr>
        <w:pStyle w:val="Normal"/>
        <w:numPr>
          <w:ilvl w:val="0"/>
          <w:numId w:val="3"/>
        </w:numPr>
        <w:tabs>
          <w:tab w:val="left" w:pos="360" w:leader="none"/>
        </w:tabs>
        <w:spacing w:lineRule="auto" w:line="276"/>
        <w:ind w:left="360" w:hanging="360"/>
        <w:rPr/>
      </w:pPr>
      <w:r>
        <w:rPr>
          <w:rFonts w:cs="Arial" w:ascii="Arial" w:hAnsi="Arial"/>
          <w:sz w:val="20"/>
          <w:szCs w:val="22"/>
        </w:rPr>
        <w:t xml:space="preserve">Le syndicat CFE - CGC, représenté par </w:t>
      </w:r>
      <w:r>
        <w:rPr>
          <w:rFonts w:cs="Arial" w:ascii="Arial" w:hAnsi="Arial"/>
          <w:b/>
          <w:sz w:val="20"/>
          <w:szCs w:val="22"/>
        </w:rPr>
        <w:t>M. X</w:t>
      </w:r>
      <w:r>
        <w:rPr>
          <w:rFonts w:cs="Arial" w:ascii="Arial" w:hAnsi="Arial"/>
          <w:sz w:val="20"/>
          <w:szCs w:val="22"/>
        </w:rPr>
        <w:t>, délégué syndical</w:t>
      </w:r>
    </w:p>
    <w:p>
      <w:pPr>
        <w:pStyle w:val="Normal"/>
        <w:spacing w:lineRule="auto" w:line="276"/>
        <w:ind w:left="360" w:hanging="0"/>
        <w:rPr>
          <w:rFonts w:ascii="Arial" w:hAnsi="Arial" w:cs="Arial"/>
          <w:sz w:val="20"/>
          <w:szCs w:val="22"/>
        </w:rPr>
      </w:pPr>
      <w:r>
        <w:rPr>
          <w:rFonts w:cs="Arial" w:ascii="Arial" w:hAnsi="Arial"/>
          <w:sz w:val="20"/>
          <w:szCs w:val="22"/>
        </w:rPr>
      </w:r>
    </w:p>
    <w:p>
      <w:pPr>
        <w:pStyle w:val="Normal"/>
        <w:autoSpaceDE w:val="false"/>
        <w:spacing w:lineRule="auto" w:line="276"/>
        <w:rPr>
          <w:rFonts w:ascii="Arial" w:hAnsi="Arial" w:cs="Arial"/>
          <w:sz w:val="20"/>
          <w:szCs w:val="22"/>
        </w:rPr>
      </w:pPr>
      <w:r>
        <w:rPr>
          <w:rFonts w:cs="Arial" w:ascii="Arial" w:hAnsi="Arial"/>
          <w:sz w:val="20"/>
          <w:szCs w:val="22"/>
        </w:rPr>
      </w:r>
    </w:p>
    <w:p>
      <w:pPr>
        <w:pStyle w:val="Normal"/>
        <w:autoSpaceDE w:val="false"/>
        <w:spacing w:lineRule="auto" w:line="276"/>
        <w:jc w:val="both"/>
        <w:rPr>
          <w:rFonts w:ascii="Arial" w:hAnsi="Arial" w:cs="Arial"/>
          <w:sz w:val="20"/>
          <w:szCs w:val="22"/>
        </w:rPr>
      </w:pPr>
      <w:r>
        <w:rPr>
          <w:rFonts w:cs="Arial" w:ascii="Arial" w:hAnsi="Arial"/>
          <w:sz w:val="20"/>
          <w:szCs w:val="22"/>
        </w:rPr>
        <w:t>ont, conformément aux articles L. 2242-5 et suivants du Code du travail, engagé la négociation annuelle obligatoire sur les thèmes mentionnés dans la loi.</w:t>
      </w:r>
    </w:p>
    <w:p>
      <w:pPr>
        <w:pStyle w:val="Normal"/>
        <w:autoSpaceDE w:val="false"/>
        <w:spacing w:lineRule="auto" w:line="276"/>
        <w:rPr>
          <w:rFonts w:ascii="Arial" w:hAnsi="Arial" w:cs="Arial"/>
          <w:sz w:val="20"/>
          <w:szCs w:val="22"/>
        </w:rPr>
      </w:pPr>
      <w:r>
        <w:rPr>
          <w:rFonts w:cs="Arial" w:ascii="Arial" w:hAnsi="Arial"/>
          <w:sz w:val="20"/>
          <w:szCs w:val="22"/>
        </w:rPr>
      </w:r>
    </w:p>
    <w:p>
      <w:pPr>
        <w:pStyle w:val="Normal"/>
        <w:spacing w:lineRule="auto" w:line="276"/>
        <w:jc w:val="both"/>
        <w:rPr>
          <w:rFonts w:ascii="Arial" w:hAnsi="Arial" w:cs="Arial"/>
          <w:sz w:val="20"/>
          <w:szCs w:val="20"/>
        </w:rPr>
      </w:pPr>
      <w:r>
        <w:rPr>
          <w:rFonts w:cs="Arial" w:ascii="Arial" w:hAnsi="Arial"/>
          <w:sz w:val="20"/>
          <w:szCs w:val="20"/>
        </w:rPr>
        <w:t>Considérant leur rapprochement, les parties ont décidé de formaliser par un accord les dispositions convenues aux articles qui suivent.</w:t>
      </w:r>
    </w:p>
    <w:p>
      <w:pPr>
        <w:pStyle w:val="Heading2"/>
        <w:numPr>
          <w:ilvl w:val="1"/>
          <w:numId w:val="1"/>
        </w:numPr>
        <w:pBdr>
          <w:bottom w:val="dotted" w:sz="4" w:space="1" w:color="000000"/>
        </w:pBdr>
        <w:spacing w:lineRule="auto" w:line="276"/>
        <w:jc w:val="both"/>
        <w:rPr>
          <w:rFonts w:ascii="Arial" w:hAnsi="Arial" w:cs="Arial"/>
          <w:sz w:val="22"/>
          <w:szCs w:val="20"/>
          <w:u w:val="none"/>
        </w:rPr>
      </w:pPr>
      <w:r>
        <w:rPr>
          <w:rFonts w:cs="Arial" w:ascii="Arial" w:hAnsi="Arial"/>
          <w:sz w:val="22"/>
          <w:szCs w:val="20"/>
          <w:u w:val="none"/>
        </w:rPr>
      </w:r>
    </w:p>
    <w:p>
      <w:pPr>
        <w:pStyle w:val="Normal"/>
        <w:rPr>
          <w:rFonts w:ascii="Arial" w:hAnsi="Arial" w:cs="Arial"/>
          <w:sz w:val="22"/>
          <w:szCs w:val="20"/>
          <w:u w:val="none"/>
        </w:rPr>
      </w:pPr>
      <w:r>
        <w:rPr>
          <w:rFonts w:cs="Arial" w:ascii="Arial" w:hAnsi="Arial"/>
          <w:sz w:val="22"/>
          <w:szCs w:val="20"/>
          <w:u w:val="none"/>
        </w:rPr>
      </w:r>
    </w:p>
    <w:p>
      <w:pPr>
        <w:pStyle w:val="Paragraphedeliste"/>
        <w:spacing w:lineRule="auto" w:line="276" w:before="0" w:after="160"/>
        <w:ind w:left="0" w:hanging="0"/>
        <w:contextualSpacing/>
        <w:rPr>
          <w:rFonts w:ascii="Arial" w:hAnsi="Arial" w:cs="Arial"/>
          <w:b/>
          <w:b/>
          <w:sz w:val="20"/>
          <w:szCs w:val="20"/>
        </w:rPr>
      </w:pPr>
      <w:r>
        <w:rPr>
          <w:rFonts w:cs="Arial" w:ascii="Arial" w:hAnsi="Arial"/>
          <w:b/>
          <w:sz w:val="20"/>
          <w:szCs w:val="20"/>
        </w:rPr>
        <w:t xml:space="preserve">Préambule </w:t>
      </w:r>
    </w:p>
    <w:p>
      <w:pPr>
        <w:pStyle w:val="Normal"/>
        <w:spacing w:lineRule="auto" w:line="276"/>
        <w:jc w:val="both"/>
        <w:rPr/>
      </w:pPr>
      <w:r>
        <w:rPr>
          <w:rFonts w:cs="Arial" w:ascii="Arial" w:hAnsi="Arial"/>
          <w:sz w:val="20"/>
          <w:szCs w:val="20"/>
        </w:rPr>
        <w:t>Conformément aux dispositions de l’article L 2242-1 et suivants du Code du Travail, la Direction a engagé les négociations annuelles obligatoires pour l’année 2022.</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 xml:space="preserve">Les partenaires sociaux ont abordé dans le cadre des négociations l’ensemble des thèmes obligatoires relatifs aux NAO au cours de trois réunions programmées les 9,16 et 30 mars 2022. </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Au cours de ces trois réunions, la Direction et les Organisations syndicales ont échangé sur leurs positions respectives dans les domaines couverts par les Négociations Annuelles Obligatoires.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Toutes les Organisations Syndicales Représentatives étaient présentes aux réunions de négociation.</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 xml:space="preserve">Les plateformes des Organisations Syndicales nous confirmant leurs revendications ont été remises à la direction le 9 mars 2021 lors de la première réunion de négociation. </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Suite à l’annonce du Gouvernement le 31 mars 2022 de faire évoluer le SMIC à compter du 1er mai 2022, la Direction a décidé de revoir son approche de la politique salariale et a invité les organisations syndicales à une 4ème et dernière réunion le 12 avril 2022, à laquelle toutes les organisations syndicales représentatives étaient présentes.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Lors de la dernière réunion de négociation en date du 12 avril 2022, la Direction a présenté une nouvelle orientation des mesures, intégrant l’augmentation du SMIC au 1er mai 2022, avec la préoccupation de maintenir des écarts significatifs entre les différents niveaux échelons.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Il est rappelé que l’ensemble des mesures prévues au présent accord sont applicables pour une durée déterminée pour l’exercice 2022.</w:t>
      </w:r>
    </w:p>
    <w:p>
      <w:pPr>
        <w:pStyle w:val="Paragraphedeliste"/>
        <w:spacing w:lineRule="auto" w:line="276"/>
        <w:ind w:left="0" w:hanging="0"/>
        <w:jc w:val="both"/>
        <w:rPr>
          <w:rFonts w:ascii="Arial" w:hAnsi="Arial" w:cs="Arial"/>
          <w:sz w:val="20"/>
          <w:szCs w:val="20"/>
        </w:rPr>
      </w:pPr>
      <w:r>
        <w:rPr>
          <w:rFonts w:cs="Arial" w:ascii="Arial" w:hAnsi="Arial"/>
          <w:sz w:val="20"/>
          <w:szCs w:val="20"/>
        </w:rPr>
      </w:r>
    </w:p>
    <w:p>
      <w:pPr>
        <w:pStyle w:val="Paragraphedeliste"/>
        <w:spacing w:lineRule="auto" w:line="276"/>
        <w:ind w:left="0" w:hanging="0"/>
        <w:jc w:val="both"/>
        <w:rPr>
          <w:rFonts w:ascii="Arial" w:hAnsi="Arial" w:cs="Arial"/>
          <w:sz w:val="20"/>
          <w:szCs w:val="20"/>
        </w:rPr>
      </w:pPr>
      <w:r>
        <w:rPr>
          <w:rFonts w:cs="Arial" w:ascii="Arial" w:hAnsi="Arial"/>
          <w:sz w:val="20"/>
          <w:szCs w:val="20"/>
        </w:rPr>
        <w:t>Le présent accord se substitue à toute autre disposition résultant d’accords, d’usages ou d’engagements unilatéraux relatifs aux mêmes sujets.</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numPr>
          <w:ilvl w:val="1"/>
          <w:numId w:val="1"/>
        </w:numPr>
        <w:pBdr>
          <w:bottom w:val="dotted" w:sz="4" w:space="1" w:color="000000"/>
        </w:pBdr>
        <w:spacing w:lineRule="auto" w:line="276"/>
        <w:jc w:val="both"/>
        <w:rPr>
          <w:rFonts w:ascii="Arial" w:hAnsi="Arial" w:cs="Arial"/>
          <w:sz w:val="24"/>
          <w:szCs w:val="20"/>
          <w:u w:val="none"/>
        </w:rPr>
      </w:pPr>
      <w:r>
        <w:rPr>
          <w:rFonts w:cs="Arial" w:ascii="Arial" w:hAnsi="Arial"/>
          <w:sz w:val="24"/>
          <w:szCs w:val="20"/>
          <w:u w:val="none"/>
        </w:rPr>
        <w:t xml:space="preserve">Article 1 – Mesures en matière de rémunération </w:t>
      </w:r>
    </w:p>
    <w:p>
      <w:pPr>
        <w:pStyle w:val="TextBody"/>
        <w:spacing w:lineRule="auto" w:line="276"/>
        <w:rPr>
          <w:rFonts w:ascii="Arial" w:hAnsi="Arial" w:cs="Arial"/>
          <w:sz w:val="20"/>
          <w:szCs w:val="20"/>
          <w:u w:val="none"/>
        </w:rPr>
      </w:pPr>
      <w:r>
        <w:rPr>
          <w:rFonts w:cs="Arial" w:ascii="Arial" w:hAnsi="Arial"/>
          <w:sz w:val="20"/>
          <w:szCs w:val="20"/>
          <w:u w:val="none"/>
        </w:rPr>
      </w:r>
    </w:p>
    <w:p>
      <w:pPr>
        <w:pStyle w:val="Normal"/>
        <w:rPr>
          <w:rFonts w:ascii="Arial" w:hAnsi="Arial" w:cs="Arial"/>
          <w:b/>
          <w:b/>
          <w:sz w:val="20"/>
          <w:szCs w:val="20"/>
        </w:rPr>
      </w:pPr>
      <w:r>
        <w:rPr>
          <w:rFonts w:cs="Arial" w:ascii="Arial" w:hAnsi="Arial"/>
          <w:b/>
          <w:sz w:val="20"/>
          <w:szCs w:val="20"/>
        </w:rPr>
      </w:r>
    </w:p>
    <w:p>
      <w:pPr>
        <w:pStyle w:val="Normal"/>
        <w:spacing w:lineRule="auto" w:line="276"/>
        <w:jc w:val="both"/>
        <w:rPr>
          <w:rFonts w:ascii="Arial" w:hAnsi="Arial" w:cs="Arial"/>
          <w:sz w:val="20"/>
          <w:szCs w:val="20"/>
        </w:rPr>
      </w:pPr>
      <w:r>
        <w:rPr>
          <w:rFonts w:cs="Arial" w:ascii="Arial" w:hAnsi="Arial"/>
          <w:sz w:val="20"/>
          <w:szCs w:val="20"/>
        </w:rPr>
        <w:t>L’entreprise MSS garantit un niveau de classification et un niveau de salaire à l’embauche identique entre les femmes et les hommes, à compétences égales et expériences équivalentes, pour l’ensemble des catégories professionnelles.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Pour l’ensemble des catégories de personnel (Cadres et Non Cadres), la Société MSS s’engage à ce que la rémunération, la classification appliquée aux salariés et les promotions ne soient fondées que sur les niveaux de qualifications et d’expériences acquis et le niveau de responsabilités confiées aux salariés.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pPr>
      <w:r>
        <w:rPr>
          <w:rFonts w:cs="Arial" w:ascii="Arial" w:hAnsi="Arial"/>
          <w:sz w:val="20"/>
          <w:szCs w:val="20"/>
        </w:rPr>
        <w:t>A compter du 1er mai 2022, l’entreprise MSS revalorisera l’ensemble des minima salariaux pour les cadres et non-cadre, de manière différenciée suivant les niveaux-échelons.</w:t>
      </w:r>
    </w:p>
    <w:p>
      <w:pPr>
        <w:pStyle w:val="Normal"/>
        <w:jc w:val="both"/>
        <w:rPr>
          <w:rFonts w:ascii="Calibri" w:hAnsi="Calibri" w:cs="Calibri"/>
          <w:sz w:val="20"/>
          <w:szCs w:val="20"/>
        </w:rPr>
      </w:pPr>
      <w:r>
        <w:rPr>
          <w:rFonts w:cs="Calibri" w:ascii="Calibri" w:hAnsi="Calibri"/>
          <w:sz w:val="20"/>
          <w:szCs w:val="20"/>
        </w:rPr>
      </w:r>
    </w:p>
    <w:p>
      <w:pPr>
        <w:pStyle w:val="Normal"/>
        <w:spacing w:lineRule="auto" w:line="276"/>
        <w:ind w:left="708" w:hanging="0"/>
        <w:jc w:val="both"/>
        <w:rPr>
          <w:rFonts w:ascii="Arial" w:hAnsi="Arial" w:cs="Arial"/>
          <w:b/>
          <w:b/>
          <w:sz w:val="22"/>
          <w:szCs w:val="20"/>
        </w:rPr>
      </w:pPr>
      <w:r>
        <w:rPr>
          <w:rFonts w:cs="Arial" w:ascii="Arial" w:hAnsi="Arial"/>
          <w:b/>
          <w:sz w:val="22"/>
          <w:szCs w:val="20"/>
        </w:rPr>
        <w:t>-</w:t>
        <w:tab/>
        <w:t>Augmentation des Minimum cibles par niveau échelon :</w:t>
      </w:r>
    </w:p>
    <w:p>
      <w:pPr>
        <w:pStyle w:val="Normal"/>
        <w:spacing w:lineRule="auto" w:line="276"/>
        <w:jc w:val="both"/>
        <w:rPr>
          <w:rFonts w:ascii="Arial" w:hAnsi="Arial" w:cs="Arial"/>
          <w:b/>
          <w:b/>
          <w:sz w:val="20"/>
          <w:szCs w:val="20"/>
        </w:rPr>
      </w:pPr>
      <w:r>
        <w:rPr>
          <w:rFonts w:cs="Arial" w:ascii="Arial" w:hAnsi="Arial"/>
          <w:b/>
          <w:sz w:val="20"/>
          <w:szCs w:val="20"/>
        </w:rPr>
      </w:r>
    </w:p>
    <w:p>
      <w:pPr>
        <w:pStyle w:val="Normal"/>
        <w:spacing w:lineRule="auto" w:line="276"/>
        <w:jc w:val="both"/>
        <w:rPr>
          <w:rFonts w:ascii="Arial" w:hAnsi="Arial" w:cs="Arial"/>
          <w:sz w:val="20"/>
          <w:szCs w:val="20"/>
        </w:rPr>
      </w:pPr>
      <w:r>
        <w:rPr>
          <w:rFonts w:cs="Arial" w:ascii="Arial" w:hAnsi="Arial"/>
          <w:sz w:val="20"/>
          <w:szCs w:val="20"/>
        </w:rPr>
        <w:t>L’ensemble des salaires minimum cibles sera augmenté selon les niveaux échelon selon la grille ci-dessous.</w:t>
      </w:r>
    </w:p>
    <w:p>
      <w:pPr>
        <w:pStyle w:val="Normal"/>
        <w:rPr>
          <w:rFonts w:ascii="Arial" w:hAnsi="Arial" w:cs="Arial"/>
          <w:b/>
          <w:b/>
          <w:sz w:val="20"/>
          <w:szCs w:val="20"/>
        </w:rPr>
      </w:pPr>
      <w:r>
        <w:rPr>
          <w:rFonts w:cs="Arial" w:ascii="Arial" w:hAnsi="Arial"/>
          <w:b/>
          <w:sz w:val="20"/>
          <w:szCs w:val="20"/>
        </w:rPr>
      </w:r>
    </w:p>
    <w:tbl>
      <w:tblPr>
        <w:tblW w:w="5014" w:type="dxa"/>
        <w:jc w:val="center"/>
        <w:tblInd w:w="0" w:type="dxa"/>
        <w:tblBorders/>
        <w:tblCellMar>
          <w:top w:w="0" w:type="dxa"/>
          <w:left w:w="70" w:type="dxa"/>
          <w:bottom w:w="0" w:type="dxa"/>
          <w:right w:w="70" w:type="dxa"/>
        </w:tblCellMar>
      </w:tblPr>
      <w:tblGrid>
        <w:gridCol w:w="1251"/>
        <w:gridCol w:w="1251"/>
        <w:gridCol w:w="1251"/>
        <w:gridCol w:w="1261"/>
      </w:tblGrid>
      <w:tr>
        <w:trPr>
          <w:trHeight w:val="443" w:hRule="atLeast"/>
        </w:trPr>
        <w:tc>
          <w:tcPr>
            <w:tcW w:w="1251" w:type="dxa"/>
            <w:tcBorders/>
            <w:shd w:fill="auto" w:val="clear"/>
            <w:vAlign w:val="center"/>
          </w:tcPr>
          <w:p>
            <w:pPr>
              <w:pStyle w:val="Normal"/>
              <w:jc w:val="center"/>
              <w:rPr>
                <w:rFonts w:ascii="Calibri" w:hAnsi="Calibri" w:cs="Calibri"/>
                <w:color w:val="000000"/>
                <w:sz w:val="20"/>
                <w:szCs w:val="20"/>
              </w:rPr>
            </w:pPr>
            <w:r>
              <w:rPr>
                <w:rFonts w:cs="Calibri" w:ascii="Calibri" w:hAnsi="Calibri"/>
                <w:color w:val="000000"/>
                <w:sz w:val="20"/>
                <w:szCs w:val="20"/>
              </w:rPr>
              <w:t>NE</w:t>
            </w:r>
          </w:p>
        </w:tc>
        <w:tc>
          <w:tcPr>
            <w:tcW w:w="1251" w:type="dxa"/>
            <w:tcBorders>
              <w:top w:val="single" w:sz="4" w:space="0" w:color="000000"/>
              <w:left w:val="single" w:sz="4" w:space="0" w:color="000000"/>
              <w:bottom w:val="single" w:sz="4" w:space="0" w:color="000000"/>
              <w:insideH w:val="single" w:sz="4" w:space="0" w:color="000000"/>
            </w:tcBorders>
            <w:shd w:fill="FAB405" w:val="clear"/>
            <w:tcMar>
              <w:left w:w="65" w:type="dxa"/>
            </w:tcMar>
            <w:vAlign w:val="center"/>
          </w:tcPr>
          <w:p>
            <w:pPr>
              <w:pStyle w:val="Normal"/>
              <w:jc w:val="center"/>
              <w:rPr>
                <w:rFonts w:ascii="Calibri" w:hAnsi="Calibri" w:cs="Calibri"/>
                <w:b/>
                <w:b/>
                <w:bCs/>
                <w:color w:val="FFFFFF"/>
                <w:sz w:val="20"/>
                <w:szCs w:val="20"/>
              </w:rPr>
            </w:pPr>
            <w:r>
              <w:rPr>
                <w:rFonts w:cs="Calibri" w:ascii="Calibri" w:hAnsi="Calibri"/>
                <w:b/>
                <w:bCs/>
                <w:color w:val="FFFFFF"/>
                <w:sz w:val="20"/>
                <w:szCs w:val="20"/>
              </w:rPr>
              <w:t>MSS</w:t>
              <w:br/>
              <w:t>1er janvier</w:t>
            </w:r>
          </w:p>
        </w:tc>
        <w:tc>
          <w:tcPr>
            <w:tcW w:w="1251" w:type="dxa"/>
            <w:tcBorders>
              <w:top w:val="single" w:sz="4" w:space="0" w:color="000000"/>
              <w:left w:val="single" w:sz="4" w:space="0" w:color="000000"/>
              <w:bottom w:val="single" w:sz="4" w:space="0" w:color="000000"/>
              <w:insideH w:val="single" w:sz="4" w:space="0" w:color="000000"/>
            </w:tcBorders>
            <w:shd w:fill="FAB405" w:val="clear"/>
            <w:tcMar>
              <w:left w:w="65" w:type="dxa"/>
            </w:tcMar>
            <w:vAlign w:val="center"/>
          </w:tcPr>
          <w:p>
            <w:pPr>
              <w:pStyle w:val="Normal"/>
              <w:jc w:val="center"/>
              <w:rPr>
                <w:rFonts w:ascii="Calibri" w:hAnsi="Calibri" w:cs="Calibri"/>
                <w:b/>
                <w:b/>
                <w:bCs/>
                <w:color w:val="FFFFFF"/>
                <w:sz w:val="20"/>
                <w:szCs w:val="20"/>
              </w:rPr>
            </w:pPr>
            <w:r>
              <w:rPr>
                <w:rFonts w:cs="Calibri" w:ascii="Calibri" w:hAnsi="Calibri"/>
                <w:b/>
                <w:bCs/>
                <w:color w:val="FFFFFF"/>
                <w:sz w:val="20"/>
                <w:szCs w:val="20"/>
              </w:rPr>
              <w:t>MSS</w:t>
              <w:br/>
              <w:t>1er mai</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AB405" w:val="clear"/>
            <w:tcMar>
              <w:left w:w="65" w:type="dxa"/>
            </w:tcMar>
            <w:vAlign w:val="center"/>
          </w:tcPr>
          <w:p>
            <w:pPr>
              <w:pStyle w:val="Normal"/>
              <w:jc w:val="center"/>
              <w:rPr>
                <w:rFonts w:ascii="Calibri" w:hAnsi="Calibri" w:cs="Calibri"/>
                <w:b/>
                <w:b/>
                <w:bCs/>
                <w:color w:val="FFFFFF"/>
                <w:sz w:val="20"/>
                <w:szCs w:val="20"/>
              </w:rPr>
            </w:pPr>
            <w:r>
              <w:rPr>
                <w:rFonts w:cs="Calibri" w:ascii="Calibri" w:hAnsi="Calibri"/>
                <w:b/>
                <w:bCs/>
                <w:color w:val="FFFFFF"/>
                <w:sz w:val="20"/>
                <w:szCs w:val="20"/>
              </w:rPr>
              <w:t>Evolution</w:t>
            </w:r>
          </w:p>
        </w:tc>
      </w:tr>
      <w:tr>
        <w:trPr>
          <w:trHeight w:val="260" w:hRule="atLeast"/>
        </w:trPr>
        <w:tc>
          <w:tcPr>
            <w:tcW w:w="1251" w:type="dxa"/>
            <w:tcBorders>
              <w:top w:val="single" w:sz="4" w:space="0" w:color="000000"/>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I.1</w:t>
            </w:r>
          </w:p>
        </w:tc>
        <w:tc>
          <w:tcPr>
            <w:tcW w:w="1251" w:type="dxa"/>
            <w:tcBorders>
              <w:left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c>
          <w:tcPr>
            <w:tcW w:w="1251" w:type="dxa"/>
            <w:tcBorders>
              <w:left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c>
          <w:tcPr>
            <w:tcW w:w="1261" w:type="dxa"/>
            <w:tcBorders>
              <w:left w:val="single" w:sz="4" w:space="0" w:color="000000"/>
              <w:right w:val="single" w:sz="4" w:space="0" w:color="000000"/>
              <w:insideV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I.2</w:t>
            </w:r>
          </w:p>
        </w:tc>
        <w:tc>
          <w:tcPr>
            <w:tcW w:w="1251" w:type="dxa"/>
            <w:tcBorders>
              <w:left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c>
          <w:tcPr>
            <w:tcW w:w="1251" w:type="dxa"/>
            <w:tcBorders>
              <w:left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c>
          <w:tcPr>
            <w:tcW w:w="1261" w:type="dxa"/>
            <w:tcBorders>
              <w:left w:val="single" w:sz="4" w:space="0" w:color="000000"/>
              <w:right w:val="single" w:sz="4" w:space="0" w:color="000000"/>
              <w:insideV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I.3</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1 604,81</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1 660,98</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3,50%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II.1</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1 641,77</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1 699,23</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3,50%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II.2</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1 683,53</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1 739,09</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3,30%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II.3</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1 725,22</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1 778,70</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3,10%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III.1</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1 763,49</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1 814,63</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2,90%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III.2</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1 805,14</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1 853,88</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2,70%</w:t>
            </w:r>
          </w:p>
        </w:tc>
      </w:tr>
      <w:tr>
        <w:trPr>
          <w:trHeight w:val="260" w:hRule="atLeast"/>
        </w:trPr>
        <w:tc>
          <w:tcPr>
            <w:tcW w:w="1251" w:type="dxa"/>
            <w:tcBorders>
              <w:left w:val="single" w:sz="4" w:space="0" w:color="000000"/>
              <w:bottom w:val="single" w:sz="4" w:space="0" w:color="000000"/>
              <w:insideH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III.3</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1 846,76</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1 892,93</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IV.1</w:t>
            </w:r>
          </w:p>
        </w:tc>
        <w:tc>
          <w:tcPr>
            <w:tcW w:w="1251" w:type="dxa"/>
            <w:tcBorders>
              <w:top w:val="single" w:sz="4" w:space="0" w:color="000000"/>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1 906,53</w:t>
            </w:r>
          </w:p>
        </w:tc>
        <w:tc>
          <w:tcPr>
            <w:tcW w:w="1251" w:type="dxa"/>
            <w:tcBorders>
              <w:top w:val="single" w:sz="4" w:space="0" w:color="000000"/>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1 954,19</w:t>
            </w:r>
          </w:p>
        </w:tc>
        <w:tc>
          <w:tcPr>
            <w:tcW w:w="1261" w:type="dxa"/>
            <w:tcBorders>
              <w:top w:val="single" w:sz="4" w:space="0" w:color="000000"/>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IV.2</w:t>
            </w:r>
          </w:p>
        </w:tc>
        <w:tc>
          <w:tcPr>
            <w:tcW w:w="1251" w:type="dxa"/>
            <w:tcBorders>
              <w:left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2 134,65</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2 188,02</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bottom w:val="single" w:sz="4" w:space="0" w:color="000000"/>
              <w:insideH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IV.3</w:t>
            </w:r>
          </w:p>
        </w:tc>
        <w:tc>
          <w:tcPr>
            <w:tcW w:w="1251" w:type="dxa"/>
            <w:tcBorders>
              <w:left w:val="single" w:sz="4" w:space="0" w:color="000000"/>
              <w:bottom w:val="single" w:sz="4" w:space="0" w:color="000000"/>
              <w:insideH w:val="single" w:sz="4" w:space="0" w:color="000000"/>
            </w:tcBorders>
            <w:shd w:fill="F8CBAD" w:val="clear"/>
            <w:tcMar>
              <w:left w:w="65" w:type="dxa"/>
            </w:tcMar>
            <w:vAlign w:val="center"/>
          </w:tcPr>
          <w:p>
            <w:pPr>
              <w:pStyle w:val="Normal"/>
              <w:jc w:val="center"/>
              <w:rPr>
                <w:rFonts w:ascii="Calibri" w:hAnsi="Calibri" w:cs="Calibri"/>
                <w:b/>
                <w:b/>
                <w:bCs/>
                <w:sz w:val="20"/>
                <w:szCs w:val="20"/>
              </w:rPr>
            </w:pPr>
            <w:r>
              <w:rPr>
                <w:rFonts w:cs="Calibri" w:ascii="Calibri" w:hAnsi="Calibri"/>
                <w:b/>
                <w:bCs/>
                <w:sz w:val="20"/>
                <w:szCs w:val="20"/>
              </w:rPr>
              <w:t>2 360,97</w:t>
            </w:r>
          </w:p>
        </w:tc>
        <w:tc>
          <w:tcPr>
            <w:tcW w:w="1251" w:type="dxa"/>
            <w:tcBorders>
              <w:left w:val="single" w:sz="4" w:space="0" w:color="000000"/>
              <w:bottom w:val="single" w:sz="4" w:space="0" w:color="000000"/>
              <w:insideH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2 419,99</w:t>
            </w:r>
          </w:p>
        </w:tc>
        <w:tc>
          <w:tcPr>
            <w:tcW w:w="1261" w:type="dxa"/>
            <w:tcBorders>
              <w:left w:val="single" w:sz="4" w:space="0" w:color="000000"/>
              <w:bottom w:val="single" w:sz="4" w:space="0" w:color="000000"/>
              <w:right w:val="single" w:sz="4" w:space="0" w:color="000000"/>
              <w:insideH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w:t>
            </w:r>
          </w:p>
        </w:tc>
        <w:tc>
          <w:tcPr>
            <w:tcW w:w="1251" w:type="dxa"/>
            <w:tcBorders>
              <w:left w:val="single" w:sz="4" w:space="0" w:color="000000"/>
            </w:tcBorders>
            <w:shd w:fill="auto"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2 161,95</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2 216,00</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w:t>
            </w:r>
          </w:p>
        </w:tc>
        <w:tc>
          <w:tcPr>
            <w:tcW w:w="1251" w:type="dxa"/>
            <w:tcBorders>
              <w:left w:val="single" w:sz="4" w:space="0" w:color="000000"/>
            </w:tcBorders>
            <w:shd w:fill="auto"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2 360,89</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2 419,91</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III</w:t>
            </w:r>
          </w:p>
        </w:tc>
        <w:tc>
          <w:tcPr>
            <w:tcW w:w="1251" w:type="dxa"/>
            <w:tcBorders>
              <w:left w:val="single" w:sz="4" w:space="0" w:color="000000"/>
            </w:tcBorders>
            <w:shd w:fill="auto"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3 645,88</w:t>
            </w:r>
          </w:p>
        </w:tc>
        <w:tc>
          <w:tcPr>
            <w:tcW w:w="1251" w:type="dxa"/>
            <w:tcBorders>
              <w:left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3 737,03</w:t>
            </w:r>
          </w:p>
        </w:tc>
        <w:tc>
          <w:tcPr>
            <w:tcW w:w="1261" w:type="dxa"/>
            <w:tcBorders>
              <w:left w:val="single" w:sz="4" w:space="0" w:color="000000"/>
              <w:right w:val="single" w:sz="4" w:space="0" w:color="000000"/>
              <w:insideV w:val="single" w:sz="4" w:space="0" w:color="000000"/>
            </w:tcBorders>
            <w:shd w:fill="FFE699" w:val="clear"/>
            <w:tcMar>
              <w:left w:w="65" w:type="dxa"/>
            </w:tcMar>
            <w:vAlign w:val="center"/>
          </w:tcPr>
          <w:p>
            <w:pPr>
              <w:pStyle w:val="Normal"/>
              <w:jc w:val="center"/>
              <w:rPr>
                <w:rFonts w:ascii="Calibri" w:hAnsi="Calibri" w:cs="Calibri"/>
                <w:sz w:val="20"/>
                <w:szCs w:val="20"/>
              </w:rPr>
            </w:pPr>
            <w:r>
              <w:rPr>
                <w:rFonts w:cs="Calibri" w:ascii="Calibri" w:hAnsi="Calibri"/>
                <w:sz w:val="20"/>
                <w:szCs w:val="20"/>
              </w:rPr>
              <w:t>2,50%</w:t>
            </w:r>
          </w:p>
        </w:tc>
      </w:tr>
      <w:tr>
        <w:trPr>
          <w:trHeight w:val="260" w:hRule="atLeast"/>
        </w:trPr>
        <w:tc>
          <w:tcPr>
            <w:tcW w:w="1251" w:type="dxa"/>
            <w:tcBorders>
              <w:left w:val="single" w:sz="4" w:space="0" w:color="000000"/>
              <w:bottom w:val="single" w:sz="4" w:space="0" w:color="000000"/>
              <w:insideH w:val="single" w:sz="4" w:space="0" w:color="000000"/>
            </w:tcBorders>
            <w:shd w:fill="F4B084"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IV</w:t>
            </w:r>
          </w:p>
        </w:tc>
        <w:tc>
          <w:tcPr>
            <w:tcW w:w="1251" w:type="dxa"/>
            <w:tcBorders>
              <w:left w:val="single" w:sz="4" w:space="0" w:color="000000"/>
              <w:bottom w:val="single" w:sz="4" w:space="0" w:color="000000"/>
              <w:insideH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c>
          <w:tcPr>
            <w:tcW w:w="1251" w:type="dxa"/>
            <w:tcBorders>
              <w:left w:val="single" w:sz="4" w:space="0" w:color="000000"/>
              <w:bottom w:val="single" w:sz="4" w:space="0" w:color="000000"/>
              <w:insideH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c>
          <w:tcPr>
            <w:tcW w:w="1261" w:type="dxa"/>
            <w:tcBorders>
              <w:left w:val="single" w:sz="4" w:space="0" w:color="000000"/>
              <w:bottom w:val="single" w:sz="4" w:space="0" w:color="000000"/>
              <w:right w:val="single" w:sz="4" w:space="0" w:color="000000"/>
              <w:insideH w:val="single" w:sz="4" w:space="0" w:color="000000"/>
              <w:insideV w:val="single" w:sz="4" w:space="0" w:color="000000"/>
            </w:tcBorders>
            <w:shd w:fill="AAAAAA" w:val="clear"/>
            <w:tcMar>
              <w:left w:w="65" w:type="dxa"/>
            </w:tcMar>
            <w:vAlign w:val="center"/>
          </w:tcPr>
          <w:p>
            <w:pPr>
              <w:pStyle w:val="Normal"/>
              <w:jc w:val="center"/>
              <w:rPr>
                <w:rFonts w:ascii="Calibri" w:hAnsi="Calibri" w:cs="Calibri"/>
                <w:color w:val="000000"/>
                <w:sz w:val="20"/>
                <w:szCs w:val="20"/>
              </w:rPr>
            </w:pPr>
            <w:r>
              <w:rPr>
                <w:rFonts w:cs="Calibri" w:ascii="Calibri" w:hAnsi="Calibri"/>
                <w:color w:val="000000"/>
                <w:sz w:val="20"/>
                <w:szCs w:val="20"/>
              </w:rPr>
              <w:t> </w:t>
            </w:r>
          </w:p>
        </w:tc>
      </w:tr>
    </w:tbl>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numPr>
          <w:ilvl w:val="0"/>
          <w:numId w:val="3"/>
        </w:numPr>
        <w:spacing w:lineRule="auto" w:line="276"/>
        <w:ind w:left="1418" w:hanging="567"/>
        <w:jc w:val="both"/>
        <w:rPr>
          <w:rFonts w:ascii="Arial" w:hAnsi="Arial" w:cs="Arial"/>
          <w:b/>
          <w:b/>
          <w:sz w:val="22"/>
          <w:szCs w:val="20"/>
        </w:rPr>
      </w:pPr>
      <w:r>
        <w:rPr>
          <w:rFonts w:cs="Arial" w:ascii="Arial" w:hAnsi="Arial"/>
          <w:b/>
          <w:sz w:val="22"/>
          <w:szCs w:val="20"/>
        </w:rPr>
        <w:t>Revalorisation des salaires de base supérieurs au minimum cible tel qu’applicable au 1er mai 2022</w:t>
      </w:r>
    </w:p>
    <w:p>
      <w:pPr>
        <w:pStyle w:val="Normal"/>
        <w:ind w:left="720" w:hanging="0"/>
        <w:jc w:val="both"/>
        <w:rPr>
          <w:rFonts w:ascii="Calibri" w:hAnsi="Calibri" w:cs="Calibri"/>
          <w:b/>
          <w:b/>
          <w:iCs/>
          <w:sz w:val="22"/>
          <w:szCs w:val="20"/>
        </w:rPr>
      </w:pPr>
      <w:r>
        <w:rPr>
          <w:rFonts w:cs="Calibri" w:ascii="Calibri" w:hAnsi="Calibri"/>
          <w:b/>
          <w:iCs/>
          <w:sz w:val="22"/>
          <w:szCs w:val="20"/>
        </w:rPr>
      </w:r>
    </w:p>
    <w:p>
      <w:pPr>
        <w:pStyle w:val="Normal"/>
        <w:jc w:val="both"/>
        <w:rPr/>
      </w:pPr>
      <w:r>
        <w:rPr>
          <w:rFonts w:cs="Arial" w:ascii="Arial" w:hAnsi="Arial"/>
          <w:sz w:val="20"/>
        </w:rPr>
        <w:t xml:space="preserve">Pour les salariés cadres et non cadres dont le salaire de base est supérieur à celui prévu par la grille de salaire applicable à leur niveau échelon, et donc non concernés par la mesure de revalorisation de la grille, leur salaire de base sera revalorisé à hauteur de </w:t>
      </w:r>
      <w:r>
        <w:rPr>
          <w:rFonts w:cs="Arial" w:ascii="Arial" w:hAnsi="Arial"/>
          <w:b/>
          <w:sz w:val="20"/>
        </w:rPr>
        <w:t>+2.50%</w:t>
      </w:r>
      <w:r>
        <w:rPr>
          <w:rFonts w:cs="Arial" w:ascii="Arial" w:hAnsi="Arial"/>
          <w:sz w:val="20"/>
        </w:rPr>
        <w:t xml:space="preserve"> </w:t>
      </w:r>
      <w:r>
        <w:rPr>
          <w:rFonts w:cs="Arial" w:ascii="Arial" w:hAnsi="Arial"/>
          <w:b/>
          <w:bCs/>
          <w:sz w:val="20"/>
        </w:rPr>
        <w:t>à compter du 1</w:t>
      </w:r>
      <w:r>
        <w:rPr>
          <w:rFonts w:cs="Arial" w:ascii="Arial" w:hAnsi="Arial"/>
          <w:b/>
          <w:bCs/>
          <w:sz w:val="20"/>
          <w:vertAlign w:val="superscript"/>
        </w:rPr>
        <w:t>er</w:t>
      </w:r>
      <w:r>
        <w:rPr>
          <w:rFonts w:cs="Arial" w:ascii="Arial" w:hAnsi="Arial"/>
          <w:b/>
          <w:bCs/>
          <w:sz w:val="20"/>
        </w:rPr>
        <w:t xml:space="preserve"> mai 2022</w:t>
      </w:r>
      <w:r>
        <w:rPr>
          <w:rFonts w:cs="Arial" w:ascii="Arial" w:hAnsi="Arial"/>
          <w:sz w:val="20"/>
        </w:rPr>
        <w:t>.</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Par ailleurs, les salariés cadres et non cadres dont le salaire de base serait actuellement supérieur au minimum conventionnel cible prévu par la grille de salaire applicable à leur niveau échelon, mais inférieur au minium cible tel qu’applicable au 1</w:t>
      </w:r>
      <w:r>
        <w:rPr>
          <w:rFonts w:cs="Arial" w:ascii="Arial" w:hAnsi="Arial"/>
          <w:sz w:val="20"/>
          <w:vertAlign w:val="superscript"/>
        </w:rPr>
        <w:t>er</w:t>
      </w:r>
      <w:r>
        <w:rPr>
          <w:rFonts w:cs="Arial" w:ascii="Arial" w:hAnsi="Arial"/>
          <w:sz w:val="20"/>
        </w:rPr>
        <w:t xml:space="preserve"> mai, dont la revalorisation de +2,50% aboutirai à un salaire de base inférieur au minimum cible prévu par la grille, alors leur salaire de base sera revalorisé à hauteur du minimum cible correspondant à celui de leur niveau échelon tel que prévu par la grille ci-dessus (soit d’un taux allant de 2,5 à 3,5% selon les situations individuelles).</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 xml:space="preserve">Ces revalorisations de salaires prévues au présent paragraphe ne s’appliquent pas : </w:t>
      </w:r>
    </w:p>
    <w:p>
      <w:pPr>
        <w:pStyle w:val="Normal"/>
        <w:numPr>
          <w:ilvl w:val="0"/>
          <w:numId w:val="4"/>
        </w:numPr>
        <w:spacing w:lineRule="auto" w:line="276" w:before="0" w:after="200"/>
        <w:contextualSpacing/>
        <w:jc w:val="both"/>
        <w:rPr/>
      </w:pPr>
      <w:r>
        <w:rPr>
          <w:rFonts w:eastAsia="Calibri" w:cs="Arial" w:ascii="Arial" w:hAnsi="Arial"/>
          <w:sz w:val="20"/>
          <w:lang w:eastAsia="en-US"/>
        </w:rPr>
        <w:t>Aux salariés cadres et non-cadres ayant moins de 6 mois d’ancienneté au 1</w:t>
      </w:r>
      <w:r>
        <w:rPr>
          <w:rFonts w:eastAsia="Calibri" w:cs="Arial" w:ascii="Arial" w:hAnsi="Arial"/>
          <w:sz w:val="20"/>
          <w:vertAlign w:val="superscript"/>
          <w:lang w:eastAsia="en-US"/>
        </w:rPr>
        <w:t>er</w:t>
      </w:r>
      <w:r>
        <w:rPr>
          <w:rFonts w:eastAsia="Calibri" w:cs="Arial" w:ascii="Arial" w:hAnsi="Arial"/>
          <w:sz w:val="20"/>
          <w:lang w:eastAsia="en-US"/>
        </w:rPr>
        <w:t xml:space="preserve"> mai 2022 ; ni,</w:t>
      </w:r>
    </w:p>
    <w:p>
      <w:pPr>
        <w:pStyle w:val="Normal"/>
        <w:numPr>
          <w:ilvl w:val="0"/>
          <w:numId w:val="4"/>
        </w:numPr>
        <w:spacing w:lineRule="auto" w:line="276" w:before="0" w:after="200"/>
        <w:contextualSpacing/>
        <w:jc w:val="both"/>
        <w:rPr/>
      </w:pPr>
      <w:r>
        <w:rPr>
          <w:rFonts w:eastAsia="Calibri" w:cs="Arial" w:ascii="Arial" w:hAnsi="Arial"/>
          <w:sz w:val="20"/>
          <w:lang w:eastAsia="en-US"/>
        </w:rPr>
        <w:t>Aux salariés cadres et non-cadres ayant bénéficié d’une augmentation de salaire individuelle ou promotionnelle au cours des 6 mois précédant le 1</w:t>
      </w:r>
      <w:r>
        <w:rPr>
          <w:rFonts w:eastAsia="Calibri" w:cs="Arial" w:ascii="Arial" w:hAnsi="Arial"/>
          <w:sz w:val="20"/>
          <w:vertAlign w:val="superscript"/>
          <w:lang w:eastAsia="en-US"/>
        </w:rPr>
        <w:t>er</w:t>
      </w:r>
      <w:r>
        <w:rPr>
          <w:rFonts w:eastAsia="Calibri" w:cs="Arial" w:ascii="Arial" w:hAnsi="Arial"/>
          <w:sz w:val="20"/>
          <w:lang w:eastAsia="en-US"/>
        </w:rPr>
        <w:t xml:space="preserve"> mai 2022.</w:t>
      </w:r>
    </w:p>
    <w:p>
      <w:pPr>
        <w:pStyle w:val="Normal"/>
        <w:ind w:left="708" w:hanging="0"/>
        <w:jc w:val="both"/>
        <w:rPr>
          <w:rFonts w:ascii="Arial" w:hAnsi="Arial" w:cs="Arial"/>
          <w:sz w:val="20"/>
        </w:rPr>
      </w:pPr>
      <w:r>
        <w:rPr>
          <w:rFonts w:cs="Arial" w:ascii="Arial" w:hAnsi="Arial"/>
          <w:sz w:val="20"/>
        </w:rPr>
        <w:t xml:space="preserve">Pour les salariés cadres et non-cadres ayant bénéficié d’une augmentation de salaire individuelle ou promotionnelle au cours des 6 derniers mois d’un montant inférieur à de 2,5% de leur salaire de base, ils bénéficieront d’une augmentation de salaire complémentaire pour atteindre un total cumulé de 2,5% d’augmentation de leur salaire de base. </w:t>
      </w:r>
    </w:p>
    <w:p>
      <w:pPr>
        <w:pStyle w:val="Normal"/>
        <w:jc w:val="both"/>
        <w:rPr>
          <w:rFonts w:ascii="Arial" w:hAnsi="Arial" w:cs="Arial"/>
          <w:sz w:val="20"/>
        </w:rPr>
      </w:pPr>
      <w:r>
        <w:rPr>
          <w:rFonts w:cs="Arial" w:ascii="Arial" w:hAnsi="Arial"/>
          <w:sz w:val="20"/>
        </w:rPr>
      </w:r>
    </w:p>
    <w:p>
      <w:pPr>
        <w:pStyle w:val="Normal"/>
        <w:jc w:val="both"/>
        <w:rPr/>
      </w:pPr>
      <w:r>
        <w:rPr>
          <w:rFonts w:cs="Arial" w:ascii="Arial" w:hAnsi="Arial"/>
          <w:sz w:val="20"/>
        </w:rPr>
        <w:t>Il est entendu que ces mesures ne sont pas cumulatives et s’appliqueront au 1</w:t>
      </w:r>
      <w:r>
        <w:rPr>
          <w:rFonts w:cs="Arial" w:ascii="Arial" w:hAnsi="Arial"/>
          <w:sz w:val="20"/>
          <w:vertAlign w:val="superscript"/>
        </w:rPr>
        <w:t>er</w:t>
      </w:r>
      <w:r>
        <w:rPr>
          <w:rFonts w:cs="Arial" w:ascii="Arial" w:hAnsi="Arial"/>
          <w:sz w:val="20"/>
        </w:rPr>
        <w:t xml:space="preserve"> mai 2022.</w:t>
      </w:r>
    </w:p>
    <w:p>
      <w:pPr>
        <w:pStyle w:val="Normal"/>
        <w:rPr>
          <w:rFonts w:ascii="Arial" w:hAnsi="Arial" w:cs="Arial"/>
          <w:b/>
          <w:b/>
          <w:sz w:val="18"/>
          <w:szCs w:val="20"/>
        </w:rPr>
      </w:pPr>
      <w:r>
        <w:rPr>
          <w:rFonts w:cs="Arial" w:ascii="Arial" w:hAnsi="Arial"/>
          <w:b/>
          <w:sz w:val="18"/>
          <w:szCs w:val="20"/>
        </w:rPr>
      </w:r>
    </w:p>
    <w:p>
      <w:pPr>
        <w:pStyle w:val="Normal"/>
        <w:rPr>
          <w:rFonts w:ascii="Arial" w:hAnsi="Arial" w:cs="Arial"/>
          <w:b/>
          <w:b/>
          <w:sz w:val="18"/>
          <w:szCs w:val="20"/>
        </w:rPr>
      </w:pPr>
      <w:r>
        <w:rPr>
          <w:rFonts w:cs="Arial" w:ascii="Arial" w:hAnsi="Arial"/>
          <w:b/>
          <w:sz w:val="18"/>
          <w:szCs w:val="20"/>
        </w:rPr>
      </w:r>
    </w:p>
    <w:p>
      <w:pPr>
        <w:pStyle w:val="Heading2"/>
        <w:numPr>
          <w:ilvl w:val="1"/>
          <w:numId w:val="1"/>
        </w:numPr>
        <w:pBdr>
          <w:bottom w:val="dotted" w:sz="4" w:space="1" w:color="000000"/>
        </w:pBdr>
        <w:spacing w:lineRule="auto" w:line="276"/>
        <w:jc w:val="both"/>
        <w:rPr/>
      </w:pPr>
      <w:r>
        <w:rPr>
          <w:rFonts w:cs="Arial" w:ascii="Arial" w:hAnsi="Arial"/>
          <w:sz w:val="24"/>
          <w:szCs w:val="20"/>
          <w:u w:val="none"/>
        </w:rPr>
        <w:t>Article 2 -  Paiement de la carence maladie</w:t>
      </w:r>
    </w:p>
    <w:p>
      <w:pPr>
        <w:pStyle w:val="Normal"/>
        <w:spacing w:lineRule="auto" w:line="276"/>
        <w:jc w:val="both"/>
        <w:rPr>
          <w:rFonts w:ascii="Arial" w:hAnsi="Arial" w:cs="Arial"/>
          <w:sz w:val="20"/>
          <w:szCs w:val="20"/>
          <w:u w:val="single"/>
        </w:rPr>
      </w:pPr>
      <w:r>
        <w:rPr>
          <w:rFonts w:cs="Arial" w:ascii="Arial" w:hAnsi="Arial"/>
          <w:sz w:val="20"/>
          <w:szCs w:val="20"/>
          <w:u w:val="single"/>
        </w:rPr>
      </w:r>
    </w:p>
    <w:p>
      <w:pPr>
        <w:pStyle w:val="Normal"/>
        <w:spacing w:lineRule="auto" w:line="276"/>
        <w:jc w:val="both"/>
        <w:rPr>
          <w:rFonts w:ascii="Arial" w:hAnsi="Arial" w:cs="Arial"/>
          <w:sz w:val="20"/>
          <w:szCs w:val="20"/>
        </w:rPr>
      </w:pPr>
      <w:r>
        <w:rPr>
          <w:rFonts w:cs="Arial" w:ascii="Arial" w:hAnsi="Arial"/>
          <w:sz w:val="20"/>
          <w:szCs w:val="20"/>
        </w:rPr>
        <w:t>La direction maintient et pérennise la mesure suivante :  Le paiement de la première carence à hauteur de 3 jours lors du premier arrêt maladie d’un salarié. La carence sera calculée sur la base de l’année civile.</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 xml:space="preserve">Cette disposition s’applique aux catégories des employés et agents de maitrise après 1 an d’ancienneté.  </w:t>
      </w:r>
    </w:p>
    <w:p>
      <w:pPr>
        <w:pStyle w:val="Normal"/>
        <w:spacing w:lineRule="auto" w:line="276"/>
        <w:jc w:val="both"/>
        <w:rPr>
          <w:rFonts w:ascii="Arial" w:hAnsi="Arial" w:cs="Arial"/>
          <w:sz w:val="20"/>
          <w:szCs w:val="20"/>
        </w:rPr>
      </w:pPr>
      <w:r>
        <w:rPr>
          <w:rFonts w:cs="Arial" w:ascii="Arial" w:hAnsi="Arial"/>
          <w:sz w:val="20"/>
          <w:szCs w:val="20"/>
        </w:rPr>
      </w:r>
    </w:p>
    <w:p>
      <w:pPr>
        <w:pStyle w:val="Heading2"/>
        <w:numPr>
          <w:ilvl w:val="1"/>
          <w:numId w:val="1"/>
        </w:numPr>
        <w:pBdr>
          <w:bottom w:val="dotted" w:sz="4" w:space="1" w:color="000000"/>
        </w:pBdr>
        <w:spacing w:lineRule="auto" w:line="276"/>
        <w:jc w:val="both"/>
        <w:rPr>
          <w:rFonts w:ascii="Arial" w:hAnsi="Arial" w:cs="Arial"/>
          <w:sz w:val="24"/>
          <w:szCs w:val="20"/>
          <w:u w:val="none"/>
        </w:rPr>
      </w:pPr>
      <w:r>
        <w:rPr>
          <w:rFonts w:cs="Arial" w:ascii="Arial" w:hAnsi="Arial"/>
          <w:sz w:val="24"/>
          <w:szCs w:val="20"/>
          <w:u w:val="none"/>
        </w:rPr>
        <w:t>Article 3 -  Forfait mobilités durables</w:t>
      </w:r>
    </w:p>
    <w:p>
      <w:pPr>
        <w:pStyle w:val="Normal"/>
        <w:spacing w:lineRule="auto" w:line="276"/>
        <w:jc w:val="both"/>
        <w:rPr>
          <w:rFonts w:ascii="Arial" w:hAnsi="Arial" w:cs="Arial"/>
          <w:sz w:val="20"/>
          <w:szCs w:val="20"/>
          <w:u w:val="none"/>
        </w:rPr>
      </w:pPr>
      <w:r>
        <w:rPr>
          <w:rFonts w:cs="Arial" w:ascii="Arial" w:hAnsi="Arial"/>
          <w:sz w:val="20"/>
          <w:szCs w:val="20"/>
          <w:u w:val="none"/>
        </w:rPr>
      </w:r>
    </w:p>
    <w:p>
      <w:pPr>
        <w:pStyle w:val="Normal"/>
        <w:spacing w:lineRule="auto" w:line="276"/>
        <w:jc w:val="both"/>
        <w:rPr>
          <w:rFonts w:ascii="Arial" w:hAnsi="Arial" w:cs="Arial"/>
          <w:sz w:val="20"/>
          <w:szCs w:val="20"/>
        </w:rPr>
      </w:pPr>
      <w:r>
        <w:rPr>
          <w:rFonts w:cs="Arial" w:ascii="Arial" w:hAnsi="Arial"/>
          <w:sz w:val="20"/>
          <w:szCs w:val="20"/>
        </w:rPr>
        <w:t xml:space="preserve">Le groupe Fnac-Darty a un engagement environnemental fort et c’est dans ce contexte que la société MSS souhaite y contribuer au travers de deux mesures : </w:t>
      </w:r>
    </w:p>
    <w:p>
      <w:pPr>
        <w:pStyle w:val="Normal"/>
        <w:spacing w:lineRule="auto" w:line="276"/>
        <w:jc w:val="both"/>
        <w:rPr>
          <w:rFonts w:ascii="Arial" w:hAnsi="Arial" w:cs="Arial"/>
          <w:sz w:val="20"/>
          <w:szCs w:val="20"/>
        </w:rPr>
      </w:pPr>
      <w:r>
        <w:rPr>
          <w:rFonts w:cs="Arial" w:ascii="Arial" w:hAnsi="Arial"/>
          <w:sz w:val="20"/>
          <w:szCs w:val="20"/>
        </w:rPr>
      </w:r>
    </w:p>
    <w:p>
      <w:pPr>
        <w:pStyle w:val="TextBody"/>
        <w:spacing w:lineRule="auto" w:line="276"/>
        <w:rPr>
          <w:rFonts w:ascii="Arial" w:hAnsi="Arial" w:cs="Arial"/>
          <w:b/>
          <w:b/>
          <w:sz w:val="20"/>
          <w:szCs w:val="20"/>
        </w:rPr>
      </w:pPr>
      <w:r>
        <w:rPr>
          <w:rFonts w:cs="Arial" w:ascii="Arial" w:hAnsi="Arial"/>
          <w:b/>
          <w:sz w:val="20"/>
          <w:szCs w:val="20"/>
        </w:rPr>
        <w:t>Article 3.1 – Prime co-voiturage à durée déterminée</w:t>
      </w:r>
    </w:p>
    <w:p>
      <w:pPr>
        <w:pStyle w:val="Normal"/>
        <w:spacing w:lineRule="auto" w:line="276"/>
        <w:jc w:val="both"/>
        <w:rPr>
          <w:rFonts w:ascii="Arial" w:hAnsi="Arial" w:cs="Arial"/>
          <w:b/>
          <w:b/>
          <w:sz w:val="20"/>
          <w:szCs w:val="20"/>
        </w:rPr>
      </w:pPr>
      <w:r>
        <w:rPr>
          <w:rFonts w:cs="Arial" w:ascii="Arial" w:hAnsi="Arial"/>
          <w:b/>
          <w:sz w:val="20"/>
          <w:szCs w:val="20"/>
        </w:rPr>
      </w:r>
    </w:p>
    <w:p>
      <w:pPr>
        <w:pStyle w:val="Normal"/>
        <w:spacing w:lineRule="auto" w:line="276"/>
        <w:jc w:val="both"/>
        <w:rPr>
          <w:rFonts w:ascii="Arial" w:hAnsi="Arial" w:cs="Arial"/>
          <w:sz w:val="20"/>
          <w:szCs w:val="20"/>
        </w:rPr>
      </w:pPr>
      <w:r>
        <w:rPr>
          <w:rFonts w:cs="Arial" w:ascii="Arial" w:hAnsi="Arial"/>
          <w:sz w:val="20"/>
          <w:szCs w:val="20"/>
        </w:rPr>
        <w:t>Dans un souci de réduire l’impact environnemental des déplacements des salariés, l’entreprise met en œuvre un forfait mobilités durables afin d’inciter financièrement les collaborateurs utilisant leur véhicule à recourir au covoiturage pour leurs déplacements domicile-lieu de travail.</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pPr>
      <w:r>
        <w:rPr>
          <w:rFonts w:cs="Arial" w:ascii="Arial" w:hAnsi="Arial"/>
          <w:sz w:val="20"/>
          <w:szCs w:val="20"/>
        </w:rPr>
        <w:t>Le forfait mobilités durables sera octroyé aux salariés ayant un usage effectif et régulier du covoiturage pour leurs trajets domicile-lieu de travail. A ce titre, le seuil de déclenchement du bénéficie du forfait mobilités durables a été fixé à 12 trajets minimums par mois.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Ce seuil de déclenchement sera ramené à 6 trajets minimums par mois pour un salarié dont le taux d’activité est inférieur ou égal à 50%.</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pPr>
      <w:r>
        <w:rPr>
          <w:rFonts w:cs="Arial" w:ascii="Arial" w:hAnsi="Arial"/>
          <w:sz w:val="20"/>
          <w:szCs w:val="20"/>
        </w:rPr>
        <w:t>Le FMD sera versé mensuellement à hauteur de 15€ par mois (sur 11 mois (hors le mois d’août) avec un mois de décalage), sous réserve pour les salariés de fournir une attestation sur l’honneur, un justificatif de domicile et par l’auto-remplissage du fichier déclaratif tous les mois.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pPr>
      <w:r>
        <w:rPr>
          <w:rFonts w:cs="Arial" w:ascii="Arial" w:hAnsi="Arial"/>
          <w:sz w:val="20"/>
          <w:szCs w:val="20"/>
        </w:rPr>
        <w:t>Cette prime sera exclue pour les salariés bénéficiaires du remboursement des transports en commun. Elle s’appliquera à tous les collaborateurs venant sur leur lieu de travail en voiture quelle que soit la forme ou la nature de leur contrat de travail (CDI, CDD, temps complet ou temps partiel), qu’ils soient conducteurs ou passagers.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Conformément aux dispositions légales et réglementaires en vigueur, il est rappelé que le montant versé au titre du forfait Mobilités Durables est exonéré d’impôt sur le revenu et de cotisations sociales.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Il est entendu que cette mesure est applicable jusqu’aux prochaines NAO et pourra être reconduite selon le bilan qui sera présenté aux organisations syndicales</w:t>
      </w:r>
    </w:p>
    <w:p>
      <w:pPr>
        <w:pStyle w:val="Normal"/>
        <w:spacing w:lineRule="auto" w:line="276"/>
        <w:jc w:val="both"/>
        <w:rPr>
          <w:rFonts w:ascii="Arial" w:hAnsi="Arial" w:cs="Arial"/>
          <w:sz w:val="20"/>
          <w:szCs w:val="20"/>
        </w:rPr>
      </w:pPr>
      <w:r>
        <w:rPr>
          <w:rFonts w:cs="Arial" w:ascii="Arial" w:hAnsi="Arial"/>
          <w:sz w:val="20"/>
          <w:szCs w:val="20"/>
        </w:rPr>
      </w:r>
    </w:p>
    <w:p>
      <w:pPr>
        <w:pStyle w:val="TextBody"/>
        <w:spacing w:lineRule="auto" w:line="276"/>
        <w:rPr/>
      </w:pPr>
      <w:r>
        <w:rPr>
          <w:rFonts w:cs="Arial" w:ascii="Arial" w:hAnsi="Arial"/>
          <w:b/>
          <w:sz w:val="20"/>
          <w:szCs w:val="20"/>
        </w:rPr>
        <w:t xml:space="preserve">Article 3.2 – Prime pour l’achat d’accessoires de protection  </w:t>
      </w:r>
    </w:p>
    <w:p>
      <w:pPr>
        <w:pStyle w:val="Normal"/>
        <w:spacing w:lineRule="auto" w:line="276"/>
        <w:jc w:val="both"/>
        <w:rPr>
          <w:rFonts w:ascii="Arial" w:hAnsi="Arial" w:cs="Arial"/>
          <w:b/>
          <w:b/>
          <w:sz w:val="20"/>
          <w:szCs w:val="20"/>
        </w:rPr>
      </w:pPr>
      <w:r>
        <w:rPr>
          <w:rFonts w:cs="Arial" w:ascii="Arial" w:hAnsi="Arial"/>
          <w:b/>
          <w:sz w:val="20"/>
          <w:szCs w:val="20"/>
        </w:rPr>
      </w:r>
    </w:p>
    <w:p>
      <w:pPr>
        <w:pStyle w:val="Normal"/>
        <w:spacing w:lineRule="auto" w:line="276"/>
        <w:jc w:val="both"/>
        <w:rPr/>
      </w:pPr>
      <w:r>
        <w:rPr>
          <w:rFonts w:cs="Arial" w:ascii="Arial" w:hAnsi="Arial"/>
          <w:sz w:val="20"/>
          <w:szCs w:val="20"/>
        </w:rPr>
        <w:t xml:space="preserve">Afin d’améliorer la mobilité des salariés et de les inciter à utiliser des modes de transports vertueux (vélo, trottinette) pour effectuer leurs déplacements entre leur domicile et leur lieu de travail, l’entreprise prendra en charge, sous la forme d’un forfait Mobilités Durables, les frais exposés par les salariés pour l’acquisition d’accessoires de protection (casque, gilet réfléchissant, genouillères, coudières, etc) dans la limite de 80€ maximum par salarié sur toute la durée d’application du dispositif. </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pPr>
      <w:r>
        <w:rPr>
          <w:rFonts w:cs="Arial" w:ascii="Arial" w:hAnsi="Arial"/>
          <w:sz w:val="20"/>
          <w:szCs w:val="20"/>
        </w:rPr>
        <w:t>Tous les salariés de l’entreprise pourront bénéficier de cette mesure quelle que soit la forme ou la nature de leur contrat de travail (CDI, CDD, temps complet ou temps partiel) sur présentation d’un justificatif d’achat.</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A titre exceptionnel, les frais engagés entre le 1er janvier 2022 et la date de signature du présent accord pourront également être pris en charge.</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Conformément aux dispositions légales et réglementaires en vigueur, il est rappelé que le montant versé au titre du forfait Mobilités Durables est exonéré d’impôt sur le revenu et de cotisations sociales.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Cette mesure est à durée déterminée et prendra fin le 28 février 2025.</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Heading2"/>
        <w:numPr>
          <w:ilvl w:val="1"/>
          <w:numId w:val="1"/>
        </w:numPr>
        <w:pBdr>
          <w:bottom w:val="dotted" w:sz="4" w:space="1" w:color="000000"/>
        </w:pBdr>
        <w:spacing w:lineRule="auto" w:line="276"/>
        <w:jc w:val="both"/>
        <w:rPr>
          <w:rFonts w:ascii="Arial" w:hAnsi="Arial" w:cs="Arial"/>
          <w:sz w:val="24"/>
          <w:szCs w:val="20"/>
          <w:u w:val="none"/>
        </w:rPr>
      </w:pPr>
      <w:r>
        <w:rPr>
          <w:rFonts w:cs="Arial" w:ascii="Arial" w:hAnsi="Arial"/>
          <w:sz w:val="24"/>
          <w:szCs w:val="20"/>
          <w:u w:val="none"/>
        </w:rPr>
        <w:t xml:space="preserve">Article 5 – Mesures en matière d’insertion professionnelle et de maintien dans l’emploi des travailleurs Handicapés, égalité professionnelle, emploi des seniors et des jeunes </w:t>
      </w:r>
    </w:p>
    <w:p>
      <w:pPr>
        <w:pStyle w:val="TextBody"/>
        <w:spacing w:lineRule="auto" w:line="276"/>
        <w:rPr>
          <w:rFonts w:ascii="Arial" w:hAnsi="Arial" w:cs="Arial"/>
          <w:sz w:val="20"/>
          <w:szCs w:val="20"/>
          <w:u w:val="none"/>
        </w:rPr>
      </w:pPr>
      <w:r>
        <w:rPr>
          <w:rFonts w:cs="Arial" w:ascii="Arial" w:hAnsi="Arial"/>
          <w:sz w:val="20"/>
          <w:szCs w:val="20"/>
          <w:u w:val="none"/>
        </w:rPr>
      </w:r>
    </w:p>
    <w:p>
      <w:pPr>
        <w:pStyle w:val="Normal"/>
        <w:spacing w:lineRule="atLeast" w:line="240"/>
        <w:jc w:val="both"/>
        <w:rPr>
          <w:rFonts w:ascii="Arial" w:hAnsi="Arial" w:cs="Arial"/>
          <w:sz w:val="20"/>
          <w:szCs w:val="20"/>
        </w:rPr>
      </w:pPr>
      <w:r>
        <w:rPr>
          <w:rFonts w:cs="Arial" w:ascii="Arial" w:hAnsi="Arial"/>
          <w:sz w:val="20"/>
          <w:szCs w:val="20"/>
        </w:rPr>
      </w:r>
    </w:p>
    <w:p>
      <w:pPr>
        <w:pStyle w:val="Normal"/>
        <w:spacing w:lineRule="atLeast" w:line="240"/>
        <w:jc w:val="both"/>
        <w:rPr>
          <w:rFonts w:ascii="Arial" w:hAnsi="Arial" w:cs="Arial"/>
          <w:sz w:val="20"/>
          <w:szCs w:val="20"/>
        </w:rPr>
      </w:pPr>
      <w:r>
        <w:rPr>
          <w:rFonts w:cs="Arial" w:ascii="Arial" w:hAnsi="Arial"/>
          <w:sz w:val="20"/>
          <w:szCs w:val="20"/>
        </w:rPr>
        <w:t xml:space="preserve">La Direction s’engage à poursuivre la politique en faveur de l’intégration de personnel handicapé en milieu ordinaire de travail, de l’égalité professionnelle et de l’emploi des seniors et des jeunes. </w:t>
      </w:r>
    </w:p>
    <w:p>
      <w:pPr>
        <w:pStyle w:val="Normal"/>
        <w:spacing w:lineRule="atLeast" w:line="240"/>
        <w:jc w:val="both"/>
        <w:rPr>
          <w:rFonts w:ascii="Arial" w:hAnsi="Arial" w:cs="Arial"/>
          <w:sz w:val="20"/>
          <w:szCs w:val="20"/>
        </w:rPr>
      </w:pPr>
      <w:r>
        <w:rPr>
          <w:rFonts w:cs="Arial" w:ascii="Arial" w:hAnsi="Arial"/>
          <w:sz w:val="20"/>
          <w:szCs w:val="20"/>
        </w:rPr>
      </w:r>
    </w:p>
    <w:p>
      <w:pPr>
        <w:pStyle w:val="TextBody"/>
        <w:spacing w:lineRule="auto" w:line="276"/>
        <w:rPr>
          <w:rFonts w:ascii="Arial" w:hAnsi="Arial" w:cs="Arial"/>
          <w:b/>
          <w:b/>
          <w:sz w:val="22"/>
          <w:szCs w:val="20"/>
        </w:rPr>
      </w:pPr>
      <w:r>
        <w:rPr>
          <w:rFonts w:cs="Arial" w:ascii="Arial" w:hAnsi="Arial"/>
          <w:b/>
          <w:sz w:val="22"/>
          <w:szCs w:val="20"/>
        </w:rPr>
      </w:r>
    </w:p>
    <w:p>
      <w:pPr>
        <w:pStyle w:val="Normal"/>
        <w:spacing w:lineRule="atLeast" w:line="240"/>
        <w:jc w:val="both"/>
        <w:rPr>
          <w:rFonts w:ascii="Arial" w:hAnsi="Arial" w:cs="Arial"/>
          <w:b/>
          <w:b/>
          <w:sz w:val="22"/>
          <w:szCs w:val="20"/>
        </w:rPr>
      </w:pPr>
      <w:r>
        <w:rPr>
          <w:rFonts w:cs="Arial" w:ascii="Arial" w:hAnsi="Arial"/>
          <w:b/>
          <w:sz w:val="22"/>
          <w:szCs w:val="20"/>
        </w:rPr>
      </w:r>
    </w:p>
    <w:p>
      <w:pPr>
        <w:pStyle w:val="Heading2"/>
        <w:numPr>
          <w:ilvl w:val="1"/>
          <w:numId w:val="1"/>
        </w:numPr>
        <w:pBdr>
          <w:bottom w:val="dotted" w:sz="4" w:space="1" w:color="000000"/>
        </w:pBdr>
        <w:spacing w:lineRule="auto" w:line="276"/>
        <w:jc w:val="both"/>
        <w:rPr>
          <w:rFonts w:ascii="Arial" w:hAnsi="Arial" w:cs="Arial"/>
          <w:sz w:val="24"/>
          <w:szCs w:val="20"/>
          <w:u w:val="none"/>
        </w:rPr>
      </w:pPr>
      <w:r>
        <w:rPr>
          <w:rFonts w:cs="Arial" w:ascii="Arial" w:hAnsi="Arial"/>
          <w:sz w:val="24"/>
          <w:szCs w:val="20"/>
          <w:u w:val="none"/>
        </w:rPr>
        <w:t>Article 4 - Entrée en vigueur et champ d’application de l’accord</w:t>
      </w:r>
    </w:p>
    <w:p>
      <w:pPr>
        <w:pStyle w:val="Normal"/>
        <w:spacing w:lineRule="atLeast" w:line="280"/>
        <w:jc w:val="both"/>
        <w:rPr>
          <w:rFonts w:ascii="Arial" w:hAnsi="Arial" w:cs="Arial"/>
          <w:sz w:val="20"/>
          <w:szCs w:val="20"/>
          <w:u w:val="none"/>
        </w:rPr>
      </w:pPr>
      <w:r>
        <w:rPr>
          <w:rFonts w:cs="Arial" w:ascii="Arial" w:hAnsi="Arial"/>
          <w:sz w:val="20"/>
          <w:szCs w:val="20"/>
          <w:u w:val="none"/>
        </w:rPr>
      </w:r>
    </w:p>
    <w:p>
      <w:pPr>
        <w:pStyle w:val="Normal"/>
        <w:jc w:val="both"/>
        <w:rPr>
          <w:rFonts w:ascii="Arial" w:hAnsi="Arial" w:cs="Arial"/>
          <w:sz w:val="20"/>
          <w:szCs w:val="20"/>
        </w:rPr>
      </w:pPr>
      <w:r>
        <w:rPr>
          <w:rFonts w:cs="Arial" w:ascii="Arial" w:hAnsi="Arial"/>
          <w:sz w:val="20"/>
          <w:szCs w:val="20"/>
        </w:rPr>
        <w:t>Le présent accord clôture les Négociations Annuelles Obligatoires 2022</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Cet accord entre en vigueur le lendemain de son dépôt.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Les parties conviennent expressément que les dispositions du présent accord, constituent un tout indivisible ne pouvant faire l’objet d’une dénonciation partielle.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Cs/>
          <w:iCs/>
          <w:sz w:val="20"/>
          <w:szCs w:val="20"/>
        </w:rPr>
        <w:t>Cet accord s’applique à l’ensemble des salariés de la société MSS, ayants droit aux différentes mesures.</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rPr>
      </w:r>
    </w:p>
    <w:p>
      <w:pPr>
        <w:pStyle w:val="Heading2"/>
        <w:numPr>
          <w:ilvl w:val="1"/>
          <w:numId w:val="1"/>
        </w:numPr>
        <w:pBdr>
          <w:bottom w:val="dotted" w:sz="4" w:space="1" w:color="000000"/>
        </w:pBdr>
        <w:spacing w:lineRule="auto" w:line="276"/>
        <w:jc w:val="both"/>
        <w:rPr/>
      </w:pPr>
      <w:r>
        <w:rPr>
          <w:rFonts w:cs="Arial" w:ascii="Arial" w:hAnsi="Arial"/>
          <w:sz w:val="24"/>
          <w:szCs w:val="20"/>
          <w:u w:val="none"/>
        </w:rPr>
        <w:t>Article. 5 - Dépôt et publicité </w:t>
      </w:r>
    </w:p>
    <w:p>
      <w:pPr>
        <w:pStyle w:val="Normal"/>
        <w:spacing w:lineRule="auto" w:line="276"/>
        <w:ind w:right="-468" w:hanging="0"/>
        <w:rPr>
          <w:rFonts w:ascii="Arial" w:hAnsi="Arial" w:cs="Arial"/>
          <w:sz w:val="20"/>
          <w:szCs w:val="20"/>
          <w:u w:val="none"/>
        </w:rPr>
      </w:pPr>
      <w:r>
        <w:rPr>
          <w:rFonts w:cs="Arial" w:ascii="Arial" w:hAnsi="Arial"/>
          <w:sz w:val="20"/>
          <w:szCs w:val="20"/>
          <w:u w:val="none"/>
        </w:rPr>
      </w:r>
    </w:p>
    <w:p>
      <w:pPr>
        <w:pStyle w:val="Normal"/>
        <w:spacing w:lineRule="auto" w:line="276"/>
        <w:ind w:right="-468" w:hanging="0"/>
        <w:rPr>
          <w:rFonts w:ascii="Arial" w:hAnsi="Arial" w:cs="Arial"/>
          <w:sz w:val="20"/>
          <w:szCs w:val="20"/>
        </w:rPr>
      </w:pPr>
      <w:r>
        <w:rPr>
          <w:rFonts w:cs="Arial" w:ascii="Arial" w:hAnsi="Arial"/>
          <w:sz w:val="20"/>
          <w:szCs w:val="20"/>
        </w:rPr>
        <w:t xml:space="preserve">Le présent accord fera l’objet d’une information lors du Comité Social et Economique d’avril 2022. </w:t>
      </w:r>
    </w:p>
    <w:p>
      <w:pPr>
        <w:pStyle w:val="Normal"/>
        <w:spacing w:lineRule="auto" w:line="276"/>
        <w:ind w:right="-468" w:hanging="0"/>
        <w:jc w:val="both"/>
        <w:rPr>
          <w:rFonts w:ascii="Arial" w:hAnsi="Arial" w:cs="Arial"/>
          <w:sz w:val="20"/>
          <w:szCs w:val="20"/>
        </w:rPr>
      </w:pPr>
      <w:r>
        <w:rPr>
          <w:rFonts w:cs="Arial" w:ascii="Arial" w:hAnsi="Arial"/>
          <w:sz w:val="20"/>
          <w:szCs w:val="20"/>
        </w:rPr>
      </w:r>
    </w:p>
    <w:p>
      <w:pPr>
        <w:pStyle w:val="Normal"/>
        <w:spacing w:lineRule="auto" w:line="276"/>
        <w:ind w:right="-468" w:hanging="0"/>
        <w:jc w:val="both"/>
        <w:rPr/>
      </w:pPr>
      <w:r>
        <w:rPr>
          <w:rFonts w:cs="Arial" w:ascii="Arial" w:hAnsi="Arial"/>
          <w:sz w:val="20"/>
          <w:szCs w:val="20"/>
        </w:rPr>
        <w:t>Cet accord fera l’objet des formalités de dépôt et de publicité requises par la loi et sera déposé auprès de la Direction Régionale des Entreprises, de la Concurrence, de la Consommation, du Travail de  l’Emploi (Direccte),  ainsi qu’au secrétariat du greffe du Conseil de Prud’hommes.</w:t>
      </w:r>
    </w:p>
    <w:p>
      <w:pPr>
        <w:pStyle w:val="Normal"/>
        <w:spacing w:lineRule="auto" w:line="276"/>
        <w:ind w:right="-468" w:hanging="0"/>
        <w:jc w:val="both"/>
        <w:rPr>
          <w:rFonts w:ascii="Arial" w:hAnsi="Arial" w:cs="Arial"/>
          <w:sz w:val="20"/>
          <w:szCs w:val="20"/>
        </w:rPr>
      </w:pPr>
      <w:r>
        <w:rPr>
          <w:rFonts w:cs="Arial" w:ascii="Arial" w:hAnsi="Arial"/>
          <w:sz w:val="20"/>
          <w:szCs w:val="20"/>
        </w:rPr>
      </w:r>
    </w:p>
    <w:p>
      <w:pPr>
        <w:pStyle w:val="Normal"/>
        <w:spacing w:lineRule="auto" w:line="276"/>
        <w:ind w:right="-468" w:hanging="0"/>
        <w:jc w:val="both"/>
        <w:rPr>
          <w:rFonts w:ascii="Arial" w:hAnsi="Arial" w:cs="Arial"/>
          <w:sz w:val="20"/>
          <w:szCs w:val="20"/>
        </w:rPr>
      </w:pPr>
      <w:r>
        <w:rPr>
          <w:rFonts w:cs="Arial" w:ascii="Arial" w:hAnsi="Arial"/>
          <w:sz w:val="20"/>
          <w:szCs w:val="20"/>
        </w:rPr>
        <w:t>Une version sur support électronique sera également communiquée à la Direction  Régionale des Entreprises, de la Concurrence, de la Consommation, du Travail et de l’Emploi.</w:t>
      </w:r>
    </w:p>
    <w:p>
      <w:pPr>
        <w:pStyle w:val="Normal"/>
        <w:spacing w:lineRule="auto" w:line="276"/>
        <w:ind w:right="-468" w:hanging="0"/>
        <w:jc w:val="both"/>
        <w:rPr>
          <w:rFonts w:ascii="Arial" w:hAnsi="Arial" w:cs="Arial"/>
          <w:sz w:val="20"/>
          <w:szCs w:val="20"/>
        </w:rPr>
      </w:pPr>
      <w:r>
        <w:rPr>
          <w:rFonts w:cs="Arial" w:ascii="Arial" w:hAnsi="Arial"/>
          <w:sz w:val="20"/>
          <w:szCs w:val="20"/>
        </w:rPr>
      </w:r>
    </w:p>
    <w:p>
      <w:pPr>
        <w:pStyle w:val="Normal"/>
        <w:spacing w:lineRule="auto" w:line="276"/>
        <w:ind w:right="-468" w:hanging="0"/>
        <w:jc w:val="both"/>
        <w:rPr>
          <w:rFonts w:ascii="Arial" w:hAnsi="Arial" w:cs="Arial"/>
          <w:sz w:val="20"/>
          <w:szCs w:val="20"/>
        </w:rPr>
      </w:pPr>
      <w:r>
        <w:rPr>
          <w:rFonts w:cs="Arial" w:ascii="Arial" w:hAnsi="Arial"/>
          <w:sz w:val="20"/>
          <w:szCs w:val="20"/>
        </w:rPr>
        <w:t>En outre, un exemplaire sera établi pour chaque partie.</w:t>
      </w:r>
    </w:p>
    <w:p>
      <w:pPr>
        <w:pStyle w:val="Normal"/>
        <w:spacing w:lineRule="auto" w:line="276"/>
        <w:ind w:right="-468" w:hanging="0"/>
        <w:rPr>
          <w:rFonts w:ascii="Arial" w:hAnsi="Arial" w:cs="Arial"/>
          <w:sz w:val="20"/>
          <w:szCs w:val="20"/>
        </w:rPr>
      </w:pPr>
      <w:r>
        <w:rPr>
          <w:rFonts w:cs="Arial" w:ascii="Arial" w:hAnsi="Arial"/>
          <w:sz w:val="20"/>
          <w:szCs w:val="20"/>
        </w:rPr>
      </w:r>
    </w:p>
    <w:p>
      <w:pPr>
        <w:pStyle w:val="Normal"/>
        <w:spacing w:lineRule="auto" w:line="276"/>
        <w:ind w:right="-468" w:hanging="0"/>
        <w:rPr>
          <w:rFonts w:ascii="Arial" w:hAnsi="Arial" w:cs="Arial"/>
          <w:sz w:val="20"/>
          <w:szCs w:val="20"/>
        </w:rPr>
      </w:pPr>
      <w:r>
        <w:rPr>
          <w:rFonts w:cs="Arial" w:ascii="Arial" w:hAnsi="Arial"/>
          <w:sz w:val="20"/>
          <w:szCs w:val="20"/>
        </w:rPr>
        <w:t>Le présent accord sera notifié à l’ensemble des Organisations Syndicales Représentatives dans l’entreprise.</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Fait à Noisy Le Grand, le 14 avril 2022</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t>Pour la société</w:t>
      </w:r>
    </w:p>
    <w:p>
      <w:pPr>
        <w:pStyle w:val="Normal"/>
        <w:spacing w:lineRule="auto" w:line="276"/>
        <w:jc w:val="both"/>
        <w:rPr>
          <w:rFonts w:ascii="Arial" w:hAnsi="Arial" w:cs="Arial"/>
          <w:sz w:val="20"/>
          <w:szCs w:val="20"/>
        </w:rPr>
      </w:pPr>
      <w:r>
        <w:rPr>
          <w:rFonts w:cs="Arial" w:ascii="Arial" w:hAnsi="Arial"/>
          <w:sz w:val="20"/>
          <w:szCs w:val="20"/>
        </w:rPr>
        <w:tab/>
        <w:tab/>
        <w:tab/>
        <w:tab/>
        <w:tab/>
        <w:tab/>
        <w:t>Pour l’organisation syndicale CFTC</w:t>
      </w:r>
    </w:p>
    <w:p>
      <w:pPr>
        <w:pStyle w:val="Normal"/>
        <w:spacing w:lineRule="auto" w:line="276"/>
        <w:jc w:val="both"/>
        <w:rPr>
          <w:rFonts w:ascii="Arial" w:hAnsi="Arial" w:cs="Arial"/>
          <w:sz w:val="20"/>
          <w:szCs w:val="20"/>
        </w:rPr>
      </w:pPr>
      <w:r>
        <w:rPr>
          <w:rFonts w:cs="Arial" w:ascii="Arial" w:hAnsi="Arial"/>
          <w:b/>
          <w:sz w:val="20"/>
          <w:szCs w:val="20"/>
        </w:rPr>
        <w:t>Mme X</w:t>
        <w:tab/>
        <w:tab/>
        <w:tab/>
        <w:tab/>
        <w:tab/>
        <w:t xml:space="preserve"> </w:t>
      </w:r>
      <w:r>
        <w:rPr>
          <w:rFonts w:cs="Arial" w:ascii="Arial" w:hAnsi="Arial"/>
          <w:sz w:val="20"/>
          <w:szCs w:val="20"/>
        </w:rPr>
        <w:t xml:space="preserve">            </w:t>
      </w:r>
      <w:r>
        <w:rPr>
          <w:rFonts w:cs="Arial" w:ascii="Arial" w:hAnsi="Arial"/>
          <w:b/>
          <w:sz w:val="20"/>
          <w:szCs w:val="20"/>
        </w:rPr>
        <w:t>M. X</w:t>
      </w:r>
    </w:p>
    <w:p>
      <w:pPr>
        <w:pStyle w:val="Normal"/>
        <w:spacing w:lineRule="auto" w:line="276"/>
        <w:jc w:val="both"/>
        <w:rPr>
          <w:rFonts w:ascii="Arial" w:hAnsi="Arial" w:cs="Arial"/>
          <w:sz w:val="20"/>
          <w:szCs w:val="20"/>
        </w:rPr>
      </w:pPr>
      <w:r>
        <w:rPr>
          <w:rFonts w:cs="Arial" w:ascii="Arial" w:hAnsi="Arial"/>
          <w:sz w:val="20"/>
          <w:szCs w:val="20"/>
        </w:rPr>
        <w:t>Directrice d’Exploitation MSS</w:t>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jc w:val="both"/>
        <w:rPr>
          <w:rFonts w:ascii="Arial" w:hAnsi="Arial" w:cs="Arial"/>
          <w:sz w:val="20"/>
          <w:szCs w:val="20"/>
        </w:rPr>
      </w:pPr>
      <w:r>
        <w:rPr>
          <w:rFonts w:cs="Arial" w:ascii="Arial" w:hAnsi="Arial"/>
          <w:sz w:val="20"/>
          <w:szCs w:val="20"/>
        </w:rPr>
      </w:r>
    </w:p>
    <w:p>
      <w:pPr>
        <w:pStyle w:val="Normal"/>
        <w:spacing w:lineRule="auto" w:line="276"/>
        <w:ind w:left="3540" w:firstLine="708"/>
        <w:jc w:val="both"/>
        <w:rPr>
          <w:rFonts w:ascii="Arial" w:hAnsi="Arial" w:cs="Arial"/>
          <w:sz w:val="20"/>
          <w:szCs w:val="20"/>
        </w:rPr>
      </w:pPr>
      <w:r>
        <w:rPr>
          <w:rFonts w:cs="Arial" w:ascii="Arial" w:hAnsi="Arial"/>
          <w:sz w:val="20"/>
          <w:szCs w:val="20"/>
        </w:rPr>
      </w:r>
    </w:p>
    <w:p>
      <w:pPr>
        <w:pStyle w:val="Normal"/>
        <w:spacing w:lineRule="auto" w:line="276"/>
        <w:ind w:left="3540" w:firstLine="708"/>
        <w:jc w:val="both"/>
        <w:rPr>
          <w:rFonts w:ascii="Arial" w:hAnsi="Arial" w:cs="Arial"/>
          <w:sz w:val="20"/>
          <w:szCs w:val="20"/>
        </w:rPr>
      </w:pPr>
      <w:r>
        <w:rPr>
          <w:rFonts w:cs="Arial" w:ascii="Arial" w:hAnsi="Arial"/>
          <w:sz w:val="20"/>
          <w:szCs w:val="20"/>
        </w:rPr>
        <w:t>Pour l’organisation syndicale CFE - CGC</w:t>
      </w:r>
    </w:p>
    <w:p>
      <w:pPr>
        <w:pStyle w:val="Normal"/>
        <w:spacing w:lineRule="auto" w:line="276"/>
        <w:ind w:left="3540" w:firstLine="708"/>
        <w:jc w:val="both"/>
        <w:rPr>
          <w:rFonts w:ascii="Arial" w:hAnsi="Arial" w:cs="Arial"/>
          <w:b/>
          <w:b/>
          <w:sz w:val="20"/>
          <w:szCs w:val="20"/>
        </w:rPr>
      </w:pPr>
      <w:r>
        <w:rPr>
          <w:rFonts w:cs="Arial" w:ascii="Arial" w:hAnsi="Arial"/>
          <w:b/>
          <w:sz w:val="20"/>
          <w:szCs w:val="20"/>
        </w:rPr>
        <w:t>M. X</w:t>
      </w:r>
    </w:p>
    <w:p>
      <w:pPr>
        <w:pStyle w:val="Normal"/>
        <w:spacing w:lineRule="auto" w:line="276"/>
        <w:ind w:left="3540" w:firstLine="708"/>
        <w:jc w:val="both"/>
        <w:rPr>
          <w:rFonts w:ascii="Arial" w:hAnsi="Arial" w:cs="Arial"/>
          <w:b/>
          <w:b/>
          <w:sz w:val="20"/>
          <w:szCs w:val="20"/>
        </w:rPr>
      </w:pPr>
      <w:r>
        <w:rPr>
          <w:rFonts w:cs="Arial" w:ascii="Arial" w:hAnsi="Arial"/>
          <w:b/>
          <w:sz w:val="20"/>
          <w:szCs w:val="20"/>
        </w:rPr>
      </w:r>
    </w:p>
    <w:p>
      <w:pPr>
        <w:pStyle w:val="Normal"/>
        <w:spacing w:lineRule="auto" w:line="276"/>
        <w:ind w:left="3540" w:firstLine="708"/>
        <w:jc w:val="both"/>
        <w:rPr>
          <w:rFonts w:ascii="Arial" w:hAnsi="Arial" w:cs="Arial"/>
          <w:b/>
          <w:b/>
          <w:sz w:val="20"/>
          <w:szCs w:val="20"/>
        </w:rPr>
      </w:pPr>
      <w:r>
        <w:rPr>
          <w:rFonts w:cs="Arial" w:ascii="Arial" w:hAnsi="Arial"/>
          <w:b/>
          <w:sz w:val="20"/>
          <w:szCs w:val="20"/>
        </w:rPr>
      </w:r>
    </w:p>
    <w:p>
      <w:pPr>
        <w:pStyle w:val="Normal"/>
        <w:spacing w:lineRule="auto" w:line="276"/>
        <w:ind w:left="3540" w:firstLine="708"/>
        <w:jc w:val="both"/>
        <w:rPr>
          <w:rFonts w:ascii="Arial" w:hAnsi="Arial" w:cs="Arial"/>
          <w:b/>
          <w:b/>
          <w:sz w:val="20"/>
          <w:szCs w:val="20"/>
        </w:rPr>
      </w:pPr>
      <w:r>
        <w:rPr>
          <w:rFonts w:cs="Arial" w:ascii="Arial" w:hAnsi="Arial"/>
          <w:b/>
          <w:sz w:val="20"/>
          <w:szCs w:val="20"/>
        </w:rPr>
      </w:r>
    </w:p>
    <w:p>
      <w:pPr>
        <w:pStyle w:val="Normal"/>
        <w:rPr>
          <w:rFonts w:ascii="Calibri" w:hAnsi="Calibri" w:cs="Calibri"/>
          <w:sz w:val="12"/>
          <w:szCs w:val="12"/>
        </w:rPr>
      </w:pPr>
      <w:bookmarkStart w:id="0" w:name="_PictureBullets"/>
      <w:bookmarkStart w:id="1" w:name="_PictureBullets"/>
      <w:bookmarkEnd w:id="1"/>
      <w:r>
        <w:rPr/>
      </w:r>
    </w:p>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Wingdings 3">
    <w:charset w:val="02"/>
    <w:family w:val="roman"/>
    <w:pitch w:val="variable"/>
  </w:font>
  <w:font w:name="Tahoma">
    <w:charset w:val="00"/>
    <w:family w:val="swiss"/>
    <w:pitch w:val="variable"/>
  </w:font>
  <w:font w:name="Verdana">
    <w:charset w:val="00"/>
    <w:family w:val="swiss"/>
    <w:pitch w:val="variable"/>
  </w:font>
  <w:font w:name="Helvetica Neue LT Std">
    <w:charset w:val="00"/>
    <w:family w:val="swiss"/>
    <w:pitch w:val="default"/>
  </w:font>
  <w:font w:name="Palatin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6" w:type="dxa"/>
      <w:jc w:val="left"/>
      <w:tblInd w:w="0" w:type="dxa"/>
      <w:tblBorders>
        <w:bottom w:val="single" w:sz="4" w:space="0" w:color="4F81BD"/>
        <w:insideH w:val="single" w:sz="4" w:space="0" w:color="4F81BD"/>
      </w:tblBorders>
      <w:tblCellMar>
        <w:top w:w="0" w:type="dxa"/>
        <w:left w:w="108" w:type="dxa"/>
        <w:bottom w:w="0" w:type="dxa"/>
        <w:right w:w="108" w:type="dxa"/>
      </w:tblCellMar>
    </w:tblPr>
    <w:tblGrid>
      <w:gridCol w:w="4178"/>
      <w:gridCol w:w="929"/>
      <w:gridCol w:w="4179"/>
    </w:tblGrid>
    <w:tr>
      <w:trPr>
        <w:trHeight w:val="151" w:hRule="atLeast"/>
      </w:trPr>
      <w:tc>
        <w:tcPr>
          <w:tcW w:w="4178" w:type="dxa"/>
          <w:tcBorders>
            <w:bottom w:val="single" w:sz="4" w:space="0" w:color="4F81BD"/>
            <w:insideH w:val="single" w:sz="4" w:space="0" w:color="4F81BD"/>
          </w:tcBorders>
          <w:shd w:fill="auto" w:val="clear"/>
        </w:tcPr>
        <w:p>
          <w:pPr>
            <w:pStyle w:val="Header"/>
            <w:snapToGrid w:val="false"/>
            <w:rPr>
              <w:rFonts w:ascii="Cambria" w:hAnsi="Cambria" w:cs="Cambria"/>
              <w:bCs/>
            </w:rPr>
          </w:pPr>
          <w:r>
            <w:rPr>
              <w:rFonts w:cs="Cambria" w:ascii="Cambria" w:hAnsi="Cambria"/>
              <w:bCs/>
            </w:rPr>
          </w:r>
        </w:p>
      </w:tc>
      <w:tc>
        <w:tcPr>
          <w:tcW w:w="929" w:type="dxa"/>
          <w:vMerge w:val="restart"/>
          <w:tcBorders/>
          <w:shd w:fill="auto" w:val="clear"/>
          <w:vAlign w:val="center"/>
        </w:tcPr>
        <w:p>
          <w:pPr>
            <w:pStyle w:val="Sansinterligne"/>
            <w:rPr>
              <w:rFonts w:ascii="Cambria" w:hAnsi="Cambria" w:cs="Cambria"/>
            </w:rPr>
          </w:pPr>
          <w:r>
            <w:rPr>
              <w:rFonts w:cs="Cambria" w:ascii="Cambria" w:hAnsi="Cambria"/>
              <w:b/>
            </w:rPr>
            <w:t xml:space="preserve">Page </w:t>
          </w:r>
          <w:r>
            <w:rPr/>
            <w:fldChar w:fldCharType="begin"/>
          </w:r>
          <w:r>
            <w:instrText> PAGE </w:instrText>
          </w:r>
          <w:r>
            <w:fldChar w:fldCharType="separate"/>
          </w:r>
          <w:r>
            <w:t>5</w:t>
          </w:r>
          <w:r>
            <w:fldChar w:fldCharType="end"/>
          </w:r>
        </w:p>
      </w:tc>
      <w:tc>
        <w:tcPr>
          <w:tcW w:w="4179" w:type="dxa"/>
          <w:tcBorders>
            <w:bottom w:val="single" w:sz="4" w:space="0" w:color="4F81BD"/>
            <w:insideH w:val="single" w:sz="4" w:space="0" w:color="4F81BD"/>
          </w:tcBorders>
          <w:shd w:fill="auto" w:val="clear"/>
        </w:tcPr>
        <w:p>
          <w:pPr>
            <w:pStyle w:val="Header"/>
            <w:snapToGrid w:val="false"/>
            <w:rPr>
              <w:rFonts w:ascii="Cambria" w:hAnsi="Cambria" w:cs="Cambria"/>
              <w:b/>
              <w:b/>
              <w:bCs/>
            </w:rPr>
          </w:pPr>
          <w:r>
            <w:rPr>
              <w:rFonts w:cs="Cambria" w:ascii="Cambria" w:hAnsi="Cambria"/>
              <w:b/>
              <w:bCs/>
            </w:rPr>
          </w:r>
        </w:p>
      </w:tc>
    </w:tr>
    <w:tr>
      <w:trPr>
        <w:trHeight w:val="150" w:hRule="atLeast"/>
      </w:trPr>
      <w:tc>
        <w:tcPr>
          <w:tcW w:w="4178" w:type="dxa"/>
          <w:tcBorders>
            <w:top w:val="single" w:sz="4" w:space="0" w:color="4F81BD"/>
          </w:tcBorders>
          <w:shd w:fill="auto" w:val="clear"/>
        </w:tcPr>
        <w:p>
          <w:pPr>
            <w:pStyle w:val="Header"/>
            <w:rPr>
              <w:rFonts w:ascii="Cambria" w:hAnsi="Cambria" w:cs="Cambria"/>
              <w:b/>
              <w:b/>
              <w:bCs/>
            </w:rPr>
          </w:pPr>
          <w:r>
            <w:rPr>
              <w:rFonts w:cs="Cambria" w:ascii="Cambria" w:hAnsi="Cambria"/>
              <w:bCs/>
              <w:sz w:val="18"/>
            </w:rPr>
            <w:t>ACCORD  NAO 2022 MSS</w:t>
          </w:r>
        </w:p>
      </w:tc>
      <w:tc>
        <w:tcPr>
          <w:tcW w:w="929" w:type="dxa"/>
          <w:vMerge w:val="continue"/>
          <w:tcBorders/>
          <w:shd w:fill="auto" w:val="clear"/>
        </w:tcPr>
        <w:p>
          <w:pPr>
            <w:pStyle w:val="Header"/>
            <w:snapToGrid w:val="false"/>
            <w:jc w:val="center"/>
            <w:rPr>
              <w:rFonts w:ascii="Cambria" w:hAnsi="Cambria" w:cs="Cambria"/>
              <w:b/>
              <w:b/>
              <w:bCs/>
            </w:rPr>
          </w:pPr>
          <w:r>
            <w:rPr>
              <w:rFonts w:cs="Cambria" w:ascii="Cambria" w:hAnsi="Cambria"/>
              <w:b/>
              <w:bCs/>
            </w:rPr>
          </w:r>
        </w:p>
      </w:tc>
      <w:tc>
        <w:tcPr>
          <w:tcW w:w="4179" w:type="dxa"/>
          <w:tcBorders>
            <w:top w:val="single" w:sz="4" w:space="0" w:color="4F81BD"/>
          </w:tcBorders>
          <w:shd w:fill="auto" w:val="clear"/>
        </w:tcPr>
        <w:p>
          <w:pPr>
            <w:pStyle w:val="Header"/>
            <w:snapToGrid w:val="false"/>
            <w:rPr>
              <w:rFonts w:ascii="Cambria" w:hAnsi="Cambria" w:cs="Cambria"/>
              <w:b/>
              <w:b/>
              <w:bCs/>
            </w:rPr>
          </w:pPr>
          <w:r>
            <w:rPr>
              <w:rFonts w:cs="Cambria" w:ascii="Cambria" w:hAnsi="Cambria"/>
              <w:b/>
              <w:bCs/>
            </w:rPr>
          </w:r>
        </w:p>
      </w:tc>
    </w:tr>
  </w:tbl>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Palatino" w:hAnsi="Palatino" w:cs="Palatino"/>
        <w:b/>
        <w:b/>
      </w:rPr>
    </w:pPr>
    <w:r>
      <w:rPr>
        <w:rFonts w:cs="Palatino" w:ascii="Palatino" w:hAnsi="Palatino"/>
        <w:b/>
      </w:rPr>
    </w:r>
  </w:p>
  <w:p>
    <w:pPr>
      <w:pStyle w:val="Header"/>
      <w:rPr>
        <w:rFonts w:ascii="Palatino" w:hAnsi="Palatino" w:cs="Palatino"/>
        <w:b/>
        <w:b/>
        <w:color w:val="FF0000"/>
        <w:sz w:val="48"/>
      </w:rPr>
    </w:pPr>
    <w:r>
      <w:drawing>
        <wp:anchor behindDoc="0" distT="0" distB="0" distL="114935" distR="114935" simplePos="0" locked="0" layoutInCell="1" allowOverlap="1" relativeHeight="6">
          <wp:simplePos x="0" y="0"/>
          <wp:positionH relativeFrom="margin">
            <wp:posOffset>-629285</wp:posOffset>
          </wp:positionH>
          <wp:positionV relativeFrom="margin">
            <wp:posOffset>-1146175</wp:posOffset>
          </wp:positionV>
          <wp:extent cx="1475105" cy="685800"/>
          <wp:effectExtent l="0" t="0" r="0" b="0"/>
          <wp:wrapSquare wrapText="bothSides"/>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1"/>
                  <a:srcRect l="-24" t="-52" r="-24" b="-52"/>
                  <a:stretch>
                    <a:fillRect/>
                  </a:stretch>
                </pic:blipFill>
                <pic:spPr bwMode="auto">
                  <a:xfrm>
                    <a:off x="0" y="0"/>
                    <a:ext cx="1475105" cy="685800"/>
                  </a:xfrm>
                  <a:prstGeom prst="rect">
                    <a:avLst/>
                  </a:prstGeom>
                </pic:spPr>
              </pic:pic>
            </a:graphicData>
          </a:graphic>
        </wp:anchor>
      </w:drawing>
    </w:r>
    <w:r>
      <w:rPr>
        <w:rFonts w:eastAsia="Palatino" w:cs="Palatino" w:ascii="Palatino" w:hAnsi="Palatino"/>
        <w:b/>
      </w:rPr>
      <w:t xml:space="preserve"> </w:t>
    </w:r>
    <w:r>
      <w:rPr>
        <w:rFonts w:eastAsia="Palatino" w:cs="Palatino" w:ascii="Palatino" w:hAnsi="Palatino"/>
        <w:b/>
      </w:rPr>
      <w:t xml:space="preserve">                      </w:t>
    </w:r>
  </w:p>
  <w:p>
    <w:pPr>
      <w:pStyle w:val="Header"/>
      <w:rPr>
        <w:rFonts w:ascii="Palatino" w:hAnsi="Palatino" w:cs="Palatino"/>
        <w:b/>
        <w:b/>
        <w:color w:val="FF0000"/>
        <w:sz w:val="48"/>
      </w:rPr>
    </w:pPr>
    <w:r>
      <w:rPr>
        <w:rFonts w:cs="Palatino" w:ascii="Palatino" w:hAnsi="Palatino"/>
        <w:b/>
        <w:color w:val="FF0000"/>
        <w:sz w:val="48"/>
      </w:rPr>
    </w:r>
  </w:p>
  <w:p>
    <w:pPr>
      <w:pStyle w:val="Header"/>
      <w:rPr>
        <w:rFonts w:ascii="Palatino" w:hAnsi="Palatino" w:cs="Palatino"/>
        <w:b/>
        <w:b/>
      </w:rPr>
    </w:pPr>
    <w:r>
      <w:rPr>
        <w:rFonts w:cs="Palatino" w:ascii="Palatino" w:hAnsi="Palatino"/>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2.95pt;height:12.9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numFmt w:val="bullet"/>
      <w:lvlText w:val="-"/>
      <w:lvlJc w:val="left"/>
      <w:pPr>
        <w:tabs>
          <w:tab w:val="num" w:pos="720"/>
        </w:tabs>
        <w:ind w:left="720" w:hanging="360"/>
      </w:pPr>
      <w:rPr>
        <w:rFonts w:ascii="Times New Roman" w:hAnsi="Times New Roman" w:cs="Times New Roman" w:hint="default"/>
        <w:sz w:val="20"/>
        <w:szCs w:val="22"/>
        <w:rFonts w:cs="Times New Roman"/>
      </w:rPr>
    </w:lvl>
  </w:abstractNum>
  <w:abstractNum w:abstractNumId="4">
    <w:lvl w:ilvl="0">
      <w:start w:val="1"/>
      <w:numFmt w:val="bullet"/>
      <w:lvlText w:val="-"/>
      <w:lvlJc w:val="left"/>
      <w:pPr>
        <w:ind w:left="720" w:hanging="360"/>
      </w:pPr>
      <w:rPr>
        <w:rFonts w:ascii="Arial" w:hAnsi="Arial" w:cs="Arial" w:hint="default"/>
        <w:sz w:val="20"/>
        <w:rFonts w:cs="Arial"/>
        <w:lang w:eastAsia="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sz w:val="32"/>
      <w:szCs w:val="32"/>
    </w:rPr>
  </w:style>
  <w:style w:type="paragraph" w:styleId="Heading2">
    <w:name w:val="Heading 2"/>
    <w:basedOn w:val="Normal"/>
    <w:next w:val="Normal"/>
    <w:qFormat/>
    <w:pPr>
      <w:keepNext w:val="true"/>
      <w:numPr>
        <w:ilvl w:val="1"/>
        <w:numId w:val="1"/>
      </w:numPr>
      <w:jc w:val="center"/>
      <w:outlineLvl w:val="1"/>
    </w:pPr>
    <w:rPr>
      <w:b/>
      <w:bCs/>
      <w:sz w:val="28"/>
      <w:u w:val="single"/>
    </w:rPr>
  </w:style>
  <w:style w:type="paragraph" w:styleId="Heading3">
    <w:name w:val="Heading 3"/>
    <w:basedOn w:val="Normal"/>
    <w:next w:val="Normal"/>
    <w:qFormat/>
    <w:pPr>
      <w:keepNext w:val="true"/>
      <w:numPr>
        <w:ilvl w:val="2"/>
        <w:numId w:val="1"/>
      </w:numPr>
      <w:jc w:val="both"/>
      <w:outlineLvl w:val="2"/>
    </w:pPr>
    <w:rPr>
      <w:b/>
      <w:bCs/>
      <w:u w:val="single"/>
    </w:rPr>
  </w:style>
  <w:style w:type="character" w:styleId="WW8Num1z0">
    <w:name w:val="WW8Num1z0"/>
    <w:qFormat/>
    <w:rPr>
      <w:rFonts w:ascii="Symbol" w:hAnsi="Symbol" w:cs="Symbol"/>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Arial" w:hAnsi="Arial" w:cs="Arial"/>
    </w:rPr>
  </w:style>
  <w:style w:type="character" w:styleId="WW8Num8z0">
    <w:name w:val="WW8Num8z0"/>
    <w:qFormat/>
    <w:rPr>
      <w:rFonts w:ascii="Arial" w:hAnsi="Arial" w:eastAsia="Times New Roman" w:cs="Arial"/>
    </w:rPr>
  </w:style>
  <w:style w:type="character" w:styleId="WW8Num8z1">
    <w:name w:val="WW8Num8z1"/>
    <w:qFormat/>
    <w:rPr>
      <w:rFonts w:ascii="Wingdings" w:hAnsi="Wingdings" w:cs="Wingdings"/>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b w:val="false"/>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sz w:val="20"/>
      <w:szCs w:val="22"/>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eastAsia="Times New Roman"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Arial" w:hAnsi="Arial" w:eastAsia="Times New Roman"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alibri" w:hAnsi="Calibri" w:eastAsia="Calibri"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3" w:hAnsi="Wingdings 3" w:eastAsia="Times New Roman" w:cs="Arial"/>
      <w:b/>
      <w:sz w:val="28"/>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Arial"/>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Arial" w:hAnsi="Arial" w:eastAsia="Times New Roman" w:cs="Arial"/>
      <w:sz w:val="20"/>
      <w:lang w:eastAsia="en-US"/>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Calibri" w:hAnsi="Calibri" w:eastAsia="Calibri" w:cs="Times New Roman"/>
      <w:color w:val="1F497D"/>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5z0">
    <w:name w:val="WW8Num35z0"/>
    <w:qFormat/>
    <w:rPr>
      <w:rFonts w:ascii="Calibri" w:hAnsi="Calibri" w:eastAsia="Times New Roman" w:cs="Aria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b/>
      <w:sz w:val="28"/>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alibri" w:hAnsi="Calibri"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Policepardfaut">
    <w:name w:val="Police par défaut"/>
    <w:qFormat/>
    <w:rPr/>
  </w:style>
  <w:style w:type="character" w:styleId="Titre2Car">
    <w:name w:val="Titre 2 Car"/>
    <w:qFormat/>
    <w:rPr>
      <w:rFonts w:ascii="Times New Roman" w:hAnsi="Times New Roman" w:eastAsia="Times New Roman" w:cs="Times New Roman"/>
      <w:b/>
      <w:bCs/>
      <w:sz w:val="28"/>
      <w:szCs w:val="24"/>
      <w:u w:val="single"/>
    </w:rPr>
  </w:style>
  <w:style w:type="character" w:styleId="Titre3Car">
    <w:name w:val="Titre 3 Car"/>
    <w:qFormat/>
    <w:rPr>
      <w:rFonts w:ascii="Times New Roman" w:hAnsi="Times New Roman" w:eastAsia="Times New Roman" w:cs="Times New Roman"/>
      <w:b/>
      <w:bCs/>
      <w:sz w:val="24"/>
      <w:szCs w:val="24"/>
      <w:u w:val="single"/>
    </w:rPr>
  </w:style>
  <w:style w:type="character" w:styleId="EntteCar">
    <w:name w:val="En-tête Car"/>
    <w:qFormat/>
    <w:rPr>
      <w:rFonts w:ascii="Times New Roman" w:hAnsi="Times New Roman" w:eastAsia="Times New Roman" w:cs="Times New Roman"/>
      <w:sz w:val="24"/>
      <w:szCs w:val="24"/>
    </w:rPr>
  </w:style>
  <w:style w:type="character" w:styleId="CorpsdetexteCar">
    <w:name w:val="Corps de texte Car"/>
    <w:qFormat/>
    <w:rPr>
      <w:rFonts w:ascii="Times New Roman" w:hAnsi="Times New Roman" w:eastAsia="Times New Roman" w:cs="Times New Roman"/>
      <w:sz w:val="24"/>
      <w:szCs w:val="24"/>
    </w:rPr>
  </w:style>
  <w:style w:type="character" w:styleId="RetraitcorpsdetexteCar">
    <w:name w:val="Retrait corps de texte Car"/>
    <w:qFormat/>
    <w:rPr>
      <w:rFonts w:ascii="Times New Roman" w:hAnsi="Times New Roman" w:eastAsia="Times New Roman" w:cs="Times New Roman"/>
      <w:sz w:val="24"/>
      <w:szCs w:val="24"/>
    </w:rPr>
  </w:style>
  <w:style w:type="character" w:styleId="Corpsdetexte2Car">
    <w:name w:val="Corps de texte 2 Car"/>
    <w:qFormat/>
    <w:rPr>
      <w:rFonts w:ascii="Times New Roman" w:hAnsi="Times New Roman" w:eastAsia="Times New Roman" w:cs="Times New Roman"/>
      <w:sz w:val="24"/>
      <w:szCs w:val="24"/>
    </w:rPr>
  </w:style>
  <w:style w:type="character" w:styleId="TextedebullesCar">
    <w:name w:val="Texte de bulles Car"/>
    <w:qFormat/>
    <w:rPr>
      <w:rFonts w:ascii="Tahoma" w:hAnsi="Tahoma" w:eastAsia="Times New Roman" w:cs="Tahoma"/>
      <w:sz w:val="16"/>
      <w:szCs w:val="16"/>
    </w:rPr>
  </w:style>
  <w:style w:type="character" w:styleId="PageNumber">
    <w:name w:val="Page Number"/>
    <w:basedOn w:val="Policepardfaut"/>
    <w:rPr/>
  </w:style>
  <w:style w:type="character" w:styleId="PieddepageCar">
    <w:name w:val="Pied de page Car"/>
    <w:qFormat/>
    <w:rPr>
      <w:rFonts w:ascii="Times New Roman" w:hAnsi="Times New Roman" w:eastAsia="Times New Roman" w:cs="Times New Roman"/>
      <w:sz w:val="24"/>
      <w:szCs w:val="24"/>
    </w:rPr>
  </w:style>
  <w:style w:type="character" w:styleId="SansinterligneCar">
    <w:name w:val="Sans interligne Car"/>
    <w:qFormat/>
    <w:rPr>
      <w:rFonts w:eastAsia="Times New Roman"/>
      <w:sz w:val="22"/>
      <w:szCs w:val="22"/>
      <w:lang w:val="fr-FR" w:bidi="ar-SA"/>
    </w:rPr>
  </w:style>
  <w:style w:type="character" w:styleId="StrongEmphasis">
    <w:name w:val="Strong Emphasis"/>
    <w:qFormat/>
    <w:rPr>
      <w:b/>
      <w:bCs/>
    </w:rPr>
  </w:style>
  <w:style w:type="character" w:styleId="Retraitcorpsdetexte2Car">
    <w:name w:val="Retrait corps de texte 2 Car"/>
    <w:qFormat/>
    <w:rPr>
      <w:rFonts w:ascii="Times New Roman" w:hAnsi="Times New Roman" w:eastAsia="Times New Roman" w:cs="Times New Roman"/>
      <w:sz w:val="24"/>
      <w:szCs w:val="24"/>
    </w:rPr>
  </w:style>
  <w:style w:type="character" w:styleId="Titre1Car">
    <w:name w:val="Titre 1 Car"/>
    <w:qFormat/>
    <w:rPr>
      <w:rFonts w:ascii="Cambria" w:hAnsi="Cambria" w:eastAsia="Times New Roman" w:cs="Times New Roman"/>
      <w:b/>
      <w:bCs/>
      <w:sz w:val="32"/>
      <w:szCs w:val="32"/>
    </w:rPr>
  </w:style>
  <w:style w:type="character" w:styleId="Tiartf2">
    <w:name w:val="tiartf2"/>
    <w:qFormat/>
    <w:rPr/>
  </w:style>
  <w:style w:type="character" w:styleId="TitreCar">
    <w:name w:val="Titre Car"/>
    <w:qFormat/>
    <w:rPr>
      <w:rFonts w:ascii="Cambria" w:hAnsi="Cambria" w:eastAsia="Times New Roman" w:cs="Cambria"/>
      <w:b/>
      <w:bCs/>
      <w:sz w:val="24"/>
      <w:szCs w:val="32"/>
    </w:rPr>
  </w:style>
  <w:style w:type="character" w:styleId="NotedebasdepageCar">
    <w:name w:val="Note de bas de page Car"/>
    <w:qFormat/>
    <w:rPr>
      <w:rFonts w:cs="Calibri"/>
    </w:rPr>
  </w:style>
  <w:style w:type="character" w:styleId="FootnoteCharacters">
    <w:name w:val="Footnote Characters"/>
    <w:qFormat/>
    <w:rPr>
      <w:vertAlign w:val="superscript"/>
    </w:rPr>
  </w:style>
  <w:style w:type="character" w:styleId="A6">
    <w:name w:val="A6"/>
    <w:qFormat/>
    <w:rPr>
      <w:rFonts w:cs="Helvetica Neue LT Std;Helvetica Neue LT Std"/>
      <w:color w:val="000000"/>
      <w:sz w:val="20"/>
      <w:szCs w:val="20"/>
    </w:rPr>
  </w:style>
  <w:style w:type="character" w:styleId="Emphasis">
    <w:name w:val="Emphasis"/>
    <w:qFormat/>
    <w:rPr>
      <w:i/>
      <w:iCs/>
    </w:rPr>
  </w:style>
  <w:style w:type="character" w:styleId="ParagraphedelisteCar">
    <w:name w:val="Paragraphe de liste Car"/>
    <w:qFormat/>
    <w:rPr>
      <w:rFonts w:ascii="Times New Roman" w:hAnsi="Times New Roman" w:eastAsia="Times New Roman" w:cs="Times New Roman"/>
      <w:sz w:val="24"/>
      <w:szCs w:val="24"/>
    </w:rPr>
  </w:style>
  <w:style w:type="paragraph" w:styleId="Heading">
    <w:name w:val="Heading"/>
    <w:basedOn w:val="Normal"/>
    <w:next w:val="Normal"/>
    <w:qFormat/>
    <w:pPr>
      <w:spacing w:before="240" w:after="60"/>
      <w:outlineLvl w:val="0"/>
    </w:pPr>
    <w:rPr>
      <w:rFonts w:ascii="Cambria" w:hAnsi="Cambria" w:cs="Cambria"/>
      <w:b/>
      <w:bCs/>
      <w:szCs w:val="32"/>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TextBodyIndent">
    <w:name w:val="Body Text Indent"/>
    <w:basedOn w:val="Normal"/>
    <w:pPr>
      <w:spacing w:before="0" w:after="120"/>
      <w:ind w:left="283" w:hanging="0"/>
    </w:pPr>
    <w:rPr/>
  </w:style>
  <w:style w:type="paragraph" w:styleId="Corpsdetexte2">
    <w:name w:val="Corps de texte 2"/>
    <w:basedOn w:val="Normal"/>
    <w:qFormat/>
    <w:pPr>
      <w:spacing w:lineRule="auto" w:line="480" w:before="0" w:after="120"/>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spacing w:before="0" w:after="0"/>
      <w:ind w:left="720" w:hanging="0"/>
      <w:contextualSpacing/>
    </w:pPr>
    <w:rPr/>
  </w:style>
  <w:style w:type="paragraph" w:styleId="Footer">
    <w:name w:val="Footer"/>
    <w:basedOn w:val="Normal"/>
    <w:pPr>
      <w:tabs>
        <w:tab w:val="center" w:pos="4536" w:leader="none"/>
        <w:tab w:val="right" w:pos="9072" w:leader="none"/>
      </w:tabs>
    </w:pPr>
    <w:rPr/>
  </w:style>
  <w:style w:type="paragraph" w:styleId="Sansinterligne">
    <w:name w:val="Sans interligne"/>
    <w:qFormat/>
    <w:pPr>
      <w:widowControl/>
    </w:pPr>
    <w:rPr>
      <w:rFonts w:ascii="Calibri" w:hAnsi="Calibri" w:eastAsia="Times New Roman" w:cs="Times New Roman"/>
      <w:color w:val="auto"/>
      <w:sz w:val="22"/>
      <w:szCs w:val="22"/>
      <w:lang w:val="fr-FR" w:bidi="ar-SA" w:eastAsia="zh-CN"/>
    </w:rPr>
  </w:style>
  <w:style w:type="paragraph" w:styleId="Retraitcorpsdetexte2">
    <w:name w:val="Retrait corps de texte 2"/>
    <w:basedOn w:val="Normal"/>
    <w:qFormat/>
    <w:pPr>
      <w:spacing w:lineRule="auto" w:line="480" w:before="0" w:after="120"/>
      <w:ind w:left="283" w:hanging="0"/>
    </w:pPr>
    <w:rPr/>
  </w:style>
  <w:style w:type="paragraph" w:styleId="Listepuces">
    <w:name w:val="Liste à puces"/>
    <w:basedOn w:val="Normal"/>
    <w:qFormat/>
    <w:pPr>
      <w:numPr>
        <w:ilvl w:val="0"/>
        <w:numId w:val="2"/>
      </w:numPr>
    </w:pPr>
    <w:rPr>
      <w:szCs w:val="20"/>
    </w:rPr>
  </w:style>
  <w:style w:type="paragraph" w:styleId="CarCarChar">
    <w:name w:val=" Car Car Char"/>
    <w:basedOn w:val="Normal"/>
    <w:qFormat/>
    <w:pPr>
      <w:spacing w:lineRule="exact" w:line="240" w:before="0" w:after="160"/>
    </w:pPr>
    <w:rPr>
      <w:rFonts w:ascii="Verdana" w:hAnsi="Verdana" w:cs="Verdana"/>
      <w:sz w:val="20"/>
      <w:szCs w:val="20"/>
      <w:lang w:val="en-US"/>
    </w:rPr>
  </w:style>
  <w:style w:type="paragraph" w:styleId="Footnote">
    <w:name w:val="Footnote Text"/>
    <w:basedOn w:val="Normal"/>
    <w:pPr/>
    <w:rPr>
      <w:rFonts w:ascii="Calibri" w:hAnsi="Calibri" w:eastAsia="Calibri" w:cs="Calibri"/>
      <w:sz w:val="20"/>
      <w:szCs w:val="20"/>
    </w:rPr>
  </w:style>
  <w:style w:type="paragraph" w:styleId="Default">
    <w:name w:val="Default"/>
    <w:qFormat/>
    <w:pPr>
      <w:widowControl/>
      <w:autoSpaceDE w:val="false"/>
    </w:pPr>
    <w:rPr>
      <w:rFonts w:ascii="Helvetica Neue LT Std;Helvetica Neue LT Std" w:hAnsi="Helvetica Neue LT Std;Helvetica Neue LT Std" w:eastAsia="Calibri" w:cs="Helvetica Neue LT Std;Helvetica Neue LT Std"/>
      <w:color w:val="000000"/>
      <w:sz w:val="24"/>
      <w:szCs w:val="24"/>
      <w:lang w:val="fr-FR" w:bidi="ar-SA" w:eastAsia="zh-CN"/>
    </w:rPr>
  </w:style>
  <w:style w:type="paragraph" w:styleId="Pa1">
    <w:name w:val="Pa1"/>
    <w:basedOn w:val="Default"/>
    <w:next w:val="Default"/>
    <w:qFormat/>
    <w:pPr>
      <w:spacing w:lineRule="atLeast" w:line="241"/>
    </w:pPr>
    <w:rPr>
      <w:rFonts w:cs="Times New Roman"/>
      <w:color w:val="000000"/>
    </w:rPr>
  </w:style>
  <w:style w:type="paragraph" w:styleId="Pa9">
    <w:name w:val="Pa9"/>
    <w:basedOn w:val="Default"/>
    <w:next w:val="Default"/>
    <w:qFormat/>
    <w:pPr>
      <w:spacing w:lineRule="atLeast" w:line="241"/>
    </w:pPr>
    <w:rPr>
      <w:rFonts w:cs="Times New Roman"/>
      <w:color w:val="000000"/>
    </w:rPr>
  </w:style>
  <w:style w:type="paragraph" w:styleId="Pa11">
    <w:name w:val="Pa11"/>
    <w:basedOn w:val="Default"/>
    <w:next w:val="Default"/>
    <w:qFormat/>
    <w:pPr>
      <w:spacing w:lineRule="atLeast" w:line="241"/>
    </w:pPr>
    <w:rPr>
      <w:rFonts w:cs="Times New Roman"/>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2022-04-21T14:35:00Z</dcterms:created>
  <dc:creator/>
  <dc:description/>
  <dc:language>en-GB</dc:language>
  <cp:lastModifiedBy/>
  <cp:lastPrinted>2022-03-30T18:18:00Z</cp:lastPrinted>
  <dcterms:modified xsi:type="dcterms:W3CDTF">2022-04-21T14:35:00Z</dcterms:modified>
  <cp:revision>2</cp:revision>
  <dc:subject/>
  <dc:title>Accord NAO</dc:title>
</cp:coreProperties>
</file>