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body>
    <w:p w14:paraId="5BF657D9" w14:textId="77777777" w:rsidP="00F535F1" w:rsidR="004046E3" w:rsidRDefault="004046E3">
      <w:pPr>
        <w:pStyle w:val="Sansinterligne"/>
        <w:jc w:val="center"/>
        <w:rPr>
          <w:rFonts w:ascii="BNPP Expanded Sans" w:hAnsi="BNPP Expanded Sans"/>
          <w:b/>
          <w:bCs/>
          <w:color w:themeColor="background1" w:val="00A76D"/>
          <w:sz w:val="32"/>
          <w:szCs w:val="32"/>
        </w:rPr>
      </w:pPr>
    </w:p>
    <w:p w14:paraId="6DAEA80A" w14:textId="3CC7E704" w:rsidP="00920DC3" w:rsidR="004046E3" w:rsidRDefault="004046E3" w:rsidRPr="00920DC3">
      <w:pPr>
        <w:pStyle w:val="Sansinterligne"/>
        <w:pBdr>
          <w:top w:color="00A76D" w:space="12" w:sz="8" w:themeColor="background1" w:val="single"/>
          <w:left w:color="00A76D" w:space="4" w:sz="8" w:themeColor="background1" w:val="single"/>
          <w:bottom w:color="00A76D" w:space="9" w:sz="8" w:themeColor="background1" w:val="single"/>
          <w:right w:color="00A76D" w:space="4" w:sz="8" w:themeColor="background1" w:val="single"/>
        </w:pBdr>
        <w:jc w:val="center"/>
        <w:rPr>
          <w:rFonts w:ascii="BNPP Expanded Sans" w:hAnsi="BNPP Expanded Sans"/>
          <w:b/>
          <w:bCs/>
          <w:color w:themeColor="background1" w:val="00A76D"/>
          <w:sz w:val="28"/>
          <w:szCs w:val="28"/>
        </w:rPr>
      </w:pPr>
      <w:r w:rsidRPr="00920DC3">
        <w:rPr>
          <w:rFonts w:ascii="BNPP Expanded Sans" w:hAnsi="BNPP Expanded Sans"/>
          <w:b/>
          <w:bCs/>
          <w:color w:themeColor="background1" w:val="00A76D"/>
          <w:sz w:val="28"/>
          <w:szCs w:val="28"/>
        </w:rPr>
        <w:t>ACCORD COLLECTIF RELATIF AUX SALAIRES ET AU PARTAGE DE LA VALEUR AJOUTÉE</w:t>
      </w:r>
    </w:p>
    <w:p w14:paraId="16B51A8A" w14:textId="77777777" w:rsidP="00920DC3" w:rsidR="004046E3" w:rsidRDefault="004046E3" w:rsidRPr="00920DC3">
      <w:pPr>
        <w:pStyle w:val="Sansinterligne"/>
        <w:pBdr>
          <w:top w:color="00A76D" w:space="12" w:sz="8" w:themeColor="background1" w:val="single"/>
          <w:left w:color="00A76D" w:space="4" w:sz="8" w:themeColor="background1" w:val="single"/>
          <w:bottom w:color="00A76D" w:space="9" w:sz="8" w:themeColor="background1" w:val="single"/>
          <w:right w:color="00A76D" w:space="4" w:sz="8" w:themeColor="background1" w:val="single"/>
        </w:pBdr>
        <w:jc w:val="center"/>
        <w:rPr>
          <w:rFonts w:ascii="BNPP Expanded Sans" w:hAnsi="BNPP Expanded Sans"/>
          <w:b/>
          <w:bCs/>
          <w:color w:themeColor="background1" w:val="00A76D"/>
          <w:sz w:val="28"/>
          <w:szCs w:val="28"/>
        </w:rPr>
      </w:pPr>
    </w:p>
    <w:p w14:paraId="66D350A3" w14:textId="369BEBE2" w:rsidP="00920DC3" w:rsidR="00B0735E" w:rsidRDefault="00F535F1" w:rsidRPr="00920DC3">
      <w:pPr>
        <w:pStyle w:val="Sansinterligne"/>
        <w:pBdr>
          <w:top w:color="00A76D" w:space="12" w:sz="8" w:themeColor="background1" w:val="single"/>
          <w:left w:color="00A76D" w:space="4" w:sz="8" w:themeColor="background1" w:val="single"/>
          <w:bottom w:color="00A76D" w:space="9" w:sz="8" w:themeColor="background1" w:val="single"/>
          <w:right w:color="00A76D" w:space="4" w:sz="8" w:themeColor="background1" w:val="single"/>
        </w:pBdr>
        <w:jc w:val="center"/>
        <w:rPr>
          <w:rFonts w:ascii="BNPP Expanded Sans" w:hAnsi="BNPP Expanded Sans"/>
          <w:color w:themeColor="background1" w:val="00A76D"/>
          <w:sz w:val="28"/>
          <w:szCs w:val="28"/>
        </w:rPr>
      </w:pPr>
      <w:r w:rsidRPr="00920DC3">
        <w:rPr>
          <w:rFonts w:ascii="BNPP Expanded Sans" w:hAnsi="BNPP Expanded Sans"/>
          <w:color w:themeColor="background1" w:val="00A76D"/>
          <w:sz w:val="28"/>
          <w:szCs w:val="28"/>
        </w:rPr>
        <w:t>N</w:t>
      </w:r>
      <w:r w:rsidR="004046E3" w:rsidRPr="00920DC3">
        <w:rPr>
          <w:rFonts w:ascii="BNPP Expanded Sans" w:hAnsi="BNPP Expanded Sans"/>
          <w:color w:themeColor="background1" w:val="00A76D"/>
          <w:sz w:val="28"/>
          <w:szCs w:val="28"/>
        </w:rPr>
        <w:t>AO</w:t>
      </w:r>
      <w:r w:rsidRPr="00920DC3">
        <w:rPr>
          <w:rFonts w:ascii="BNPP Expanded Sans" w:hAnsi="BNPP Expanded Sans"/>
          <w:color w:themeColor="background1" w:val="00A76D"/>
          <w:sz w:val="28"/>
          <w:szCs w:val="28"/>
        </w:rPr>
        <w:t xml:space="preserve"> 2022 POUR L’ANNÉE 2023</w:t>
      </w:r>
    </w:p>
    <w:p w14:paraId="7359097D" w14:textId="5362C6DF" w:rsidP="008312B1" w:rsidR="00B0735E" w:rsidRDefault="00B0735E">
      <w:pPr>
        <w:pStyle w:val="Sansinterligne"/>
      </w:pPr>
    </w:p>
    <w:p w14:paraId="388631C5" w14:textId="77777777" w:rsidP="008312B1" w:rsidR="00816A93" w:rsidRDefault="00816A93">
      <w:pPr>
        <w:pStyle w:val="Sansinterligne"/>
      </w:pPr>
    </w:p>
    <w:p w14:paraId="64626FBD" w14:textId="77777777" w:rsidP="008312B1" w:rsidR="00F535F1" w:rsidRDefault="00F535F1">
      <w:pPr>
        <w:pStyle w:val="Sansinterligne"/>
      </w:pPr>
    </w:p>
    <w:p w14:paraId="17FA9A7E" w14:textId="6E9BD74F" w:rsidP="00C059F8" w:rsidR="00C059F8" w:rsidRDefault="00B0735E" w:rsidRPr="00C76F28">
      <w:pPr>
        <w:tabs>
          <w:tab w:pos="567" w:val="center"/>
        </w:tabs>
        <w:ind w:hanging="1134" w:left="1134"/>
        <w:jc w:val="both"/>
        <w:rPr>
          <w:b/>
          <w:i/>
        </w:rPr>
      </w:pPr>
      <w:r w:rsidRPr="00F535F1">
        <w:rPr>
          <w:b/>
          <w:bCs/>
        </w:rPr>
        <w:t>Entre</w:t>
      </w:r>
      <w:r w:rsidR="00C059F8">
        <w:rPr>
          <w:b/>
          <w:bCs/>
        </w:rPr>
        <w:t xml:space="preserve"> :          </w:t>
      </w:r>
      <w:r w:rsidR="00C059F8" w:rsidRPr="00E32C98">
        <w:rPr>
          <w:bCs/>
        </w:rPr>
        <w:t>La société BNP PARIBAS PARTNERS FOR INNOVATION (BP²I), dont le siège social est situé 59 rue de</w:t>
      </w:r>
      <w:r w:rsidR="00C059F8" w:rsidRPr="00C76F28">
        <w:t xml:space="preserve"> la République 93100 Montreuil, immatriculée au RCS de Bobigny sous le numéro 433 910 247, représentée par</w:t>
      </w:r>
      <w:r w:rsidR="008979EA">
        <w:t xml:space="preserve"> X </w:t>
      </w:r>
      <w:r w:rsidR="00C059F8" w:rsidRPr="00C76F28">
        <w:t xml:space="preserve">agissant en sa qualité de </w:t>
      </w:r>
      <w:r w:rsidR="00C059F8">
        <w:t>Directeur Général</w:t>
      </w:r>
      <w:r w:rsidR="00C059F8" w:rsidRPr="00C76F28">
        <w:t>, d</w:t>
      </w:r>
      <w:r w:rsidR="00C059F8">
        <w:t>û</w:t>
      </w:r>
      <w:r w:rsidR="00C059F8" w:rsidRPr="00C76F28">
        <w:t>ment habilité aux fins des présentes,</w:t>
      </w:r>
    </w:p>
    <w:p w14:paraId="2E6A7D1C" w14:textId="6A7C14FC" w:rsidP="00C059F8" w:rsidR="00B0735E" w:rsidRDefault="00C059F8" w:rsidRPr="00E32C98">
      <w:pPr>
        <w:tabs>
          <w:tab w:pos="567" w:val="center"/>
        </w:tabs>
        <w:jc w:val="right"/>
        <w:rPr>
          <w:i/>
          <w:iCs/>
        </w:rPr>
      </w:pPr>
      <w:r>
        <w:rPr>
          <w:i/>
          <w:iCs/>
        </w:rPr>
        <w:tab/>
        <w:t>C</w:t>
      </w:r>
      <w:r w:rsidR="00B0735E" w:rsidRPr="00E32C98">
        <w:rPr>
          <w:i/>
          <w:iCs/>
        </w:rPr>
        <w:t>i-après « la Direction »</w:t>
      </w:r>
    </w:p>
    <w:p w14:paraId="46AD36A6" w14:textId="77777777" w:rsidP="00C059F8" w:rsidR="00B0735E" w:rsidRDefault="00B0735E" w:rsidRPr="00C76F28">
      <w:pPr>
        <w:tabs>
          <w:tab w:pos="567" w:val="center"/>
        </w:tabs>
        <w:jc w:val="right"/>
      </w:pPr>
      <w:r w:rsidRPr="00C76F28">
        <w:t>D’une part,</w:t>
      </w:r>
    </w:p>
    <w:p w14:paraId="2DDA98E2" w14:textId="37D809D1" w:rsidP="00C059F8" w:rsidR="00A24175" w:rsidRDefault="00A24175">
      <w:pPr>
        <w:pStyle w:val="Sansinterligne"/>
        <w:spacing w:line="259" w:lineRule="auto"/>
      </w:pPr>
    </w:p>
    <w:p w14:paraId="5D1AFC24" w14:textId="2032B67C" w:rsidP="00C059F8" w:rsidR="00B0735E" w:rsidRDefault="00B0735E" w:rsidRPr="00C059F8">
      <w:pPr>
        <w:pStyle w:val="Sansinterligne"/>
        <w:spacing w:after="120" w:line="259" w:lineRule="auto"/>
        <w:ind w:hanging="1134" w:left="1134"/>
        <w:rPr>
          <w:b/>
          <w:bCs/>
        </w:rPr>
      </w:pPr>
      <w:r w:rsidRPr="00F535F1">
        <w:rPr>
          <w:b/>
          <w:bCs/>
        </w:rPr>
        <w:t>Et</w:t>
      </w:r>
      <w:r w:rsidR="00C059F8">
        <w:rPr>
          <w:b/>
          <w:bCs/>
        </w:rPr>
        <w:t xml:space="preserve"> </w:t>
      </w:r>
      <w:r w:rsidR="00C059F8">
        <w:rPr>
          <w:b/>
          <w:bCs/>
        </w:rPr>
        <w:tab/>
      </w:r>
      <w:r w:rsidRPr="00F535F1">
        <w:rPr>
          <w:bCs/>
        </w:rPr>
        <w:t>Les organisations syndicales représentatives au sein de l’entreprise au sens de l’article L.2231-1 du code du travail :</w:t>
      </w:r>
    </w:p>
    <w:p w14:paraId="3CB1E6AF" w14:textId="6B9FD6A0" w:rsidP="00C059F8" w:rsidR="00F535F1" w:rsidRDefault="00B0735E" w:rsidRPr="00F535F1">
      <w:pPr>
        <w:pStyle w:val="Paragraphedeliste"/>
        <w:keepLines/>
        <w:numPr>
          <w:ilvl w:val="0"/>
          <w:numId w:val="8"/>
        </w:numPr>
        <w:tabs>
          <w:tab w:pos="360" w:val="center"/>
        </w:tabs>
        <w:spacing w:after="120"/>
        <w:contextualSpacing w:val="0"/>
        <w:jc w:val="both"/>
        <w:rPr>
          <w:b/>
          <w:szCs w:val="20"/>
        </w:rPr>
      </w:pPr>
      <w:r w:rsidRPr="00F535F1">
        <w:rPr>
          <w:szCs w:val="20"/>
        </w:rPr>
        <w:t xml:space="preserve">CFDT </w:t>
      </w:r>
      <w:proofErr w:type="spellStart"/>
      <w:r w:rsidRPr="00F535F1">
        <w:rPr>
          <w:szCs w:val="20"/>
        </w:rPr>
        <w:t>Bétor</w:t>
      </w:r>
      <w:proofErr w:type="spellEnd"/>
      <w:r w:rsidRPr="00F535F1">
        <w:rPr>
          <w:szCs w:val="20"/>
        </w:rPr>
        <w:t xml:space="preserve"> Pub, </w:t>
      </w:r>
      <w:bookmarkStart w:id="0" w:name="_Hlk122615671"/>
      <w:r w:rsidRPr="00F535F1">
        <w:rPr>
          <w:szCs w:val="20"/>
        </w:rPr>
        <w:t xml:space="preserve">représentée par </w:t>
      </w:r>
      <w:r w:rsidR="008979EA">
        <w:rPr>
          <w:szCs w:val="20"/>
        </w:rPr>
        <w:t>X</w:t>
      </w:r>
      <w:r w:rsidRPr="00F535F1">
        <w:rPr>
          <w:szCs w:val="20"/>
        </w:rPr>
        <w:t>, délégué</w:t>
      </w:r>
      <w:r w:rsidR="008979EA">
        <w:rPr>
          <w:szCs w:val="20"/>
        </w:rPr>
        <w:t>(</w:t>
      </w:r>
      <w:r w:rsidRPr="00F535F1">
        <w:rPr>
          <w:szCs w:val="20"/>
        </w:rPr>
        <w:t>e</w:t>
      </w:r>
      <w:r w:rsidR="008979EA">
        <w:rPr>
          <w:szCs w:val="20"/>
        </w:rPr>
        <w:t>)</w:t>
      </w:r>
      <w:r w:rsidRPr="00F535F1">
        <w:rPr>
          <w:szCs w:val="20"/>
        </w:rPr>
        <w:t xml:space="preserve"> syndicale et dûment habilité</w:t>
      </w:r>
      <w:r w:rsidR="008979EA">
        <w:rPr>
          <w:szCs w:val="20"/>
        </w:rPr>
        <w:t>(e)</w:t>
      </w:r>
      <w:r w:rsidRPr="00F535F1">
        <w:rPr>
          <w:szCs w:val="20"/>
        </w:rPr>
        <w:t xml:space="preserve"> aux fins de présentes,</w:t>
      </w:r>
      <w:bookmarkEnd w:id="0"/>
    </w:p>
    <w:p w14:paraId="631DEAC1" w14:textId="6DF9ABBD" w:rsidP="00C059F8" w:rsidR="008979EA" w:rsidRDefault="00B0735E" w:rsidRPr="008979EA">
      <w:pPr>
        <w:pStyle w:val="Paragraphedeliste"/>
        <w:keepLines/>
        <w:numPr>
          <w:ilvl w:val="0"/>
          <w:numId w:val="8"/>
        </w:numPr>
        <w:tabs>
          <w:tab w:pos="360" w:val="center"/>
        </w:tabs>
        <w:spacing w:after="0"/>
        <w:contextualSpacing w:val="0"/>
        <w:jc w:val="both"/>
        <w:rPr>
          <w:b/>
          <w:szCs w:val="20"/>
        </w:rPr>
      </w:pPr>
      <w:r w:rsidRPr="00F535F1">
        <w:t xml:space="preserve">FOFEC, </w:t>
      </w:r>
      <w:r w:rsidR="008979EA" w:rsidRPr="00F535F1">
        <w:rPr>
          <w:szCs w:val="20"/>
        </w:rPr>
        <w:t xml:space="preserve">représentée par </w:t>
      </w:r>
      <w:r w:rsidR="008979EA">
        <w:rPr>
          <w:szCs w:val="20"/>
        </w:rPr>
        <w:t>X</w:t>
      </w:r>
      <w:r w:rsidR="008979EA" w:rsidRPr="00F535F1">
        <w:rPr>
          <w:szCs w:val="20"/>
        </w:rPr>
        <w:t>, délégué</w:t>
      </w:r>
      <w:r w:rsidR="008979EA">
        <w:rPr>
          <w:szCs w:val="20"/>
        </w:rPr>
        <w:t>(</w:t>
      </w:r>
      <w:r w:rsidR="008979EA" w:rsidRPr="00F535F1">
        <w:rPr>
          <w:szCs w:val="20"/>
        </w:rPr>
        <w:t>e</w:t>
      </w:r>
      <w:r w:rsidR="008979EA">
        <w:rPr>
          <w:szCs w:val="20"/>
        </w:rPr>
        <w:t>)</w:t>
      </w:r>
      <w:r w:rsidR="008979EA" w:rsidRPr="00F535F1">
        <w:rPr>
          <w:szCs w:val="20"/>
        </w:rPr>
        <w:t xml:space="preserve"> syndicale et dûment habilité</w:t>
      </w:r>
      <w:r w:rsidR="008979EA">
        <w:rPr>
          <w:szCs w:val="20"/>
        </w:rPr>
        <w:t>(e)</w:t>
      </w:r>
      <w:r w:rsidR="008979EA" w:rsidRPr="00F535F1">
        <w:rPr>
          <w:szCs w:val="20"/>
        </w:rPr>
        <w:t xml:space="preserve"> aux fins de présentes,</w:t>
      </w:r>
    </w:p>
    <w:p w14:paraId="2EEE1E5E" w14:textId="77777777" w:rsidP="008979EA" w:rsidR="008979EA" w:rsidRDefault="008979EA" w:rsidRPr="008979EA">
      <w:pPr>
        <w:pStyle w:val="Paragraphedeliste"/>
        <w:keepLines/>
        <w:tabs>
          <w:tab w:pos="360" w:val="center"/>
        </w:tabs>
        <w:spacing w:after="0"/>
        <w:ind w:left="1776"/>
        <w:contextualSpacing w:val="0"/>
        <w:jc w:val="both"/>
        <w:rPr>
          <w:b/>
          <w:szCs w:val="20"/>
        </w:rPr>
      </w:pPr>
    </w:p>
    <w:p w14:paraId="4891406F" w14:textId="1E3E55FE" w:rsidP="008979EA" w:rsidR="008979EA" w:rsidRDefault="00B0735E" w:rsidRPr="008979EA">
      <w:pPr>
        <w:pStyle w:val="Paragraphedeliste"/>
        <w:keepLines/>
        <w:numPr>
          <w:ilvl w:val="0"/>
          <w:numId w:val="8"/>
        </w:numPr>
        <w:tabs>
          <w:tab w:pos="360" w:val="center"/>
        </w:tabs>
        <w:spacing w:after="0"/>
        <w:contextualSpacing w:val="0"/>
        <w:jc w:val="both"/>
        <w:rPr>
          <w:i/>
          <w:iCs/>
        </w:rPr>
      </w:pPr>
      <w:r w:rsidRPr="008979EA">
        <w:rPr>
          <w:rFonts w:cstheme="minorHAnsi"/>
          <w:bCs/>
        </w:rPr>
        <w:t>SICSTI-CFTC,</w:t>
      </w:r>
      <w:r w:rsidRPr="008979EA">
        <w:rPr>
          <w:rFonts w:cstheme="minorHAnsi"/>
        </w:rPr>
        <w:t xml:space="preserve"> </w:t>
      </w:r>
      <w:r w:rsidR="008979EA" w:rsidRPr="008979EA">
        <w:rPr>
          <w:rFonts w:cstheme="minorHAnsi"/>
        </w:rPr>
        <w:t>représentée par X, délégué(e) syndicale et dûment habilité</w:t>
      </w:r>
      <w:r w:rsidR="008979EA">
        <w:rPr>
          <w:rFonts w:cstheme="minorHAnsi"/>
        </w:rPr>
        <w:t>(e)</w:t>
      </w:r>
      <w:r w:rsidR="008979EA" w:rsidRPr="008979EA">
        <w:rPr>
          <w:rFonts w:cstheme="minorHAnsi"/>
        </w:rPr>
        <w:t xml:space="preserve"> aux fins de présentes,</w:t>
      </w:r>
    </w:p>
    <w:p w14:paraId="0761CAC7" w14:textId="77777777" w:rsidP="008979EA" w:rsidR="008979EA" w:rsidRDefault="008979EA" w:rsidRPr="008979EA">
      <w:pPr>
        <w:pStyle w:val="Paragraphedeliste"/>
        <w:rPr>
          <w:i/>
          <w:iCs/>
        </w:rPr>
      </w:pPr>
    </w:p>
    <w:p w14:paraId="5F49BB11" w14:textId="11AD8342" w:rsidP="008979EA" w:rsidR="00B0735E" w:rsidRDefault="00C059F8" w:rsidRPr="00C059F8">
      <w:pPr>
        <w:pStyle w:val="Paragraphedeliste"/>
        <w:keepLines/>
        <w:tabs>
          <w:tab w:pos="360" w:val="center"/>
        </w:tabs>
        <w:spacing w:after="0"/>
        <w:ind w:left="1776"/>
        <w:contextualSpacing w:val="0"/>
        <w:jc w:val="right"/>
        <w:rPr>
          <w:i/>
          <w:iCs/>
        </w:rPr>
      </w:pPr>
      <w:r>
        <w:rPr>
          <w:i/>
          <w:iCs/>
        </w:rPr>
        <w:t>C</w:t>
      </w:r>
      <w:r w:rsidR="00B0735E" w:rsidRPr="00E32C98">
        <w:rPr>
          <w:i/>
          <w:iCs/>
        </w:rPr>
        <w:t>i-après « les organisations syndicales »</w:t>
      </w:r>
    </w:p>
    <w:p w14:paraId="1BA3E686" w14:textId="38D99506" w:rsidP="00C059F8" w:rsidR="00B0735E" w:rsidRDefault="00B0735E">
      <w:pPr>
        <w:jc w:val="right"/>
      </w:pPr>
      <w:r>
        <w:t>D’autre part</w:t>
      </w:r>
    </w:p>
    <w:p w14:paraId="0E36C78C" w14:textId="77777777" w:rsidP="00C059F8" w:rsidR="009B257B" w:rsidRDefault="009B257B">
      <w:pPr>
        <w:jc w:val="right"/>
      </w:pPr>
    </w:p>
    <w:sdt>
      <w:sdtPr>
        <w:rPr>
          <w:rFonts w:ascii="BNPP Expanded Sans" w:cstheme="minorBidi" w:eastAsiaTheme="minorHAnsi" w:hAnsi="BNPP Expanded Sans"/>
          <w:color w:val="00A76D"/>
          <w:sz w:val="24"/>
          <w:szCs w:val="24"/>
          <w:lang w:eastAsia="en-US"/>
        </w:rPr>
        <w:id w:val="-1479141314"/>
        <w:docPartObj>
          <w:docPartGallery w:val="Table of Contents"/>
          <w:docPartUnique/>
        </w:docPartObj>
      </w:sdtPr>
      <w:sdtEndPr>
        <w:rPr>
          <w:rFonts w:asciiTheme="minorHAnsi" w:hAnsiTheme="minorHAnsi"/>
          <w:b/>
          <w:bCs/>
          <w:color w:val="auto"/>
          <w:sz w:val="22"/>
          <w:szCs w:val="22"/>
        </w:rPr>
      </w:sdtEndPr>
      <w:sdtContent>
        <w:p w14:paraId="0836F19E" w14:textId="3633B10C" w:rsidR="009B257B" w:rsidRDefault="009B257B" w:rsidRPr="009B257B">
          <w:pPr>
            <w:pStyle w:val="En-ttedetabledesmatires"/>
            <w:rPr>
              <w:rFonts w:ascii="BNPP Expanded Sans" w:hAnsi="BNPP Expanded Sans"/>
              <w:color w:val="00A76D"/>
              <w:sz w:val="24"/>
              <w:szCs w:val="24"/>
            </w:rPr>
          </w:pPr>
          <w:r w:rsidRPr="009B257B">
            <w:rPr>
              <w:rFonts w:ascii="BNPP Expanded Sans" w:hAnsi="BNPP Expanded Sans"/>
              <w:color w:val="00A76D"/>
              <w:sz w:val="24"/>
              <w:szCs w:val="24"/>
            </w:rPr>
            <w:t>Table des matières</w:t>
          </w:r>
        </w:p>
        <w:p w14:paraId="29706F12" w14:textId="71772CA3" w:rsidP="00FA64FC" w:rsidR="00387C00" w:rsidRDefault="009B257B">
          <w:pPr>
            <w:pStyle w:val="TM1"/>
            <w:tabs>
              <w:tab w:leader="dot" w:pos="9062" w:val="right"/>
            </w:tabs>
            <w:ind w:left="142"/>
            <w:rPr>
              <w:rFonts w:eastAsiaTheme="minorEastAsia"/>
              <w:noProof/>
              <w:lang w:eastAsia="fr-FR"/>
            </w:rPr>
          </w:pPr>
          <w:r>
            <w:fldChar w:fldCharType="begin"/>
          </w:r>
          <w:r>
            <w:instrText xml:space="preserve"> TOC \o "1-3" \h \z \u </w:instrText>
          </w:r>
          <w:r>
            <w:fldChar w:fldCharType="separate"/>
          </w:r>
          <w:hyperlink w:anchor="_Toc117780364" w:history="1">
            <w:r w:rsidR="00387C00" w:rsidRPr="001A2C56">
              <w:rPr>
                <w:rStyle w:val="Lienhypertexte"/>
                <w:noProof/>
              </w:rPr>
              <w:t>Préambule</w:t>
            </w:r>
            <w:r w:rsidR="00387C00">
              <w:rPr>
                <w:noProof/>
                <w:webHidden/>
              </w:rPr>
              <w:tab/>
            </w:r>
            <w:r w:rsidR="00387C00">
              <w:rPr>
                <w:noProof/>
                <w:webHidden/>
              </w:rPr>
              <w:fldChar w:fldCharType="begin"/>
            </w:r>
            <w:r w:rsidR="00387C00">
              <w:rPr>
                <w:noProof/>
                <w:webHidden/>
              </w:rPr>
              <w:instrText xml:space="preserve"> PAGEREF _Toc117780364 \h </w:instrText>
            </w:r>
            <w:r w:rsidR="00387C00">
              <w:rPr>
                <w:noProof/>
                <w:webHidden/>
              </w:rPr>
            </w:r>
            <w:r w:rsidR="00387C00">
              <w:rPr>
                <w:noProof/>
                <w:webHidden/>
              </w:rPr>
              <w:fldChar w:fldCharType="separate"/>
            </w:r>
            <w:r w:rsidR="005739F7">
              <w:rPr>
                <w:noProof/>
                <w:webHidden/>
              </w:rPr>
              <w:t>2</w:t>
            </w:r>
            <w:r w:rsidR="00387C00">
              <w:rPr>
                <w:noProof/>
                <w:webHidden/>
              </w:rPr>
              <w:fldChar w:fldCharType="end"/>
            </w:r>
          </w:hyperlink>
        </w:p>
        <w:p w14:paraId="5961BF88" w14:textId="58DF2CA1" w:rsidP="00FA64FC" w:rsidR="00387C00" w:rsidRDefault="00BF0175">
          <w:pPr>
            <w:pStyle w:val="TM1"/>
            <w:tabs>
              <w:tab w:leader="dot" w:pos="9062" w:val="right"/>
            </w:tabs>
            <w:ind w:left="142"/>
            <w:rPr>
              <w:rFonts w:eastAsiaTheme="minorEastAsia"/>
              <w:noProof/>
              <w:lang w:eastAsia="fr-FR"/>
            </w:rPr>
          </w:pPr>
          <w:hyperlink w:anchor="_Toc117780365" w:history="1">
            <w:r w:rsidR="00387C00" w:rsidRPr="001A2C56">
              <w:rPr>
                <w:rStyle w:val="Lienhypertexte"/>
                <w:noProof/>
              </w:rPr>
              <w:t>Article 1. Augmentation générale de salaires</w:t>
            </w:r>
            <w:r w:rsidR="00387C00">
              <w:rPr>
                <w:noProof/>
                <w:webHidden/>
              </w:rPr>
              <w:tab/>
            </w:r>
            <w:r w:rsidR="00387C00">
              <w:rPr>
                <w:noProof/>
                <w:webHidden/>
              </w:rPr>
              <w:fldChar w:fldCharType="begin"/>
            </w:r>
            <w:r w:rsidR="00387C00">
              <w:rPr>
                <w:noProof/>
                <w:webHidden/>
              </w:rPr>
              <w:instrText xml:space="preserve"> PAGEREF _Toc117780365 \h </w:instrText>
            </w:r>
            <w:r w:rsidR="00387C00">
              <w:rPr>
                <w:noProof/>
                <w:webHidden/>
              </w:rPr>
            </w:r>
            <w:r w:rsidR="00387C00">
              <w:rPr>
                <w:noProof/>
                <w:webHidden/>
              </w:rPr>
              <w:fldChar w:fldCharType="separate"/>
            </w:r>
            <w:r w:rsidR="005739F7">
              <w:rPr>
                <w:noProof/>
                <w:webHidden/>
              </w:rPr>
              <w:t>2</w:t>
            </w:r>
            <w:r w:rsidR="00387C00">
              <w:rPr>
                <w:noProof/>
                <w:webHidden/>
              </w:rPr>
              <w:fldChar w:fldCharType="end"/>
            </w:r>
          </w:hyperlink>
        </w:p>
        <w:p w14:paraId="15FDB4E0" w14:textId="57397992" w:rsidP="00FA64FC" w:rsidR="00387C00" w:rsidRDefault="00BF0175">
          <w:pPr>
            <w:pStyle w:val="TM1"/>
            <w:tabs>
              <w:tab w:leader="dot" w:pos="9062" w:val="right"/>
            </w:tabs>
            <w:ind w:left="142"/>
            <w:rPr>
              <w:rFonts w:eastAsiaTheme="minorEastAsia"/>
              <w:noProof/>
              <w:lang w:eastAsia="fr-FR"/>
            </w:rPr>
          </w:pPr>
          <w:hyperlink w:anchor="_Toc117780366" w:history="1">
            <w:r w:rsidR="00387C00" w:rsidRPr="001A2C56">
              <w:rPr>
                <w:rStyle w:val="Lienhypertexte"/>
                <w:noProof/>
              </w:rPr>
              <w:t>Article 2. Prime de partage de la valeur</w:t>
            </w:r>
            <w:r w:rsidR="00387C00">
              <w:rPr>
                <w:noProof/>
                <w:webHidden/>
              </w:rPr>
              <w:tab/>
            </w:r>
            <w:r w:rsidR="00387C00">
              <w:rPr>
                <w:noProof/>
                <w:webHidden/>
              </w:rPr>
              <w:fldChar w:fldCharType="begin"/>
            </w:r>
            <w:r w:rsidR="00387C00">
              <w:rPr>
                <w:noProof/>
                <w:webHidden/>
              </w:rPr>
              <w:instrText xml:space="preserve"> PAGEREF _Toc117780366 \h </w:instrText>
            </w:r>
            <w:r w:rsidR="00387C00">
              <w:rPr>
                <w:noProof/>
                <w:webHidden/>
              </w:rPr>
            </w:r>
            <w:r w:rsidR="00387C00">
              <w:rPr>
                <w:noProof/>
                <w:webHidden/>
              </w:rPr>
              <w:fldChar w:fldCharType="separate"/>
            </w:r>
            <w:r w:rsidR="005739F7">
              <w:rPr>
                <w:noProof/>
                <w:webHidden/>
              </w:rPr>
              <w:t>3</w:t>
            </w:r>
            <w:r w:rsidR="00387C00">
              <w:rPr>
                <w:noProof/>
                <w:webHidden/>
              </w:rPr>
              <w:fldChar w:fldCharType="end"/>
            </w:r>
          </w:hyperlink>
        </w:p>
        <w:p w14:paraId="4110C181" w14:textId="4F72C132" w:rsidP="00FA64FC" w:rsidR="00387C00" w:rsidRDefault="00BF0175">
          <w:pPr>
            <w:pStyle w:val="TM1"/>
            <w:tabs>
              <w:tab w:leader="dot" w:pos="9062" w:val="right"/>
            </w:tabs>
            <w:ind w:left="142"/>
            <w:rPr>
              <w:rFonts w:eastAsiaTheme="minorEastAsia"/>
              <w:noProof/>
              <w:lang w:eastAsia="fr-FR"/>
            </w:rPr>
          </w:pPr>
          <w:hyperlink w:anchor="_Toc117780367" w:history="1">
            <w:r w:rsidR="00387C00" w:rsidRPr="001A2C56">
              <w:rPr>
                <w:rStyle w:val="Lienhypertexte"/>
                <w:noProof/>
              </w:rPr>
              <w:t>Article 3. Augmentations individuelles</w:t>
            </w:r>
            <w:r w:rsidR="00387C00">
              <w:rPr>
                <w:noProof/>
                <w:webHidden/>
              </w:rPr>
              <w:tab/>
            </w:r>
            <w:r w:rsidR="00387C00">
              <w:rPr>
                <w:noProof/>
                <w:webHidden/>
              </w:rPr>
              <w:fldChar w:fldCharType="begin"/>
            </w:r>
            <w:r w:rsidR="00387C00">
              <w:rPr>
                <w:noProof/>
                <w:webHidden/>
              </w:rPr>
              <w:instrText xml:space="preserve"> PAGEREF _Toc117780367 \h </w:instrText>
            </w:r>
            <w:r w:rsidR="00387C00">
              <w:rPr>
                <w:noProof/>
                <w:webHidden/>
              </w:rPr>
            </w:r>
            <w:r w:rsidR="00387C00">
              <w:rPr>
                <w:noProof/>
                <w:webHidden/>
              </w:rPr>
              <w:fldChar w:fldCharType="separate"/>
            </w:r>
            <w:r w:rsidR="005739F7">
              <w:rPr>
                <w:noProof/>
                <w:webHidden/>
              </w:rPr>
              <w:t>4</w:t>
            </w:r>
            <w:r w:rsidR="00387C00">
              <w:rPr>
                <w:noProof/>
                <w:webHidden/>
              </w:rPr>
              <w:fldChar w:fldCharType="end"/>
            </w:r>
          </w:hyperlink>
        </w:p>
        <w:p w14:paraId="3ADC3A52" w14:textId="0EE0DB7F" w:rsidP="00FA64FC" w:rsidR="00387C00" w:rsidRDefault="00BF0175">
          <w:pPr>
            <w:pStyle w:val="TM1"/>
            <w:tabs>
              <w:tab w:leader="dot" w:pos="9062" w:val="right"/>
            </w:tabs>
            <w:ind w:left="142"/>
            <w:rPr>
              <w:rFonts w:eastAsiaTheme="minorEastAsia"/>
              <w:noProof/>
              <w:lang w:eastAsia="fr-FR"/>
            </w:rPr>
          </w:pPr>
          <w:hyperlink w:anchor="_Toc117780368" w:history="1">
            <w:r w:rsidR="00387C00" w:rsidRPr="001A2C56">
              <w:rPr>
                <w:rStyle w:val="Lienhypertexte"/>
                <w:noProof/>
              </w:rPr>
              <w:t>Article 4. Titres restaurant</w:t>
            </w:r>
            <w:r w:rsidR="00387C00">
              <w:rPr>
                <w:noProof/>
                <w:webHidden/>
              </w:rPr>
              <w:tab/>
            </w:r>
            <w:r w:rsidR="00387C00">
              <w:rPr>
                <w:noProof/>
                <w:webHidden/>
              </w:rPr>
              <w:fldChar w:fldCharType="begin"/>
            </w:r>
            <w:r w:rsidR="00387C00">
              <w:rPr>
                <w:noProof/>
                <w:webHidden/>
              </w:rPr>
              <w:instrText xml:space="preserve"> PAGEREF _Toc117780368 \h </w:instrText>
            </w:r>
            <w:r w:rsidR="00387C00">
              <w:rPr>
                <w:noProof/>
                <w:webHidden/>
              </w:rPr>
            </w:r>
            <w:r w:rsidR="00387C00">
              <w:rPr>
                <w:noProof/>
                <w:webHidden/>
              </w:rPr>
              <w:fldChar w:fldCharType="separate"/>
            </w:r>
            <w:r w:rsidR="005739F7">
              <w:rPr>
                <w:noProof/>
                <w:webHidden/>
              </w:rPr>
              <w:t>4</w:t>
            </w:r>
            <w:r w:rsidR="00387C00">
              <w:rPr>
                <w:noProof/>
                <w:webHidden/>
              </w:rPr>
              <w:fldChar w:fldCharType="end"/>
            </w:r>
          </w:hyperlink>
        </w:p>
        <w:p w14:paraId="2DB62811" w14:textId="40D36445" w:rsidP="00FA64FC" w:rsidR="00387C00" w:rsidRDefault="00BF0175">
          <w:pPr>
            <w:pStyle w:val="TM1"/>
            <w:tabs>
              <w:tab w:leader="dot" w:pos="9062" w:val="right"/>
            </w:tabs>
            <w:ind w:left="142"/>
            <w:rPr>
              <w:rFonts w:eastAsiaTheme="minorEastAsia"/>
              <w:noProof/>
              <w:lang w:eastAsia="fr-FR"/>
            </w:rPr>
          </w:pPr>
          <w:hyperlink w:anchor="_Toc117780369" w:history="1">
            <w:r w:rsidR="00387C00" w:rsidRPr="001A2C56">
              <w:rPr>
                <w:rStyle w:val="Lienhypertexte"/>
                <w:noProof/>
              </w:rPr>
              <w:t>Article 5. Prime de vacances</w:t>
            </w:r>
            <w:r w:rsidR="00387C00">
              <w:rPr>
                <w:noProof/>
                <w:webHidden/>
              </w:rPr>
              <w:tab/>
            </w:r>
            <w:r w:rsidR="00387C00">
              <w:rPr>
                <w:noProof/>
                <w:webHidden/>
              </w:rPr>
              <w:fldChar w:fldCharType="begin"/>
            </w:r>
            <w:r w:rsidR="00387C00">
              <w:rPr>
                <w:noProof/>
                <w:webHidden/>
              </w:rPr>
              <w:instrText xml:space="preserve"> PAGEREF _Toc117780369 \h </w:instrText>
            </w:r>
            <w:r w:rsidR="00387C00">
              <w:rPr>
                <w:noProof/>
                <w:webHidden/>
              </w:rPr>
            </w:r>
            <w:r w:rsidR="00387C00">
              <w:rPr>
                <w:noProof/>
                <w:webHidden/>
              </w:rPr>
              <w:fldChar w:fldCharType="separate"/>
            </w:r>
            <w:r w:rsidR="005739F7">
              <w:rPr>
                <w:noProof/>
                <w:webHidden/>
              </w:rPr>
              <w:t>5</w:t>
            </w:r>
            <w:r w:rsidR="00387C00">
              <w:rPr>
                <w:noProof/>
                <w:webHidden/>
              </w:rPr>
              <w:fldChar w:fldCharType="end"/>
            </w:r>
          </w:hyperlink>
        </w:p>
        <w:p w14:paraId="402BEA92" w14:textId="7527F9DB" w:rsidP="00FA64FC" w:rsidR="00387C00" w:rsidRDefault="00BF0175">
          <w:pPr>
            <w:pStyle w:val="TM1"/>
            <w:tabs>
              <w:tab w:leader="dot" w:pos="9062" w:val="right"/>
            </w:tabs>
            <w:ind w:left="142"/>
            <w:rPr>
              <w:rFonts w:eastAsiaTheme="minorEastAsia"/>
              <w:noProof/>
              <w:lang w:eastAsia="fr-FR"/>
            </w:rPr>
          </w:pPr>
          <w:hyperlink w:anchor="_Toc117780370" w:history="1">
            <w:r w:rsidR="00387C00" w:rsidRPr="001A2C56">
              <w:rPr>
                <w:rStyle w:val="Lienhypertexte"/>
                <w:noProof/>
              </w:rPr>
              <w:t>Article 6. Dispositions finales</w:t>
            </w:r>
            <w:r w:rsidR="00387C00">
              <w:rPr>
                <w:noProof/>
                <w:webHidden/>
              </w:rPr>
              <w:tab/>
            </w:r>
            <w:r w:rsidR="00387C00">
              <w:rPr>
                <w:noProof/>
                <w:webHidden/>
              </w:rPr>
              <w:fldChar w:fldCharType="begin"/>
            </w:r>
            <w:r w:rsidR="00387C00">
              <w:rPr>
                <w:noProof/>
                <w:webHidden/>
              </w:rPr>
              <w:instrText xml:space="preserve"> PAGEREF _Toc117780370 \h </w:instrText>
            </w:r>
            <w:r w:rsidR="00387C00">
              <w:rPr>
                <w:noProof/>
                <w:webHidden/>
              </w:rPr>
            </w:r>
            <w:r w:rsidR="00387C00">
              <w:rPr>
                <w:noProof/>
                <w:webHidden/>
              </w:rPr>
              <w:fldChar w:fldCharType="separate"/>
            </w:r>
            <w:r w:rsidR="005739F7">
              <w:rPr>
                <w:noProof/>
                <w:webHidden/>
              </w:rPr>
              <w:t>5</w:t>
            </w:r>
            <w:r w:rsidR="00387C00">
              <w:rPr>
                <w:noProof/>
                <w:webHidden/>
              </w:rPr>
              <w:fldChar w:fldCharType="end"/>
            </w:r>
          </w:hyperlink>
        </w:p>
        <w:p w14:paraId="6FD2A712" w14:textId="0F348B58" w:rsidP="00FA64FC" w:rsidR="00387C00" w:rsidRDefault="00BF0175">
          <w:pPr>
            <w:pStyle w:val="TM1"/>
            <w:tabs>
              <w:tab w:leader="dot" w:pos="9062" w:val="right"/>
            </w:tabs>
            <w:ind w:left="142"/>
            <w:rPr>
              <w:rFonts w:eastAsiaTheme="minorEastAsia"/>
              <w:noProof/>
              <w:lang w:eastAsia="fr-FR"/>
            </w:rPr>
          </w:pPr>
          <w:hyperlink w:anchor="_Toc117780371" w:history="1">
            <w:r w:rsidR="00387C00" w:rsidRPr="001A2C56">
              <w:rPr>
                <w:rStyle w:val="Lienhypertexte"/>
                <w:noProof/>
              </w:rPr>
              <w:t>Annexe – Revendications des organisations syndicales</w:t>
            </w:r>
            <w:r w:rsidR="00387C00">
              <w:rPr>
                <w:noProof/>
                <w:webHidden/>
              </w:rPr>
              <w:tab/>
            </w:r>
            <w:r w:rsidR="00387C00">
              <w:rPr>
                <w:noProof/>
                <w:webHidden/>
              </w:rPr>
              <w:fldChar w:fldCharType="begin"/>
            </w:r>
            <w:r w:rsidR="00387C00">
              <w:rPr>
                <w:noProof/>
                <w:webHidden/>
              </w:rPr>
              <w:instrText xml:space="preserve"> PAGEREF _Toc117780371 \h </w:instrText>
            </w:r>
            <w:r w:rsidR="00387C00">
              <w:rPr>
                <w:noProof/>
                <w:webHidden/>
              </w:rPr>
            </w:r>
            <w:r w:rsidR="00387C00">
              <w:rPr>
                <w:noProof/>
                <w:webHidden/>
              </w:rPr>
              <w:fldChar w:fldCharType="separate"/>
            </w:r>
            <w:r w:rsidR="005739F7">
              <w:rPr>
                <w:noProof/>
                <w:webHidden/>
              </w:rPr>
              <w:t>7</w:t>
            </w:r>
            <w:r w:rsidR="00387C00">
              <w:rPr>
                <w:noProof/>
                <w:webHidden/>
              </w:rPr>
              <w:fldChar w:fldCharType="end"/>
            </w:r>
          </w:hyperlink>
        </w:p>
        <w:p w14:paraId="5CBE1E74" w14:textId="77777777" w:rsidR="00387C00" w:rsidRDefault="009B257B">
          <w:pPr>
            <w:rPr>
              <w:b/>
              <w:bCs/>
            </w:rPr>
          </w:pPr>
          <w:r>
            <w:rPr>
              <w:b/>
              <w:bCs/>
            </w:rPr>
            <w:fldChar w:fldCharType="end"/>
          </w:r>
        </w:p>
      </w:sdtContent>
    </w:sdt>
    <w:p w14:paraId="723E1E89" w14:textId="17A723B2" w:rsidP="004046E3" w:rsidR="00B0735E" w:rsidRDefault="00B0735E" w:rsidRPr="004046E3">
      <w:pPr>
        <w:pStyle w:val="Titre1"/>
      </w:pPr>
      <w:bookmarkStart w:id="1" w:name="_Toc117780364"/>
      <w:r w:rsidRPr="004046E3">
        <w:lastRenderedPageBreak/>
        <w:t>Préambule</w:t>
      </w:r>
      <w:bookmarkEnd w:id="1"/>
    </w:p>
    <w:p w14:paraId="1826B1AC" w14:textId="77777777" w:rsidP="009D66A3" w:rsidR="004046E3" w:rsidRDefault="004046E3">
      <w:pPr>
        <w:spacing w:after="0"/>
        <w:jc w:val="both"/>
        <w:rPr>
          <w:rFonts w:cstheme="minorHAnsi"/>
          <w:shd w:color="auto" w:fill="FFFFFF" w:val="clear"/>
        </w:rPr>
      </w:pPr>
    </w:p>
    <w:p w14:paraId="3BFB784F" w14:textId="4F6823BC" w:rsidP="009D66A3" w:rsidR="009D66A3" w:rsidRDefault="004046E3" w:rsidRPr="00806F23">
      <w:pPr>
        <w:spacing w:after="0"/>
        <w:jc w:val="both"/>
        <w:rPr>
          <w:rFonts w:cstheme="minorHAnsi"/>
          <w:shd w:color="auto" w:fill="FFFFFF" w:val="clear"/>
        </w:rPr>
      </w:pPr>
      <w:r w:rsidRPr="00806F23">
        <w:rPr>
          <w:rFonts w:cstheme="minorHAnsi"/>
          <w:shd w:color="auto" w:fill="FFFFFF" w:val="clear"/>
        </w:rPr>
        <w:t>Conformément aux dispositions légales en vigueur, la Direction et les organisations syndicales se sont réunies dans le cadre des négociations annuelles obligatoire</w:t>
      </w:r>
      <w:r w:rsidR="009D66A3" w:rsidRPr="00806F23">
        <w:rPr>
          <w:rFonts w:cstheme="minorHAnsi"/>
          <w:shd w:color="auto" w:fill="FFFFFF" w:val="clear"/>
        </w:rPr>
        <w:t xml:space="preserve">s 2022 pour 2023 portant sur les salaires et le partage de la valeur ajoutée. </w:t>
      </w:r>
    </w:p>
    <w:p w14:paraId="692FC91F" w14:textId="77777777" w:rsidP="009D66A3" w:rsidR="009D66A3" w:rsidRDefault="009D66A3" w:rsidRPr="00806F23">
      <w:pPr>
        <w:spacing w:after="0"/>
        <w:jc w:val="both"/>
        <w:rPr>
          <w:rFonts w:cstheme="minorHAnsi"/>
          <w:shd w:color="auto" w:fill="FFFFFF" w:val="clear"/>
        </w:rPr>
      </w:pPr>
    </w:p>
    <w:p w14:paraId="390F01CA" w14:textId="4C84920C" w:rsidP="009D66A3" w:rsidR="009D66A3" w:rsidRDefault="009D66A3" w:rsidRPr="00806F23">
      <w:pPr>
        <w:spacing w:after="0"/>
        <w:jc w:val="both"/>
        <w:rPr>
          <w:rFonts w:cstheme="minorHAnsi"/>
          <w:shd w:color="auto" w:fill="FFFFFF" w:val="clear"/>
        </w:rPr>
      </w:pPr>
      <w:r w:rsidRPr="00806F23">
        <w:rPr>
          <w:rFonts w:cstheme="minorHAnsi"/>
          <w:shd w:color="auto" w:fill="FFFFFF" w:val="clear"/>
        </w:rPr>
        <w:t>Les parties au présent accord ont souhaité que cette négociation réponde au contexte actuel, tout particulièrement à l’inflation à laquelle sont confrontés les salariés de l’entreprise.</w:t>
      </w:r>
    </w:p>
    <w:p w14:paraId="14E3BEF6" w14:textId="0021ACBA" w:rsidP="009D66A3" w:rsidR="009D66A3" w:rsidRDefault="009D66A3" w:rsidRPr="00806F23">
      <w:pPr>
        <w:spacing w:after="0"/>
        <w:jc w:val="both"/>
        <w:rPr>
          <w:rFonts w:cstheme="minorHAnsi"/>
          <w:shd w:color="auto" w:fill="FFFFFF" w:val="clear"/>
        </w:rPr>
      </w:pPr>
    </w:p>
    <w:p w14:paraId="26EC0861" w14:textId="1F83407A" w:rsidP="009D66A3" w:rsidR="009D66A3" w:rsidRDefault="009D66A3" w:rsidRPr="00806F23">
      <w:pPr>
        <w:spacing w:after="0"/>
        <w:jc w:val="both"/>
        <w:rPr>
          <w:rFonts w:cstheme="minorHAnsi"/>
          <w:shd w:color="auto" w:fill="FFFFFF" w:val="clear"/>
        </w:rPr>
      </w:pPr>
      <w:r w:rsidRPr="00806F23">
        <w:rPr>
          <w:rFonts w:cstheme="minorHAnsi"/>
          <w:shd w:color="auto" w:fill="FFFFFF" w:val="clear"/>
        </w:rPr>
        <w:t xml:space="preserve">Ainsi, outre des mesures d’augmentations individuelles en ligne avec la politique de l’entreprise mise en œuvre depuis plusieurs années, les parties ont souhaité prévoir une mesure d’augmentation générale visible, avec une attention particulière pour les premiers niveaux de salaires, ainsi que le versement d’une prime de partage de la valeur telle que définie par la loi </w:t>
      </w:r>
      <w:r w:rsidRPr="00806F23">
        <w:rPr>
          <w:rFonts w:cstheme="minorHAnsi"/>
          <w:color w:themeColor="text1" w:val="000000"/>
          <w:sz w:val="21"/>
          <w:szCs w:val="21"/>
        </w:rPr>
        <w:t>n° 2022-1158 du 16 août 2022 portant mesures d’urgence pour la protection du pouvoir d’achat.</w:t>
      </w:r>
    </w:p>
    <w:p w14:paraId="631212DC" w14:textId="77777777" w:rsidP="009D66A3" w:rsidR="009D66A3" w:rsidRDefault="009D66A3" w:rsidRPr="00806F23">
      <w:pPr>
        <w:spacing w:after="0"/>
        <w:jc w:val="both"/>
        <w:rPr>
          <w:rFonts w:cstheme="minorHAnsi"/>
          <w:shd w:color="auto" w:fill="FFFFFF" w:val="clear"/>
        </w:rPr>
      </w:pPr>
    </w:p>
    <w:p w14:paraId="2D4AC34F" w14:textId="0B9A08D0" w:rsidP="009D66A3" w:rsidR="0047454E" w:rsidRDefault="009D66A3" w:rsidRPr="00806F23">
      <w:pPr>
        <w:spacing w:after="0"/>
        <w:jc w:val="both"/>
        <w:rPr>
          <w:rFonts w:cstheme="minorHAnsi"/>
          <w:shd w:color="auto" w:fill="FFFFFF" w:val="clear"/>
        </w:rPr>
      </w:pPr>
      <w:r w:rsidRPr="00806F23">
        <w:rPr>
          <w:rFonts w:cstheme="minorHAnsi"/>
          <w:shd w:color="auto" w:fill="FFFFFF" w:val="clear"/>
        </w:rPr>
        <w:t xml:space="preserve">A l’issue de 4 réunions qui se sont tenues les 10 octobre, 17 octobre, 24 octobre et 2 novembre, les parties sont parvenues à un accord et ont convenu ce qui suit. </w:t>
      </w:r>
    </w:p>
    <w:p w14:paraId="1ADD1479" w14:textId="37089AD3" w:rsidP="0047454E" w:rsidR="0047454E" w:rsidRDefault="0047454E">
      <w:pPr>
        <w:rPr>
          <w:rFonts w:ascii="BNPP Sans Light" w:hAnsi="BNPP Sans Light"/>
        </w:rPr>
      </w:pPr>
    </w:p>
    <w:p w14:paraId="60285CC7" w14:textId="77777777" w:rsidP="0047454E" w:rsidR="00806F23" w:rsidRDefault="00806F23" w:rsidRPr="009D66A3">
      <w:pPr>
        <w:rPr>
          <w:rFonts w:ascii="BNPP Sans Light" w:hAnsi="BNPP Sans Light"/>
        </w:rPr>
      </w:pPr>
    </w:p>
    <w:p w14:paraId="035782D5" w14:textId="577278C8" w:rsidP="004046E3" w:rsidR="007B0348" w:rsidRDefault="004046E3">
      <w:pPr>
        <w:pStyle w:val="Titre1"/>
      </w:pPr>
      <w:bookmarkStart w:id="2" w:name="_Toc117780365"/>
      <w:r>
        <w:t xml:space="preserve">Article 1. </w:t>
      </w:r>
      <w:r w:rsidR="009D66A3">
        <w:t>Augmentation générale de salaires</w:t>
      </w:r>
      <w:bookmarkEnd w:id="2"/>
    </w:p>
    <w:p w14:paraId="54B981E2" w14:textId="1237C121" w:rsidP="00806F23" w:rsidR="007B0348" w:rsidRDefault="007B0348">
      <w:pPr>
        <w:spacing w:after="0"/>
        <w:rPr>
          <w:rFonts w:cstheme="minorHAnsi"/>
        </w:rPr>
      </w:pPr>
    </w:p>
    <w:p w14:paraId="7FF8D006" w14:textId="53A60F3F" w:rsidP="00806F23" w:rsidR="00806F23" w:rsidRDefault="00806F23">
      <w:pPr>
        <w:spacing w:after="0"/>
        <w:rPr>
          <w:rFonts w:cstheme="minorHAnsi"/>
        </w:rPr>
      </w:pPr>
      <w:r>
        <w:rPr>
          <w:rFonts w:cstheme="minorHAnsi"/>
        </w:rPr>
        <w:t xml:space="preserve">Les parties au présent accord ont convenu d’une mesure d’augmentation générale des salaires dans les conditions suivantes. </w:t>
      </w:r>
    </w:p>
    <w:p w14:paraId="24A3CA04" w14:textId="77777777" w:rsidP="00806F23" w:rsidR="00806F23" w:rsidRDefault="00806F23" w:rsidRPr="00806F23">
      <w:pPr>
        <w:spacing w:after="0"/>
        <w:rPr>
          <w:rFonts w:cstheme="minorHAnsi"/>
        </w:rPr>
      </w:pPr>
    </w:p>
    <w:p w14:paraId="6EC17728" w14:textId="14606A1D" w:rsidP="00A609ED" w:rsidR="009D66A3" w:rsidRDefault="009D66A3" w:rsidRPr="00806F23">
      <w:pPr>
        <w:pStyle w:val="Paragraphedeliste"/>
        <w:numPr>
          <w:ilvl w:val="1"/>
          <w:numId w:val="20"/>
        </w:numPr>
        <w:spacing w:after="120"/>
        <w:ind w:hanging="357" w:left="357"/>
        <w:contextualSpacing w:val="0"/>
        <w:rPr>
          <w:rFonts w:cstheme="minorHAnsi"/>
          <w:b/>
          <w:bCs/>
          <w:u w:val="single"/>
        </w:rPr>
      </w:pPr>
      <w:r w:rsidRPr="00806F23">
        <w:rPr>
          <w:rFonts w:cstheme="minorHAnsi"/>
          <w:b/>
          <w:bCs/>
          <w:u w:val="single"/>
        </w:rPr>
        <w:t>Bénéficiaires</w:t>
      </w:r>
    </w:p>
    <w:p w14:paraId="51D38791" w14:textId="7D1A7EAA" w:rsidP="00806F23" w:rsidR="009D66A3" w:rsidRDefault="00806F23" w:rsidRPr="00806F23">
      <w:pPr>
        <w:spacing w:after="0"/>
        <w:jc w:val="both"/>
        <w:rPr>
          <w:rFonts w:cstheme="minorHAnsi"/>
        </w:rPr>
      </w:pPr>
      <w:r>
        <w:rPr>
          <w:rFonts w:cstheme="minorHAnsi"/>
        </w:rPr>
        <w:t>Bénéficieront de la mesure d’augmentation du</w:t>
      </w:r>
      <w:r w:rsidR="009D66A3" w:rsidRPr="00806F23">
        <w:rPr>
          <w:rFonts w:cstheme="minorHAnsi"/>
        </w:rPr>
        <w:t xml:space="preserve"> salaire de base </w:t>
      </w:r>
      <w:r>
        <w:rPr>
          <w:rFonts w:cstheme="minorHAnsi"/>
        </w:rPr>
        <w:t>les</w:t>
      </w:r>
      <w:r w:rsidR="009D66A3" w:rsidRPr="00806F23">
        <w:rPr>
          <w:rFonts w:cstheme="minorHAnsi"/>
        </w:rPr>
        <w:t xml:space="preserve"> salariés de BP²I :</w:t>
      </w:r>
    </w:p>
    <w:p w14:paraId="6E52FEE1" w14:textId="265D6C61" w:rsidP="00C059F8" w:rsidR="00806F23" w:rsidRDefault="00806F23" w:rsidRPr="00806F23">
      <w:pPr>
        <w:pStyle w:val="Paragraphedeliste"/>
        <w:numPr>
          <w:ilvl w:val="0"/>
          <w:numId w:val="8"/>
        </w:numPr>
        <w:spacing w:after="0"/>
        <w:ind w:left="709"/>
        <w:jc w:val="both"/>
        <w:rPr>
          <w:rFonts w:cstheme="minorHAnsi"/>
        </w:rPr>
      </w:pPr>
      <w:r>
        <w:rPr>
          <w:rFonts w:cstheme="minorHAnsi"/>
        </w:rPr>
        <w:t>Liés à BP²I par un CDI ou CDD</w:t>
      </w:r>
      <w:r w:rsidRPr="00806F23">
        <w:rPr>
          <w:rFonts w:cstheme="minorHAnsi"/>
        </w:rPr>
        <w:t> ;</w:t>
      </w:r>
    </w:p>
    <w:p w14:paraId="677256F0" w14:textId="5F3BEDA9" w:rsidP="00C059F8" w:rsidR="009D66A3" w:rsidRDefault="009D66A3" w:rsidRPr="00806F23">
      <w:pPr>
        <w:pStyle w:val="Paragraphedeliste"/>
        <w:numPr>
          <w:ilvl w:val="0"/>
          <w:numId w:val="8"/>
        </w:numPr>
        <w:spacing w:after="0"/>
        <w:ind w:left="709"/>
        <w:jc w:val="both"/>
        <w:rPr>
          <w:rFonts w:cstheme="minorHAnsi"/>
        </w:rPr>
      </w:pPr>
      <w:r w:rsidRPr="00806F23">
        <w:rPr>
          <w:rFonts w:cstheme="minorHAnsi"/>
        </w:rPr>
        <w:t>Présents à la date de signature du présent accord et au 1</w:t>
      </w:r>
      <w:r w:rsidRPr="00806F23">
        <w:rPr>
          <w:rFonts w:cstheme="minorHAnsi"/>
          <w:vertAlign w:val="superscript"/>
        </w:rPr>
        <w:t>er</w:t>
      </w:r>
      <w:r w:rsidRPr="00806F23">
        <w:rPr>
          <w:rFonts w:cstheme="minorHAnsi"/>
        </w:rPr>
        <w:t xml:space="preserve"> janvier</w:t>
      </w:r>
      <w:r w:rsidR="00806F23" w:rsidRPr="00806F23">
        <w:rPr>
          <w:rFonts w:cstheme="minorHAnsi"/>
        </w:rPr>
        <w:t> ;</w:t>
      </w:r>
    </w:p>
    <w:p w14:paraId="1DF1521A" w14:textId="6B64FBBE" w:rsidP="00C059F8" w:rsidR="009D66A3" w:rsidRDefault="009D66A3">
      <w:pPr>
        <w:pStyle w:val="Paragraphedeliste"/>
        <w:numPr>
          <w:ilvl w:val="0"/>
          <w:numId w:val="8"/>
        </w:numPr>
        <w:spacing w:after="0"/>
        <w:ind w:left="709"/>
        <w:jc w:val="both"/>
        <w:rPr>
          <w:rFonts w:cstheme="minorHAnsi"/>
        </w:rPr>
      </w:pPr>
      <w:r w:rsidRPr="00806F23">
        <w:rPr>
          <w:rFonts w:cstheme="minorHAnsi"/>
        </w:rPr>
        <w:t xml:space="preserve">Dont le salaire annuel brut de base, pour un équivalent temps plein, est strictement inférieur à 90 000 </w:t>
      </w:r>
      <w:r w:rsidR="00A82F1E">
        <w:rPr>
          <w:rFonts w:cstheme="minorHAnsi"/>
        </w:rPr>
        <w:t>euros</w:t>
      </w:r>
      <w:r w:rsidRPr="00806F23">
        <w:rPr>
          <w:rFonts w:cstheme="minorHAnsi"/>
        </w:rPr>
        <w:t xml:space="preserve"> au 31 décembre 2022.</w:t>
      </w:r>
    </w:p>
    <w:p w14:paraId="7AC07D6B" w14:textId="067B2390" w:rsidP="00806F23" w:rsidR="00806F23" w:rsidRDefault="00806F23" w:rsidRPr="00806F23">
      <w:pPr>
        <w:spacing w:after="0"/>
        <w:jc w:val="both"/>
        <w:rPr>
          <w:rFonts w:cstheme="minorHAnsi"/>
          <w:i/>
          <w:iCs/>
        </w:rPr>
      </w:pPr>
      <w:r w:rsidRPr="00806F23">
        <w:rPr>
          <w:rFonts w:cstheme="minorHAnsi"/>
          <w:i/>
          <w:iCs/>
        </w:rPr>
        <w:t>NB : les conditions ci-dessus sont cumulatives.</w:t>
      </w:r>
    </w:p>
    <w:p w14:paraId="3B2423A4" w14:textId="77777777" w:rsidP="009D66A3" w:rsidR="009D66A3" w:rsidRDefault="009D66A3" w:rsidRPr="00806F23">
      <w:pPr>
        <w:spacing w:after="0"/>
        <w:rPr>
          <w:rFonts w:cstheme="minorHAnsi"/>
        </w:rPr>
      </w:pPr>
    </w:p>
    <w:p w14:paraId="33F5CE11" w14:textId="28535832" w:rsidP="00A609ED" w:rsidR="009D66A3" w:rsidRDefault="00806F23" w:rsidRPr="00806F23">
      <w:pPr>
        <w:pStyle w:val="Paragraphedeliste"/>
        <w:numPr>
          <w:ilvl w:val="1"/>
          <w:numId w:val="20"/>
        </w:numPr>
        <w:spacing w:after="120"/>
        <w:ind w:hanging="357" w:left="357"/>
        <w:contextualSpacing w:val="0"/>
        <w:rPr>
          <w:rFonts w:cstheme="minorHAnsi"/>
          <w:b/>
          <w:bCs/>
          <w:u w:val="single"/>
        </w:rPr>
      </w:pPr>
      <w:r w:rsidRPr="00806F23">
        <w:rPr>
          <w:rFonts w:cstheme="minorHAnsi"/>
          <w:b/>
          <w:bCs/>
          <w:u w:val="single"/>
        </w:rPr>
        <w:t>Niveau de l’augmentation</w:t>
      </w:r>
    </w:p>
    <w:p w14:paraId="7B5F8A84" w14:textId="1C1AA335" w:rsidP="00806F23" w:rsidR="00806F23" w:rsidRDefault="00806F23" w:rsidRPr="00806F23">
      <w:pPr>
        <w:spacing w:after="0"/>
        <w:jc w:val="both"/>
        <w:rPr>
          <w:rFonts w:cstheme="minorHAnsi"/>
        </w:rPr>
      </w:pPr>
      <w:r w:rsidRPr="00806F23">
        <w:rPr>
          <w:rFonts w:cstheme="minorHAnsi"/>
        </w:rPr>
        <w:t>L’augmentation est fixée à 3% du sala</w:t>
      </w:r>
      <w:r w:rsidR="00A82F1E">
        <w:rPr>
          <w:rFonts w:cstheme="minorHAnsi"/>
        </w:rPr>
        <w:t>i</w:t>
      </w:r>
      <w:r w:rsidRPr="00806F23">
        <w:rPr>
          <w:rFonts w:cstheme="minorHAnsi"/>
        </w:rPr>
        <w:t>re annuel brut de base au 31 décembre 2022.</w:t>
      </w:r>
    </w:p>
    <w:p w14:paraId="6CE44333" w14:textId="77777777" w:rsidP="00806F23" w:rsidR="00806F23" w:rsidRDefault="00806F23" w:rsidRPr="00806F23">
      <w:pPr>
        <w:spacing w:after="0"/>
        <w:jc w:val="both"/>
        <w:rPr>
          <w:rFonts w:cstheme="minorHAnsi"/>
        </w:rPr>
      </w:pPr>
    </w:p>
    <w:p w14:paraId="7FD83794" w14:textId="4EB093E9" w:rsidP="00806F23" w:rsidR="00806F23" w:rsidRDefault="00806F23" w:rsidRPr="00806F23">
      <w:pPr>
        <w:spacing w:after="0"/>
        <w:jc w:val="both"/>
        <w:rPr>
          <w:rFonts w:cstheme="minorHAnsi"/>
        </w:rPr>
      </w:pPr>
      <w:r w:rsidRPr="00806F23">
        <w:rPr>
          <w:rFonts w:cstheme="minorHAnsi"/>
        </w:rPr>
        <w:t>Toutefois, le montant de l’augmentation ne pour</w:t>
      </w:r>
      <w:r>
        <w:rPr>
          <w:rFonts w:cstheme="minorHAnsi"/>
        </w:rPr>
        <w:t>ra</w:t>
      </w:r>
      <w:r w:rsidRPr="00806F23">
        <w:rPr>
          <w:rFonts w:cstheme="minorHAnsi"/>
        </w:rPr>
        <w:t> être</w:t>
      </w:r>
      <w:r>
        <w:rPr>
          <w:rFonts w:cstheme="minorHAnsi"/>
        </w:rPr>
        <w:t> :</w:t>
      </w:r>
    </w:p>
    <w:p w14:paraId="1540C619" w14:textId="77DABFD1" w:rsidP="00C059F8" w:rsidR="00806F23" w:rsidRDefault="00806F23" w:rsidRPr="00806F23">
      <w:pPr>
        <w:pStyle w:val="Paragraphedeliste"/>
        <w:numPr>
          <w:ilvl w:val="0"/>
          <w:numId w:val="8"/>
        </w:numPr>
        <w:spacing w:after="0"/>
        <w:ind w:left="709"/>
        <w:jc w:val="both"/>
        <w:rPr>
          <w:rFonts w:cstheme="minorHAnsi"/>
        </w:rPr>
      </w:pPr>
      <w:r>
        <w:rPr>
          <w:rFonts w:cstheme="minorHAnsi"/>
        </w:rPr>
        <w:t>Ni i</w:t>
      </w:r>
      <w:r w:rsidRPr="00806F23">
        <w:rPr>
          <w:rFonts w:cstheme="minorHAnsi"/>
        </w:rPr>
        <w:t>nférieur à 1 200 </w:t>
      </w:r>
      <w:r>
        <w:rPr>
          <w:rFonts w:cstheme="minorHAnsi"/>
        </w:rPr>
        <w:t>euros</w:t>
      </w:r>
      <w:r w:rsidRPr="00806F23">
        <w:rPr>
          <w:rFonts w:cstheme="minorHAnsi"/>
        </w:rPr>
        <w:t xml:space="preserve"> bruts annuels</w:t>
      </w:r>
      <w:r>
        <w:rPr>
          <w:rFonts w:cstheme="minorHAnsi"/>
        </w:rPr>
        <w:t>,</w:t>
      </w:r>
    </w:p>
    <w:p w14:paraId="1A77EE1B" w14:textId="40F23B21" w:rsidP="00C059F8" w:rsidR="00806F23" w:rsidRDefault="00806F23" w:rsidRPr="00806F23">
      <w:pPr>
        <w:pStyle w:val="Paragraphedeliste"/>
        <w:numPr>
          <w:ilvl w:val="0"/>
          <w:numId w:val="8"/>
        </w:numPr>
        <w:spacing w:after="0"/>
        <w:ind w:left="709"/>
        <w:jc w:val="both"/>
        <w:rPr>
          <w:rFonts w:cstheme="minorHAnsi"/>
        </w:rPr>
      </w:pPr>
      <w:r>
        <w:rPr>
          <w:rFonts w:cstheme="minorHAnsi"/>
        </w:rPr>
        <w:t>Ni s</w:t>
      </w:r>
      <w:r w:rsidRPr="00806F23">
        <w:rPr>
          <w:rFonts w:cstheme="minorHAnsi"/>
        </w:rPr>
        <w:t>upérieur à 2</w:t>
      </w:r>
      <w:r w:rsidR="00A82F1E">
        <w:rPr>
          <w:rFonts w:cstheme="minorHAnsi"/>
        </w:rPr>
        <w:t xml:space="preserve"> </w:t>
      </w:r>
      <w:r w:rsidRPr="00806F23">
        <w:rPr>
          <w:rFonts w:cstheme="minorHAnsi"/>
        </w:rPr>
        <w:t>000 </w:t>
      </w:r>
      <w:r>
        <w:rPr>
          <w:rFonts w:cstheme="minorHAnsi"/>
        </w:rPr>
        <w:t>euros</w:t>
      </w:r>
      <w:r w:rsidRPr="00806F23">
        <w:rPr>
          <w:rFonts w:cstheme="minorHAnsi"/>
        </w:rPr>
        <w:t xml:space="preserve"> bruts annuels</w:t>
      </w:r>
      <w:r>
        <w:rPr>
          <w:rFonts w:cstheme="minorHAnsi"/>
        </w:rPr>
        <w:t>.</w:t>
      </w:r>
    </w:p>
    <w:p w14:paraId="4EFA72C5" w14:textId="440B948F" w:rsidP="00806F23" w:rsidR="00806F23" w:rsidRDefault="00806F23">
      <w:pPr>
        <w:spacing w:after="0"/>
        <w:jc w:val="both"/>
        <w:rPr>
          <w:rFonts w:cstheme="minorHAnsi"/>
        </w:rPr>
      </w:pPr>
      <w:r w:rsidRPr="00806F23">
        <w:rPr>
          <w:rFonts w:cstheme="minorHAnsi"/>
        </w:rPr>
        <w:t>Ces plancher et plafond s’entendent pour un bénéficiaire travaillant à temps plein. Ils seront proratisés pour les salariés à temps partiel, en fonction de leur temps de travail.</w:t>
      </w:r>
    </w:p>
    <w:p w14:paraId="0B4EFB9B" w14:textId="77777777" w:rsidP="00806F23" w:rsidR="00806F23" w:rsidRDefault="00806F23" w:rsidRPr="00806F23">
      <w:pPr>
        <w:spacing w:after="0"/>
        <w:jc w:val="both"/>
        <w:rPr>
          <w:rFonts w:cstheme="minorHAnsi"/>
        </w:rPr>
      </w:pPr>
    </w:p>
    <w:p w14:paraId="2F06E12D" w14:textId="77777777" w:rsidP="00A82F1E" w:rsidR="00A82F1E" w:rsidRDefault="00A82F1E" w:rsidRPr="00A82F1E">
      <w:pPr>
        <w:pStyle w:val="Paragraphedeliste"/>
        <w:numPr>
          <w:ilvl w:val="1"/>
          <w:numId w:val="20"/>
        </w:numPr>
        <w:spacing w:after="120"/>
        <w:ind w:hanging="357" w:left="357"/>
        <w:contextualSpacing w:val="0"/>
        <w:rPr>
          <w:rFonts w:cstheme="minorHAnsi"/>
          <w:b/>
          <w:bCs/>
          <w:u w:val="single"/>
        </w:rPr>
      </w:pPr>
      <w:r w:rsidRPr="00A82F1E">
        <w:rPr>
          <w:rFonts w:cstheme="minorHAnsi"/>
          <w:b/>
          <w:bCs/>
          <w:u w:val="single"/>
        </w:rPr>
        <w:t>Date d’effet</w:t>
      </w:r>
    </w:p>
    <w:p w14:paraId="44E59818" w14:textId="34693C1C" w:rsidP="00A82F1E" w:rsidR="00806F23" w:rsidRDefault="00A82F1E" w:rsidRPr="00A82F1E">
      <w:pPr>
        <w:rPr>
          <w:rFonts w:ascii="BNPP Expanded Sans" w:cstheme="majorBidi" w:eastAsiaTheme="majorEastAsia" w:hAnsi="BNPP Expanded Sans"/>
          <w:color w:themeColor="background1" w:val="00A76D"/>
          <w:sz w:val="24"/>
          <w:szCs w:val="24"/>
        </w:rPr>
      </w:pPr>
      <w:r>
        <w:t>L’augmentation générale s’appliquera à effet du 1</w:t>
      </w:r>
      <w:r w:rsidRPr="00A82F1E">
        <w:rPr>
          <w:vertAlign w:val="superscript"/>
        </w:rPr>
        <w:t>er</w:t>
      </w:r>
      <w:r>
        <w:t xml:space="preserve"> janvier 2023.</w:t>
      </w:r>
      <w:r w:rsidR="00806F23">
        <w:br w:type="page"/>
      </w:r>
    </w:p>
    <w:p w14:paraId="19080D64" w14:textId="701731FD" w:rsidP="004046E3" w:rsidR="007B0348" w:rsidRDefault="004046E3">
      <w:pPr>
        <w:pStyle w:val="Titre1"/>
      </w:pPr>
      <w:bookmarkStart w:id="3" w:name="_Toc117780366"/>
      <w:r>
        <w:lastRenderedPageBreak/>
        <w:t xml:space="preserve">Article 2. </w:t>
      </w:r>
      <w:r w:rsidR="009D66A3">
        <w:t>Prime de partage de la valeur</w:t>
      </w:r>
      <w:bookmarkEnd w:id="3"/>
    </w:p>
    <w:p w14:paraId="0F794ACE" w14:textId="077C2D1E" w:rsidP="00806F23" w:rsidR="007B0348" w:rsidRDefault="007B0348" w:rsidRPr="00806F23">
      <w:pPr>
        <w:spacing w:after="0"/>
        <w:jc w:val="both"/>
        <w:rPr>
          <w:rFonts w:cstheme="minorHAnsi"/>
        </w:rPr>
      </w:pPr>
    </w:p>
    <w:p w14:paraId="41DB7DD0" w14:textId="5D654C94" w:rsidP="00806F23" w:rsidR="00806F23" w:rsidRDefault="00806F23">
      <w:pPr>
        <w:spacing w:after="0"/>
        <w:jc w:val="both"/>
        <w:rPr>
          <w:rFonts w:cstheme="minorHAnsi"/>
        </w:rPr>
      </w:pPr>
      <w:r w:rsidRPr="00806F23">
        <w:rPr>
          <w:rFonts w:cstheme="minorHAnsi"/>
        </w:rPr>
        <w:t>Les parties au présent accord</w:t>
      </w:r>
      <w:r>
        <w:rPr>
          <w:rFonts w:cstheme="minorHAnsi"/>
        </w:rPr>
        <w:t xml:space="preserve"> ont convenu du versement d’une prime de partage de la valeur, telle que définie à l’article 1 </w:t>
      </w:r>
      <w:r w:rsidRPr="00806F23">
        <w:rPr>
          <w:rFonts w:cstheme="minorHAnsi"/>
        </w:rPr>
        <w:t>de la loi n° 2022-1158 du 16 août 2022 portant mesures d’urgence pour la protection du pouvoir d’achat</w:t>
      </w:r>
      <w:r>
        <w:rPr>
          <w:rFonts w:cstheme="minorHAnsi"/>
        </w:rPr>
        <w:t xml:space="preserve">, dans les conditions suivantes. </w:t>
      </w:r>
    </w:p>
    <w:p w14:paraId="5243F3AF" w14:textId="3A89C509" w:rsidP="00806F23" w:rsidR="00806F23" w:rsidRDefault="00806F23">
      <w:pPr>
        <w:spacing w:after="0"/>
        <w:jc w:val="both"/>
        <w:rPr>
          <w:rFonts w:cstheme="minorHAnsi"/>
        </w:rPr>
      </w:pPr>
    </w:p>
    <w:p w14:paraId="5AB2229D" w14:textId="77777777" w:rsidP="00806F23" w:rsidR="00806F23" w:rsidRDefault="00806F23" w:rsidRPr="00806F23">
      <w:pPr>
        <w:pStyle w:val="Paragraphedeliste"/>
        <w:numPr>
          <w:ilvl w:val="0"/>
          <w:numId w:val="20"/>
        </w:numPr>
        <w:rPr>
          <w:rFonts w:cstheme="minorHAnsi"/>
          <w:b/>
          <w:bCs/>
          <w:vanish/>
          <w:u w:val="single"/>
        </w:rPr>
      </w:pPr>
    </w:p>
    <w:p w14:paraId="5258ABFB" w14:textId="18A669E7" w:rsidP="00A609ED" w:rsidR="00806F23" w:rsidRDefault="00806F23">
      <w:pPr>
        <w:pStyle w:val="Paragraphedeliste"/>
        <w:numPr>
          <w:ilvl w:val="1"/>
          <w:numId w:val="20"/>
        </w:numPr>
        <w:spacing w:after="120"/>
        <w:ind w:hanging="357" w:left="357"/>
        <w:contextualSpacing w:val="0"/>
        <w:rPr>
          <w:rFonts w:cstheme="minorHAnsi"/>
          <w:b/>
          <w:bCs/>
          <w:u w:val="single"/>
        </w:rPr>
      </w:pPr>
      <w:r w:rsidRPr="00806F23">
        <w:rPr>
          <w:rFonts w:cstheme="minorHAnsi"/>
          <w:b/>
          <w:bCs/>
          <w:u w:val="single"/>
        </w:rPr>
        <w:t>Bénéficiaires</w:t>
      </w:r>
    </w:p>
    <w:p w14:paraId="0E33B1EB" w14:textId="3169A23D" w:rsidP="00806F23" w:rsidR="00806F23" w:rsidRDefault="00806F23" w:rsidRPr="00806F23">
      <w:pPr>
        <w:spacing w:after="0"/>
        <w:jc w:val="both"/>
        <w:rPr>
          <w:rFonts w:cstheme="minorHAnsi"/>
        </w:rPr>
      </w:pPr>
      <w:r>
        <w:rPr>
          <w:rFonts w:cstheme="minorHAnsi"/>
        </w:rPr>
        <w:t xml:space="preserve">La prime de partage de la valeur sera versée aux salariés </w:t>
      </w:r>
      <w:r w:rsidRPr="00806F23">
        <w:rPr>
          <w:rFonts w:cstheme="minorHAnsi"/>
        </w:rPr>
        <w:t>:</w:t>
      </w:r>
    </w:p>
    <w:p w14:paraId="703D384B" w14:textId="7C4583D4" w:rsidP="00C059F8" w:rsidR="00806F23" w:rsidRDefault="00806F23" w:rsidRPr="00806F23">
      <w:pPr>
        <w:pStyle w:val="Paragraphedeliste"/>
        <w:numPr>
          <w:ilvl w:val="0"/>
          <w:numId w:val="8"/>
        </w:numPr>
        <w:spacing w:after="0"/>
        <w:ind w:left="709"/>
        <w:jc w:val="both"/>
        <w:rPr>
          <w:rFonts w:cstheme="minorHAnsi"/>
        </w:rPr>
      </w:pPr>
      <w:r>
        <w:rPr>
          <w:rFonts w:cstheme="minorHAnsi"/>
        </w:rPr>
        <w:t>Liés à BP²I par un contrat de travail (CDI, CDD, contrat en alternance)</w:t>
      </w:r>
      <w:r w:rsidRPr="00806F23">
        <w:rPr>
          <w:rFonts w:cstheme="minorHAnsi"/>
        </w:rPr>
        <w:t> ;</w:t>
      </w:r>
    </w:p>
    <w:p w14:paraId="77A590BA" w14:textId="551ED3BF" w:rsidP="00C059F8" w:rsidR="00806F23" w:rsidRDefault="00806F23" w:rsidRPr="00806F23">
      <w:pPr>
        <w:pStyle w:val="Paragraphedeliste"/>
        <w:numPr>
          <w:ilvl w:val="0"/>
          <w:numId w:val="8"/>
        </w:numPr>
        <w:spacing w:after="0"/>
        <w:ind w:left="709"/>
        <w:jc w:val="both"/>
        <w:rPr>
          <w:rFonts w:cstheme="minorHAnsi"/>
        </w:rPr>
      </w:pPr>
      <w:r w:rsidRPr="00806F23">
        <w:rPr>
          <w:rFonts w:cstheme="minorHAnsi"/>
        </w:rPr>
        <w:t xml:space="preserve">Présents à la date de </w:t>
      </w:r>
      <w:r>
        <w:rPr>
          <w:rFonts w:cstheme="minorHAnsi"/>
        </w:rPr>
        <w:t>versement de la prime</w:t>
      </w:r>
      <w:r w:rsidRPr="00806F23">
        <w:rPr>
          <w:rFonts w:cstheme="minorHAnsi"/>
        </w:rPr>
        <w:t> ;</w:t>
      </w:r>
    </w:p>
    <w:p w14:paraId="25AE1699" w14:textId="44F3F368" w:rsidP="00C059F8" w:rsidR="00806F23" w:rsidRDefault="00806F23" w:rsidRPr="00806F23">
      <w:pPr>
        <w:pStyle w:val="Paragraphedeliste"/>
        <w:numPr>
          <w:ilvl w:val="0"/>
          <w:numId w:val="8"/>
        </w:numPr>
        <w:spacing w:after="0"/>
        <w:ind w:left="709"/>
        <w:jc w:val="both"/>
        <w:rPr>
          <w:rFonts w:cstheme="minorHAnsi"/>
        </w:rPr>
      </w:pPr>
      <w:r w:rsidRPr="00806F23">
        <w:rPr>
          <w:rFonts w:cstheme="minorHAnsi"/>
        </w:rPr>
        <w:t>Dont l</w:t>
      </w:r>
      <w:r>
        <w:rPr>
          <w:rFonts w:cstheme="minorHAnsi"/>
        </w:rPr>
        <w:t xml:space="preserve">a rémunération </w:t>
      </w:r>
      <w:r w:rsidRPr="00806F23">
        <w:rPr>
          <w:rFonts w:cstheme="minorHAnsi"/>
        </w:rPr>
        <w:t>globale brute versée au cours de la période de référence, au sens de l’article L242-1 du Code de la sécurité sociale</w:t>
      </w:r>
      <w:r>
        <w:rPr>
          <w:rFonts w:cstheme="minorHAnsi"/>
        </w:rPr>
        <w:t xml:space="preserve"> </w:t>
      </w:r>
      <w:r w:rsidRPr="00806F23">
        <w:rPr>
          <w:rFonts w:cstheme="minorHAnsi"/>
        </w:rPr>
        <w:t xml:space="preserve">est strictement inférieur à 90 000 </w:t>
      </w:r>
      <w:r w:rsidR="00A82F1E">
        <w:rPr>
          <w:rFonts w:cstheme="minorHAnsi"/>
        </w:rPr>
        <w:t>euros</w:t>
      </w:r>
      <w:r w:rsidRPr="00806F23">
        <w:rPr>
          <w:rFonts w:cstheme="minorHAnsi"/>
        </w:rPr>
        <w:t>.</w:t>
      </w:r>
    </w:p>
    <w:p w14:paraId="2172F5B1" w14:textId="77777777" w:rsidP="00806F23" w:rsidR="00806F23" w:rsidRDefault="00806F23" w:rsidRPr="00806F23">
      <w:pPr>
        <w:spacing w:after="0"/>
        <w:jc w:val="both"/>
        <w:rPr>
          <w:rFonts w:cstheme="minorHAnsi"/>
          <w:i/>
          <w:iCs/>
        </w:rPr>
      </w:pPr>
      <w:r w:rsidRPr="00806F23">
        <w:rPr>
          <w:rFonts w:cstheme="minorHAnsi"/>
          <w:i/>
          <w:iCs/>
        </w:rPr>
        <w:t>NB : les conditions ci-dessus sont cumulatives.</w:t>
      </w:r>
    </w:p>
    <w:p w14:paraId="43397891" w14:textId="22A5BC22" w:rsidP="00806F23" w:rsidR="00806F23" w:rsidRDefault="00806F23" w:rsidRPr="00806F23">
      <w:pPr>
        <w:spacing w:after="0"/>
        <w:jc w:val="both"/>
        <w:rPr>
          <w:rFonts w:cstheme="minorHAnsi"/>
        </w:rPr>
      </w:pPr>
    </w:p>
    <w:p w14:paraId="00FA20B1" w14:textId="5C746C96" w:rsidP="00A609ED" w:rsidR="00806F23" w:rsidRDefault="00806F23">
      <w:pPr>
        <w:pStyle w:val="Paragraphedeliste"/>
        <w:numPr>
          <w:ilvl w:val="1"/>
          <w:numId w:val="20"/>
        </w:numPr>
        <w:spacing w:after="120"/>
        <w:ind w:hanging="357" w:left="357"/>
        <w:contextualSpacing w:val="0"/>
        <w:rPr>
          <w:rFonts w:cstheme="minorHAnsi"/>
          <w:b/>
          <w:bCs/>
          <w:u w:val="single"/>
        </w:rPr>
      </w:pPr>
      <w:r>
        <w:rPr>
          <w:rFonts w:cstheme="minorHAnsi"/>
          <w:b/>
          <w:bCs/>
          <w:u w:val="single"/>
        </w:rPr>
        <w:t>Montant de la prime</w:t>
      </w:r>
    </w:p>
    <w:p w14:paraId="5F89E303" w14:textId="71475D01" w:rsidP="00526656" w:rsidR="00806F23" w:rsidRDefault="00806F23" w:rsidRPr="00806F23">
      <w:pPr>
        <w:spacing w:after="120"/>
        <w:jc w:val="both"/>
        <w:rPr>
          <w:rFonts w:cstheme="minorHAnsi"/>
        </w:rPr>
      </w:pPr>
      <w:r w:rsidRPr="00806F23">
        <w:rPr>
          <w:rFonts w:cstheme="minorHAnsi"/>
        </w:rPr>
        <w:t>Les salariés remplissant les conditions d’éligibilité ci-dessus définies percevront au titre de l’exercice 2022, une prime de partage de la valeur, pour un salarié à temps plein et pour une année pleine sur la période de référence</w:t>
      </w:r>
      <w:r w:rsidR="00526656">
        <w:rPr>
          <w:rStyle w:val="Appelnotedebasdep"/>
          <w:rFonts w:cstheme="minorHAnsi"/>
        </w:rPr>
        <w:footnoteReference w:id="1"/>
      </w:r>
      <w:r w:rsidRPr="00806F23">
        <w:rPr>
          <w:rFonts w:cstheme="minorHAnsi"/>
        </w:rPr>
        <w:t xml:space="preserve"> d’un montant de :</w:t>
      </w:r>
    </w:p>
    <w:p w14:paraId="3795B6E6" w14:textId="18E82AA5" w:rsidP="00C059F8" w:rsidR="00806F23" w:rsidRDefault="00806F23">
      <w:pPr>
        <w:pStyle w:val="Paragraphedeliste"/>
        <w:numPr>
          <w:ilvl w:val="0"/>
          <w:numId w:val="8"/>
        </w:numPr>
        <w:spacing w:after="120"/>
        <w:ind w:left="709"/>
        <w:contextualSpacing w:val="0"/>
        <w:jc w:val="both"/>
        <w:rPr>
          <w:rFonts w:cstheme="minorHAnsi"/>
        </w:rPr>
      </w:pPr>
      <w:r w:rsidRPr="00806F23">
        <w:rPr>
          <w:rFonts w:cstheme="minorHAnsi"/>
        </w:rPr>
        <w:t>1 100 euros pour les salariés dont la rémunération globale brute versée au cours de la période de référence, au sens de l'article L242-1 du Code de la sécurité sociale est inférieure à trois fois la valeur annuelle du salaire minimum de croissance sur la base de la durée légale du travail</w:t>
      </w:r>
      <w:r w:rsidR="00526656">
        <w:rPr>
          <w:rStyle w:val="Appelnotedebasdep"/>
          <w:rFonts w:cstheme="minorHAnsi"/>
        </w:rPr>
        <w:footnoteReference w:id="2"/>
      </w:r>
      <w:r w:rsidR="00526656">
        <w:rPr>
          <w:rFonts w:cstheme="minorHAnsi"/>
        </w:rPr>
        <w:t> ;</w:t>
      </w:r>
    </w:p>
    <w:p w14:paraId="57B67A14" w14:textId="2762EB85" w:rsidP="00C059F8" w:rsidR="00806F23" w:rsidRDefault="00806F23" w:rsidRPr="00806F23">
      <w:pPr>
        <w:pStyle w:val="Paragraphedeliste"/>
        <w:numPr>
          <w:ilvl w:val="0"/>
          <w:numId w:val="8"/>
        </w:numPr>
        <w:spacing w:after="0"/>
        <w:ind w:left="709"/>
        <w:jc w:val="both"/>
        <w:rPr>
          <w:rFonts w:cstheme="minorHAnsi"/>
        </w:rPr>
      </w:pPr>
      <w:r w:rsidRPr="00806F23">
        <w:rPr>
          <w:rFonts w:cstheme="minorHAnsi"/>
        </w:rPr>
        <w:t>800 euros pour les salariés dont la rémunération globale brute versée au cours de la période de référence, au sens de l’article L242-1 du Code de la sécurité sociale, est égale ou supérieure à trois fois la valeur annuelle du salaire minimum de croissance sur la base de la durée légale du travail</w:t>
      </w:r>
      <w:r w:rsidR="00526656" w:rsidRPr="00526656">
        <w:rPr>
          <w:rFonts w:cstheme="minorHAnsi"/>
          <w:vertAlign w:val="superscript"/>
        </w:rPr>
        <w:t>2</w:t>
      </w:r>
      <w:r w:rsidRPr="00806F23">
        <w:rPr>
          <w:rFonts w:cstheme="minorHAnsi"/>
        </w:rPr>
        <w:t>, et inférieure à 90 000 euros.</w:t>
      </w:r>
    </w:p>
    <w:p w14:paraId="7976A575" w14:textId="2DE8835C" w:rsidP="00806F23" w:rsidR="00806F23" w:rsidRDefault="00806F23">
      <w:pPr>
        <w:spacing w:after="0"/>
        <w:jc w:val="both"/>
        <w:rPr>
          <w:rFonts w:cstheme="minorHAnsi"/>
        </w:rPr>
      </w:pPr>
    </w:p>
    <w:p w14:paraId="6ED6AAE8" w14:textId="0F10DDB6" w:rsidP="00526656" w:rsidR="00526656" w:rsidRDefault="00526656">
      <w:pPr>
        <w:spacing w:after="0"/>
        <w:jc w:val="both"/>
        <w:rPr>
          <w:rFonts w:cstheme="minorHAnsi"/>
        </w:rPr>
      </w:pPr>
      <w:r>
        <w:rPr>
          <w:rFonts w:cstheme="minorHAnsi"/>
        </w:rPr>
        <w:t>Il est précisé que l</w:t>
      </w:r>
      <w:r w:rsidRPr="00526656">
        <w:rPr>
          <w:rFonts w:cstheme="minorHAnsi"/>
        </w:rPr>
        <w:t xml:space="preserve">e montant de la prime de partage de la valeur </w:t>
      </w:r>
      <w:r>
        <w:rPr>
          <w:rFonts w:cstheme="minorHAnsi"/>
        </w:rPr>
        <w:t>sera</w:t>
      </w:r>
      <w:r w:rsidRPr="00526656">
        <w:rPr>
          <w:rFonts w:cstheme="minorHAnsi"/>
        </w:rPr>
        <w:t xml:space="preserve"> modulé en fonction </w:t>
      </w:r>
      <w:r>
        <w:rPr>
          <w:rFonts w:cstheme="minorHAnsi"/>
        </w:rPr>
        <w:t xml:space="preserve">de </w:t>
      </w:r>
      <w:r w:rsidRPr="00526656">
        <w:rPr>
          <w:rFonts w:cstheme="minorHAnsi"/>
        </w:rPr>
        <w:t>la durée de présence effective au sein de l’entreprise</w:t>
      </w:r>
      <w:r>
        <w:rPr>
          <w:rFonts w:cstheme="minorHAnsi"/>
        </w:rPr>
        <w:t xml:space="preserve"> et/ou de </w:t>
      </w:r>
      <w:r w:rsidRPr="00526656">
        <w:rPr>
          <w:rFonts w:cstheme="minorHAnsi"/>
        </w:rPr>
        <w:t>la durée de travail</w:t>
      </w:r>
      <w:r>
        <w:rPr>
          <w:rStyle w:val="Appelnotedebasdep"/>
          <w:rFonts w:cstheme="minorHAnsi"/>
        </w:rPr>
        <w:footnoteReference w:id="3"/>
      </w:r>
      <w:r w:rsidRPr="00526656">
        <w:rPr>
          <w:rFonts w:cstheme="minorHAnsi"/>
        </w:rPr>
        <w:t>,</w:t>
      </w:r>
      <w:r>
        <w:rPr>
          <w:rFonts w:cstheme="minorHAnsi"/>
        </w:rPr>
        <w:t xml:space="preserve"> </w:t>
      </w:r>
      <w:r w:rsidRPr="00526656">
        <w:rPr>
          <w:rFonts w:cstheme="minorHAnsi"/>
        </w:rPr>
        <w:t>au cours de la période de référence</w:t>
      </w:r>
      <w:r w:rsidRPr="00526656">
        <w:rPr>
          <w:rFonts w:cstheme="minorHAnsi"/>
          <w:vertAlign w:val="superscript"/>
        </w:rPr>
        <w:t>1</w:t>
      </w:r>
      <w:r w:rsidRPr="00526656">
        <w:rPr>
          <w:rFonts w:cstheme="minorHAnsi"/>
        </w:rPr>
        <w:t>.</w:t>
      </w:r>
      <w:r>
        <w:rPr>
          <w:rFonts w:cstheme="minorHAnsi"/>
        </w:rPr>
        <w:t xml:space="preserve"> </w:t>
      </w:r>
      <w:r w:rsidRPr="00526656">
        <w:rPr>
          <w:rFonts w:cstheme="minorHAnsi"/>
        </w:rPr>
        <w:t>Les congés prévus au chapitre V du titre II du livre II de la première partie du Code du travail sont assimilés à des périodes de présence effective. Ainsi, les périodes d’absences consécutives à un accident du travail, à une maladie professionnelle, à des congés au titre de la maternité, de la paternité et de l’accueil ou de l’adoption d’un enfant, ainsi que des congés d’éducation parentale, pour la maladie d’un enfant et de présence parentale, sont prises en compte comme temps de présence effective ; elles ne donnent pas lieu à réduction du montant de la prime.</w:t>
      </w:r>
    </w:p>
    <w:p w14:paraId="7DF4B687" w14:textId="308FBBAA" w:rsidP="00526656" w:rsidR="00526656" w:rsidRDefault="00526656">
      <w:pPr>
        <w:spacing w:after="0"/>
        <w:jc w:val="both"/>
        <w:rPr>
          <w:rFonts w:cstheme="minorHAnsi"/>
        </w:rPr>
      </w:pPr>
    </w:p>
    <w:p w14:paraId="151F248E" w14:textId="49BC7BA2" w:rsidP="00526656" w:rsidR="00C059F8" w:rsidRDefault="00C059F8">
      <w:pPr>
        <w:spacing w:after="0"/>
        <w:jc w:val="both"/>
        <w:rPr>
          <w:rFonts w:cstheme="minorHAnsi"/>
        </w:rPr>
      </w:pPr>
    </w:p>
    <w:p w14:paraId="5EDFC952" w14:textId="4A3B35F7" w:rsidP="00526656" w:rsidR="009B257B" w:rsidRDefault="009B257B">
      <w:pPr>
        <w:spacing w:after="0"/>
        <w:jc w:val="both"/>
        <w:rPr>
          <w:rFonts w:cstheme="minorHAnsi"/>
        </w:rPr>
      </w:pPr>
    </w:p>
    <w:p w14:paraId="5C922324" w14:textId="6D5AF0D2" w:rsidP="00526656" w:rsidR="009B257B" w:rsidRDefault="009B257B">
      <w:pPr>
        <w:spacing w:after="0"/>
        <w:jc w:val="both"/>
        <w:rPr>
          <w:rFonts w:cstheme="minorHAnsi"/>
        </w:rPr>
      </w:pPr>
    </w:p>
    <w:p w14:paraId="54D592D6" w14:textId="77777777" w:rsidP="00526656" w:rsidR="009B257B" w:rsidRDefault="009B257B" w:rsidRPr="00806F23">
      <w:pPr>
        <w:spacing w:after="0"/>
        <w:jc w:val="both"/>
        <w:rPr>
          <w:rFonts w:cstheme="minorHAnsi"/>
        </w:rPr>
      </w:pPr>
    </w:p>
    <w:p w14:paraId="4505C375" w14:textId="341EB22E" w:rsidP="00A609ED" w:rsidR="00806F23" w:rsidRDefault="00806F23" w:rsidRPr="00806F23">
      <w:pPr>
        <w:pStyle w:val="Paragraphedeliste"/>
        <w:numPr>
          <w:ilvl w:val="1"/>
          <w:numId w:val="20"/>
        </w:numPr>
        <w:spacing w:after="120"/>
        <w:ind w:hanging="357" w:left="357"/>
        <w:contextualSpacing w:val="0"/>
        <w:rPr>
          <w:rFonts w:cstheme="minorHAnsi"/>
          <w:b/>
          <w:bCs/>
          <w:u w:val="single"/>
        </w:rPr>
      </w:pPr>
      <w:r>
        <w:rPr>
          <w:rFonts w:cstheme="minorHAnsi"/>
          <w:b/>
          <w:bCs/>
          <w:u w:val="single"/>
        </w:rPr>
        <w:lastRenderedPageBreak/>
        <w:t>Modalités de versement</w:t>
      </w:r>
    </w:p>
    <w:p w14:paraId="54117F2E" w14:textId="64D2CC62" w:rsidP="00806F23" w:rsidR="00806F23" w:rsidRDefault="00C059F8">
      <w:pPr>
        <w:spacing w:after="0"/>
        <w:jc w:val="both"/>
        <w:rPr>
          <w:rFonts w:cstheme="minorHAnsi"/>
        </w:rPr>
      </w:pPr>
      <w:r>
        <w:rPr>
          <w:rFonts w:cstheme="minorHAnsi"/>
        </w:rPr>
        <w:t>Le versement de la prime sera effectué sur la paie du mois de novembre 2022.</w:t>
      </w:r>
    </w:p>
    <w:p w14:paraId="05F7C943" w14:textId="0DF0B3E9" w:rsidP="00806F23" w:rsidR="00C059F8" w:rsidRDefault="00C059F8">
      <w:pPr>
        <w:spacing w:after="0"/>
        <w:jc w:val="both"/>
        <w:rPr>
          <w:rFonts w:cstheme="minorHAnsi"/>
        </w:rPr>
      </w:pPr>
    </w:p>
    <w:p w14:paraId="4BA0585A" w14:textId="61EA2D04" w:rsidP="00C059F8" w:rsidR="00C059F8" w:rsidRDefault="00C059F8" w:rsidRPr="00C059F8">
      <w:pPr>
        <w:spacing w:after="120"/>
        <w:jc w:val="both"/>
        <w:rPr>
          <w:rFonts w:cstheme="minorHAnsi"/>
        </w:rPr>
      </w:pPr>
      <w:r>
        <w:rPr>
          <w:rFonts w:cstheme="minorHAnsi"/>
        </w:rPr>
        <w:t>Conformément aux dispositions</w:t>
      </w:r>
      <w:r w:rsidRPr="00C059F8">
        <w:t xml:space="preserve"> </w:t>
      </w:r>
      <w:r w:rsidRPr="00C059F8">
        <w:rPr>
          <w:rFonts w:cstheme="minorHAnsi"/>
        </w:rPr>
        <w:t>de l’article 1 de la loi n° 2022-1158 du 16 août 2022 portant mesures d’urgence pour la protection du pouvoir d’achat :</w:t>
      </w:r>
    </w:p>
    <w:p w14:paraId="6FFC5A96" w14:textId="77777777" w:rsidP="00C059F8" w:rsidR="00C059F8" w:rsidRDefault="00C059F8">
      <w:pPr>
        <w:pStyle w:val="Paragraphedeliste"/>
        <w:numPr>
          <w:ilvl w:val="0"/>
          <w:numId w:val="8"/>
        </w:numPr>
        <w:spacing w:after="0"/>
        <w:ind w:left="567"/>
        <w:contextualSpacing w:val="0"/>
        <w:jc w:val="both"/>
        <w:rPr>
          <w:rFonts w:cstheme="minorHAnsi"/>
        </w:rPr>
      </w:pPr>
      <w:r w:rsidRPr="00C059F8">
        <w:rPr>
          <w:rFonts w:cstheme="minorHAnsi"/>
        </w:rPr>
        <w:t xml:space="preserve">la prime de 1 100 euros attribuée dans les conditions prévues par le présent accord est exonérée d'impôt sur le revenu, de toutes les cotisations et contributions sociales d'origine légale ou conventionnelle ainsi que des participations, taxes et contributions de toutes natures en vigueur à la date de son versement.  </w:t>
      </w:r>
    </w:p>
    <w:p w14:paraId="4BB90270" w14:textId="75D92551" w:rsidP="00C059F8" w:rsidR="00C059F8" w:rsidRDefault="00C059F8" w:rsidRPr="00C059F8">
      <w:pPr>
        <w:pStyle w:val="Paragraphedeliste"/>
        <w:spacing w:after="120"/>
        <w:ind w:left="567"/>
        <w:contextualSpacing w:val="0"/>
        <w:jc w:val="both"/>
        <w:rPr>
          <w:rFonts w:cstheme="minorHAnsi"/>
        </w:rPr>
      </w:pPr>
      <w:r w:rsidRPr="00C059F8">
        <w:rPr>
          <w:rFonts w:cstheme="minorHAnsi"/>
        </w:rPr>
        <w:t>Elle est en revanche incluse dans le revenu fiscal de référence défini au 1° du IV de l’article 14 de l’ordonnance n°96-50 du 24 janvier 1996 relative au remboursement de la dette sociale.</w:t>
      </w:r>
    </w:p>
    <w:p w14:paraId="66329755" w14:textId="770DF177" w:rsidP="006350DB" w:rsidR="00C059F8" w:rsidRDefault="00C059F8">
      <w:pPr>
        <w:pStyle w:val="Paragraphedeliste"/>
        <w:numPr>
          <w:ilvl w:val="0"/>
          <w:numId w:val="8"/>
        </w:numPr>
        <w:spacing w:after="0"/>
        <w:ind w:hanging="357" w:left="567"/>
        <w:contextualSpacing w:val="0"/>
        <w:jc w:val="both"/>
        <w:rPr>
          <w:rFonts w:cstheme="minorHAnsi"/>
        </w:rPr>
      </w:pPr>
      <w:r w:rsidRPr="00C059F8">
        <w:rPr>
          <w:rFonts w:cstheme="minorHAnsi"/>
        </w:rPr>
        <w:t>la prime de 800 euros attribuée dans les conditions prévues par le présent accord est soumise à l’impôt sur le revenu et est assujettie à la CSG/CRDS ainsi qu’au forfait social et à la taxe sur les salaires dans les conditions applicables à l'intéressement.</w:t>
      </w:r>
    </w:p>
    <w:p w14:paraId="6CF56C2C" w14:textId="77777777" w:rsidP="006350DB" w:rsidR="006350DB" w:rsidRDefault="006350DB" w:rsidRPr="006350DB">
      <w:pPr>
        <w:spacing w:after="120"/>
        <w:jc w:val="both"/>
        <w:rPr>
          <w:rFonts w:cstheme="minorHAnsi"/>
        </w:rPr>
      </w:pPr>
    </w:p>
    <w:p w14:paraId="59D4CE77" w14:textId="5A6BAD89" w:rsidP="004046E3" w:rsidR="007B0348" w:rsidRDefault="004046E3">
      <w:pPr>
        <w:pStyle w:val="Titre1"/>
      </w:pPr>
      <w:bookmarkStart w:id="4" w:name="_Toc117780367"/>
      <w:r>
        <w:t xml:space="preserve">Article 3. </w:t>
      </w:r>
      <w:r w:rsidR="009D66A3" w:rsidRPr="00F535F1">
        <w:t>Augmentations individuelles</w:t>
      </w:r>
      <w:bookmarkEnd w:id="4"/>
    </w:p>
    <w:p w14:paraId="4B9CA825" w14:textId="3AFA06DC" w:rsidP="006350DB" w:rsidR="00C059F8" w:rsidRDefault="00C059F8">
      <w:pPr>
        <w:spacing w:after="0"/>
      </w:pPr>
    </w:p>
    <w:p w14:paraId="24E600BD" w14:textId="2D72046F" w:rsidP="006350DB" w:rsidR="00C059F8" w:rsidRDefault="00C059F8">
      <w:pPr>
        <w:spacing w:after="0"/>
        <w:jc w:val="both"/>
      </w:pPr>
      <w:r>
        <w:t xml:space="preserve">Les parties au présent accord ont convenu </w:t>
      </w:r>
      <w:r w:rsidRPr="00C059F8">
        <w:t>d’allouer une enveloppe maximum de 1,5 % de la masse salariale aux augmentations individuelles.</w:t>
      </w:r>
    </w:p>
    <w:p w14:paraId="67FFA027" w14:textId="77777777" w:rsidP="006350DB" w:rsidR="006350DB" w:rsidRDefault="006350DB">
      <w:pPr>
        <w:spacing w:after="0"/>
        <w:jc w:val="both"/>
      </w:pPr>
    </w:p>
    <w:p w14:paraId="43B6314E" w14:textId="020DD70C" w:rsidP="006350DB" w:rsidR="006350DB" w:rsidRDefault="006350DB">
      <w:pPr>
        <w:spacing w:after="0"/>
        <w:jc w:val="both"/>
      </w:pPr>
      <w:r>
        <w:t>Ces augmentations individuelles décidées dans le cadre du CRP seront effectives au 1</w:t>
      </w:r>
      <w:r w:rsidRPr="006350DB">
        <w:rPr>
          <w:vertAlign w:val="superscript"/>
        </w:rPr>
        <w:t>er</w:t>
      </w:r>
      <w:r>
        <w:t xml:space="preserve"> mars 2023. </w:t>
      </w:r>
    </w:p>
    <w:p w14:paraId="7C069222" w14:textId="77777777" w:rsidP="006350DB" w:rsidR="006350DB" w:rsidRDefault="006350DB">
      <w:pPr>
        <w:spacing w:after="0"/>
        <w:jc w:val="both"/>
      </w:pPr>
    </w:p>
    <w:p w14:paraId="5F1768E1" w14:textId="2321287A" w:rsidP="006350DB" w:rsidR="006350DB" w:rsidRDefault="006350DB">
      <w:pPr>
        <w:spacing w:after="0"/>
        <w:jc w:val="both"/>
      </w:pPr>
      <w:r>
        <w:t>Comme lors de chaque CRP, une attention particulière sera portée sur les situations de salariés n’ayant pas bénéficié d’augmentation individuelle depuis 3 ans.</w:t>
      </w:r>
    </w:p>
    <w:p w14:paraId="4A1A8931" w14:textId="77777777" w:rsidP="006350DB" w:rsidR="006350DB" w:rsidRDefault="006350DB">
      <w:pPr>
        <w:spacing w:after="0"/>
        <w:jc w:val="both"/>
      </w:pPr>
    </w:p>
    <w:p w14:paraId="609EFEE0" w14:textId="38637A1E" w:rsidP="004046E3" w:rsidR="00816A93" w:rsidRDefault="004046E3">
      <w:pPr>
        <w:pStyle w:val="Titre1"/>
      </w:pPr>
      <w:bookmarkStart w:id="5" w:name="_Toc117780368"/>
      <w:r>
        <w:t xml:space="preserve">Article 4. </w:t>
      </w:r>
      <w:r w:rsidR="00816A93">
        <w:t>Titres restaurant</w:t>
      </w:r>
      <w:bookmarkEnd w:id="5"/>
    </w:p>
    <w:p w14:paraId="21BBDF4C" w14:textId="4F6A6F89" w:rsidP="00816A93" w:rsidR="00816A93" w:rsidRDefault="00816A93">
      <w:pPr>
        <w:spacing w:after="0"/>
        <w:jc w:val="both"/>
      </w:pPr>
    </w:p>
    <w:p w14:paraId="4145C71E" w14:textId="33B53F04" w:rsidP="00816A93" w:rsidR="00816A93" w:rsidRDefault="00816A93">
      <w:pPr>
        <w:spacing w:after="0"/>
        <w:jc w:val="both"/>
      </w:pPr>
      <w:r>
        <w:t>Les 27 juin 2022, la Direction de BP²I et les organisations syndicales représentatives signaient un accord d’adhésion, à compter du 1</w:t>
      </w:r>
      <w:r w:rsidRPr="00816A93">
        <w:rPr>
          <w:vertAlign w:val="superscript"/>
        </w:rPr>
        <w:t>er</w:t>
      </w:r>
      <w:r>
        <w:t xml:space="preserve"> janvier 2023, à l’accord télétravail du groupe BNP Paribas. Ce dernier prévoit, pour chaque jour télétravaillé, le bénéfice d’une titre restaurant dématérialisé, « </w:t>
      </w:r>
      <w:r w:rsidRPr="00816A93">
        <w:rPr>
          <w:i/>
          <w:iCs/>
        </w:rPr>
        <w:t>dans les conditions applicables au sein de l’entité ou à définir par les entités qui appliquent habituellement une autre modalité de participation employeur au frais de repas</w:t>
      </w:r>
      <w:r>
        <w:t> ».</w:t>
      </w:r>
    </w:p>
    <w:p w14:paraId="4B3F54DE" w14:textId="57A7AF60" w:rsidP="00816A93" w:rsidR="00816A93" w:rsidRDefault="00816A93">
      <w:pPr>
        <w:spacing w:after="0"/>
        <w:jc w:val="both"/>
      </w:pPr>
    </w:p>
    <w:p w14:paraId="56FFD0D6" w14:textId="2A7E23B7" w:rsidP="00816A93" w:rsidR="00816A93" w:rsidRDefault="00816A93">
      <w:pPr>
        <w:spacing w:after="0"/>
        <w:jc w:val="both"/>
      </w:pPr>
      <w:r>
        <w:t>BP²I ne prévoit pas, à l’heure actuelle, le bénéfice de titres restaurant pour ses collaborateurs en raison de la présence des restaurants du GAM, les parties au présent accord ont souhaité définir les conditions de l’octroi des titres restaurant aux collaborateurs en télétravail.</w:t>
      </w:r>
    </w:p>
    <w:p w14:paraId="4B32520D" w14:textId="6482A2D9" w:rsidP="00816A93" w:rsidR="00816A93" w:rsidRDefault="00816A93">
      <w:pPr>
        <w:spacing w:after="0"/>
        <w:jc w:val="both"/>
      </w:pPr>
    </w:p>
    <w:p w14:paraId="02AE4EC7" w14:textId="12E40F79" w:rsidP="00816A93" w:rsidR="00816A93" w:rsidRDefault="00816A93">
      <w:pPr>
        <w:spacing w:after="0"/>
        <w:jc w:val="both"/>
      </w:pPr>
      <w:r>
        <w:t xml:space="preserve">Ainsi, il est convenu que : </w:t>
      </w:r>
    </w:p>
    <w:p w14:paraId="5232540C" w14:textId="124BCDCB" w:rsidP="00816A93" w:rsidR="00816A93" w:rsidRDefault="00816A93">
      <w:pPr>
        <w:pStyle w:val="Paragraphedeliste"/>
        <w:numPr>
          <w:ilvl w:val="0"/>
          <w:numId w:val="8"/>
        </w:numPr>
        <w:spacing w:after="0"/>
        <w:ind w:left="709"/>
        <w:jc w:val="both"/>
      </w:pPr>
      <w:r>
        <w:t>la valeur faciale des titres restaurant octroyés à compter du 1</w:t>
      </w:r>
      <w:r w:rsidRPr="00816A93">
        <w:rPr>
          <w:vertAlign w:val="superscript"/>
        </w:rPr>
        <w:t>er</w:t>
      </w:r>
      <w:r>
        <w:t xml:space="preserve"> janvier 2023 sera de 10,83 euros ;</w:t>
      </w:r>
    </w:p>
    <w:p w14:paraId="761A912C" w14:textId="25F782BC" w:rsidP="00816A93" w:rsidR="00816A93" w:rsidRDefault="00816A93">
      <w:pPr>
        <w:pStyle w:val="Paragraphedeliste"/>
        <w:numPr>
          <w:ilvl w:val="0"/>
          <w:numId w:val="8"/>
        </w:numPr>
        <w:spacing w:after="0"/>
        <w:ind w:left="709"/>
        <w:jc w:val="both"/>
      </w:pPr>
      <w:r>
        <w:t>la prise en charge de l’employeur s’élèvera à 60 % de la valeur faciale du titre restaurant, soit 6,50 euros.</w:t>
      </w:r>
    </w:p>
    <w:p w14:paraId="7CCC395F" w14:textId="77777777" w:rsidP="00816A93" w:rsidR="00816A93" w:rsidRDefault="00816A93">
      <w:pPr>
        <w:spacing w:after="0"/>
        <w:jc w:val="both"/>
      </w:pPr>
    </w:p>
    <w:p w14:paraId="256ECFE7" w14:textId="17B63A05" w:rsidP="004046E3" w:rsidR="00387C00" w:rsidRDefault="00816A93">
      <w:pPr>
        <w:pStyle w:val="Titre1"/>
      </w:pPr>
      <w:bookmarkStart w:id="6" w:name="_Toc117780369"/>
      <w:r>
        <w:lastRenderedPageBreak/>
        <w:t xml:space="preserve">Article 5. </w:t>
      </w:r>
      <w:r w:rsidR="00387C00">
        <w:t>Prime de vacances</w:t>
      </w:r>
      <w:bookmarkEnd w:id="6"/>
    </w:p>
    <w:p w14:paraId="283C64CD" w14:textId="44DC9B2C" w:rsidP="00387C00" w:rsidR="00387C00" w:rsidRDefault="00387C00">
      <w:pPr>
        <w:spacing w:after="0"/>
        <w:jc w:val="both"/>
      </w:pPr>
    </w:p>
    <w:p w14:paraId="2994578B" w14:textId="77777777" w:rsidP="00387C00" w:rsidR="00387C00" w:rsidRDefault="00387C00">
      <w:pPr>
        <w:spacing w:after="0"/>
        <w:jc w:val="both"/>
      </w:pPr>
      <w:r>
        <w:t xml:space="preserve">La convention collective « Syntec » à laquelle est soumise l’entreprise prévoit le versement d’une prime de vacances. </w:t>
      </w:r>
    </w:p>
    <w:p w14:paraId="06FD2F84" w14:textId="77777777" w:rsidP="00387C00" w:rsidR="00387C00" w:rsidRDefault="00387C00">
      <w:pPr>
        <w:spacing w:after="0"/>
        <w:jc w:val="both"/>
      </w:pPr>
    </w:p>
    <w:p w14:paraId="5E39BA27" w14:textId="3A148BA8" w:rsidP="00387C00" w:rsidR="00387C00" w:rsidRDefault="00387C00">
      <w:pPr>
        <w:spacing w:after="0"/>
        <w:jc w:val="both"/>
      </w:pPr>
      <w:r>
        <w:t>Dans le cadre de l’accord NAO 2017 pour l’année 2018, il avait été convenu, pour tenir compte des règles d’acquisition et de prise de congés de BP²I, de verser cette prime sur la paie de décembre et donc de verser la prime aux salariés présents au 1</w:t>
      </w:r>
      <w:r w:rsidRPr="00387C00">
        <w:rPr>
          <w:vertAlign w:val="superscript"/>
        </w:rPr>
        <w:t>er</w:t>
      </w:r>
      <w:r>
        <w:t xml:space="preserve"> décembre de l’année considérée.</w:t>
      </w:r>
    </w:p>
    <w:p w14:paraId="413E886B" w14:textId="1704494A" w:rsidP="00387C00" w:rsidR="00387C00" w:rsidRDefault="00387C00">
      <w:pPr>
        <w:spacing w:after="0"/>
        <w:jc w:val="both"/>
      </w:pPr>
    </w:p>
    <w:p w14:paraId="1A7C5C40" w14:textId="54489C61" w:rsidP="00387C00" w:rsidR="00387C00" w:rsidRDefault="00387C00">
      <w:pPr>
        <w:spacing w:after="0"/>
        <w:jc w:val="both"/>
      </w:pPr>
      <w:r>
        <w:t>Progressivement, le versement de cette prime a été décalé à juin. Pour autant, la condition de présence pour le bénéfice de cette prime n’a pas été décalé</w:t>
      </w:r>
      <w:r w:rsidR="00946D8F">
        <w:t>e</w:t>
      </w:r>
      <w:r>
        <w:t>, conduisant à ce que la prime soit versée à des salariés ayant quitté l’entreprise et ne soit pas versée à ceux ayant rejoint l’entreprise au cours des 6 mois précédant son versement.</w:t>
      </w:r>
    </w:p>
    <w:p w14:paraId="17774C19" w14:textId="56AF22F0" w:rsidP="00387C00" w:rsidR="00387C00" w:rsidRDefault="00387C00">
      <w:pPr>
        <w:spacing w:after="0"/>
        <w:jc w:val="both"/>
      </w:pPr>
    </w:p>
    <w:p w14:paraId="17DC3272" w14:textId="3A8010C2" w:rsidP="00387C00" w:rsidR="00387C00" w:rsidRDefault="00387C00">
      <w:pPr>
        <w:spacing w:after="0"/>
        <w:jc w:val="both"/>
      </w:pPr>
      <w:r>
        <w:t>C’est pourquoi, les parties au présent accord convienne</w:t>
      </w:r>
      <w:r w:rsidR="00946D8F">
        <w:t>nt</w:t>
      </w:r>
      <w:r>
        <w:t xml:space="preserve"> de réaligner la condition de présence</w:t>
      </w:r>
      <w:r w:rsidR="00946D8F">
        <w:t xml:space="preserve"> pour le bénéfice de la prime</w:t>
      </w:r>
      <w:r>
        <w:t xml:space="preserve"> avec la date de versement de la prime de vacances. Ainsi, la prime sera versée aux salariés présent le 1</w:t>
      </w:r>
      <w:r w:rsidRPr="00387C00">
        <w:rPr>
          <w:vertAlign w:val="superscript"/>
        </w:rPr>
        <w:t>er</w:t>
      </w:r>
      <w:r>
        <w:t xml:space="preserve"> juin précéd</w:t>
      </w:r>
      <w:r w:rsidR="00946D8F">
        <w:t>a</w:t>
      </w:r>
      <w:r>
        <w:t xml:space="preserve">nt le versement. </w:t>
      </w:r>
    </w:p>
    <w:p w14:paraId="1C782F0D" w14:textId="49B1C064" w:rsidP="00387C00" w:rsidR="00387C00" w:rsidRDefault="00387C00">
      <w:pPr>
        <w:spacing w:after="0"/>
        <w:jc w:val="both"/>
      </w:pPr>
    </w:p>
    <w:p w14:paraId="432E9EC9" w14:textId="19068BA6" w:rsidP="00387C00" w:rsidR="00387C00" w:rsidRDefault="00387C00">
      <w:pPr>
        <w:spacing w:after="0"/>
        <w:jc w:val="both"/>
      </w:pPr>
      <w:r>
        <w:t>Les modalités de calcul du montant de la prime reste</w:t>
      </w:r>
      <w:r w:rsidR="00946D8F">
        <w:t>nt</w:t>
      </w:r>
      <w:r>
        <w:t xml:space="preserve"> inchangées. </w:t>
      </w:r>
    </w:p>
    <w:p w14:paraId="14588EB0" w14:textId="77777777" w:rsidP="00387C00" w:rsidR="00387C00" w:rsidRDefault="00387C00">
      <w:pPr>
        <w:spacing w:after="0"/>
        <w:jc w:val="both"/>
      </w:pPr>
    </w:p>
    <w:p w14:paraId="39604659" w14:textId="15DD8F2D" w:rsidP="004046E3" w:rsidR="007B0348" w:rsidRDefault="00387C00" w:rsidRPr="00F535F1">
      <w:pPr>
        <w:pStyle w:val="Titre1"/>
      </w:pPr>
      <w:bookmarkStart w:id="7" w:name="_Toc117780370"/>
      <w:r>
        <w:t xml:space="preserve">Article 6. </w:t>
      </w:r>
      <w:r w:rsidR="009D66A3">
        <w:t>Dispositions finales</w:t>
      </w:r>
      <w:bookmarkEnd w:id="7"/>
    </w:p>
    <w:p w14:paraId="5DDFE455" w14:textId="24994776" w:rsidP="007B0348" w:rsidR="007B0348" w:rsidRDefault="007B0348"/>
    <w:p w14:paraId="64268BCB" w14:textId="77777777" w:rsidP="00387C00" w:rsidR="00387C00" w:rsidRDefault="00387C00" w:rsidRPr="00387C00">
      <w:pPr>
        <w:pStyle w:val="Paragraphedeliste"/>
        <w:numPr>
          <w:ilvl w:val="0"/>
          <w:numId w:val="20"/>
        </w:numPr>
        <w:spacing w:after="120"/>
        <w:contextualSpacing w:val="0"/>
        <w:rPr>
          <w:rFonts w:cstheme="minorHAnsi"/>
          <w:b/>
          <w:bCs/>
          <w:vanish/>
          <w:u w:val="single"/>
        </w:rPr>
      </w:pPr>
    </w:p>
    <w:p w14:paraId="3570D855" w14:textId="77777777" w:rsidP="00387C00" w:rsidR="00387C00" w:rsidRDefault="00387C00" w:rsidRPr="00387C00">
      <w:pPr>
        <w:pStyle w:val="Paragraphedeliste"/>
        <w:numPr>
          <w:ilvl w:val="0"/>
          <w:numId w:val="20"/>
        </w:numPr>
        <w:spacing w:after="120"/>
        <w:contextualSpacing w:val="0"/>
        <w:rPr>
          <w:rFonts w:cstheme="minorHAnsi"/>
          <w:b/>
          <w:bCs/>
          <w:vanish/>
          <w:u w:val="single"/>
        </w:rPr>
      </w:pPr>
    </w:p>
    <w:p w14:paraId="2C39C0FC" w14:textId="77777777" w:rsidP="00387C00" w:rsidR="00387C00" w:rsidRDefault="00387C00" w:rsidRPr="00387C00">
      <w:pPr>
        <w:pStyle w:val="Paragraphedeliste"/>
        <w:numPr>
          <w:ilvl w:val="0"/>
          <w:numId w:val="20"/>
        </w:numPr>
        <w:spacing w:after="120"/>
        <w:contextualSpacing w:val="0"/>
        <w:rPr>
          <w:rFonts w:cstheme="minorHAnsi"/>
          <w:b/>
          <w:bCs/>
          <w:vanish/>
          <w:u w:val="single"/>
        </w:rPr>
      </w:pPr>
    </w:p>
    <w:p w14:paraId="18359B0F" w14:textId="77777777" w:rsidP="00387C00" w:rsidR="00387C00" w:rsidRDefault="00387C00" w:rsidRPr="00387C00">
      <w:pPr>
        <w:pStyle w:val="Paragraphedeliste"/>
        <w:numPr>
          <w:ilvl w:val="0"/>
          <w:numId w:val="20"/>
        </w:numPr>
        <w:spacing w:after="120"/>
        <w:contextualSpacing w:val="0"/>
        <w:rPr>
          <w:rFonts w:cstheme="minorHAnsi"/>
          <w:b/>
          <w:bCs/>
          <w:vanish/>
          <w:u w:val="single"/>
        </w:rPr>
      </w:pPr>
    </w:p>
    <w:p w14:paraId="27572D7F" w14:textId="3EAD44CF" w:rsidP="00387C00" w:rsidR="00A609ED" w:rsidRDefault="00A609ED">
      <w:pPr>
        <w:pStyle w:val="Paragraphedeliste"/>
        <w:numPr>
          <w:ilvl w:val="1"/>
          <w:numId w:val="20"/>
        </w:numPr>
        <w:spacing w:after="120"/>
        <w:contextualSpacing w:val="0"/>
        <w:rPr>
          <w:rFonts w:cstheme="minorHAnsi"/>
          <w:b/>
          <w:bCs/>
          <w:u w:val="single"/>
        </w:rPr>
      </w:pPr>
      <w:r w:rsidRPr="00A609ED">
        <w:rPr>
          <w:rFonts w:cstheme="minorHAnsi"/>
          <w:b/>
          <w:bCs/>
          <w:u w:val="single"/>
        </w:rPr>
        <w:t>Champ d’application</w:t>
      </w:r>
    </w:p>
    <w:p w14:paraId="75337D2E" w14:textId="7E58BFB3" w:rsidP="00A609ED" w:rsidR="00A609ED" w:rsidRDefault="00A609ED">
      <w:pPr>
        <w:spacing w:after="0"/>
        <w:jc w:val="both"/>
      </w:pPr>
      <w:r>
        <w:t xml:space="preserve">Le présent accord s’applique à tous les salariés de la société BP²I, sous réserve des conditions d’éligibilité aux différentes mesures. </w:t>
      </w:r>
    </w:p>
    <w:p w14:paraId="3698CF9D" w14:textId="77777777" w:rsidP="00A609ED" w:rsidR="00A609ED" w:rsidRDefault="00A609ED" w:rsidRPr="00A609ED">
      <w:pPr>
        <w:spacing w:after="0"/>
        <w:jc w:val="both"/>
      </w:pPr>
    </w:p>
    <w:p w14:paraId="61CD1E63" w14:textId="6B109510" w:rsidP="00A609ED" w:rsidR="00A609ED" w:rsidRDefault="00A609ED">
      <w:pPr>
        <w:pStyle w:val="Paragraphedeliste"/>
        <w:numPr>
          <w:ilvl w:val="1"/>
          <w:numId w:val="20"/>
        </w:numPr>
        <w:spacing w:after="120"/>
        <w:ind w:hanging="357" w:left="357"/>
        <w:contextualSpacing w:val="0"/>
        <w:rPr>
          <w:rFonts w:cstheme="minorHAnsi"/>
          <w:b/>
          <w:bCs/>
          <w:u w:val="single"/>
        </w:rPr>
      </w:pPr>
      <w:r w:rsidRPr="00A609ED">
        <w:rPr>
          <w:rFonts w:cstheme="minorHAnsi"/>
          <w:b/>
          <w:bCs/>
          <w:u w:val="single"/>
        </w:rPr>
        <w:t>Entrée en vigueur et durée</w:t>
      </w:r>
    </w:p>
    <w:p w14:paraId="763371BB" w14:textId="0B497188" w:rsidP="00A609ED" w:rsidR="00A609ED" w:rsidRDefault="00A609ED">
      <w:pPr>
        <w:spacing w:after="0"/>
        <w:jc w:val="both"/>
      </w:pPr>
      <w:r>
        <w:t xml:space="preserve">Le présent accord entrera en vigueur </w:t>
      </w:r>
      <w:r w:rsidR="00816A93">
        <w:t>à compter de sa signature.</w:t>
      </w:r>
    </w:p>
    <w:p w14:paraId="37385691" w14:textId="77777777" w:rsidP="00A609ED" w:rsidR="00816A93" w:rsidRDefault="00816A93">
      <w:pPr>
        <w:spacing w:after="0"/>
        <w:jc w:val="both"/>
      </w:pPr>
    </w:p>
    <w:p w14:paraId="1B952854" w14:textId="2949B5C5" w:rsidP="00A609ED" w:rsidR="00816A93" w:rsidRDefault="00816A93">
      <w:pPr>
        <w:spacing w:after="0"/>
        <w:jc w:val="both"/>
      </w:pPr>
      <w:r>
        <w:t xml:space="preserve">Il est conclu </w:t>
      </w:r>
      <w:r w:rsidR="00A82F1E">
        <w:t xml:space="preserve">pour une durée indéterminée. Toutefois, les dispositions des articles 1 et 3 sont conclues </w:t>
      </w:r>
      <w:r>
        <w:t>au titre de l’exercice fiscal 2023 et ne s’appliquer</w:t>
      </w:r>
      <w:r w:rsidR="00A82F1E">
        <w:t>ont</w:t>
      </w:r>
      <w:r>
        <w:t xml:space="preserve"> que pour la durée de celui-ci. </w:t>
      </w:r>
      <w:r w:rsidR="00A82F1E">
        <w:t xml:space="preserve">Elles </w:t>
      </w:r>
      <w:r>
        <w:t>cesser</w:t>
      </w:r>
      <w:r w:rsidR="00A82F1E">
        <w:t>ont</w:t>
      </w:r>
      <w:r>
        <w:t xml:space="preserve"> de s’appliquer de plein droit le 31/12/2023.</w:t>
      </w:r>
    </w:p>
    <w:p w14:paraId="7B35ABCD" w14:textId="550CC53E" w:rsidP="00A609ED" w:rsidR="00816A93" w:rsidRDefault="00816A93">
      <w:pPr>
        <w:spacing w:after="0"/>
        <w:jc w:val="both"/>
      </w:pPr>
    </w:p>
    <w:p w14:paraId="65F7B968" w14:textId="30FFC49E" w:rsidP="00A609ED" w:rsidR="00816A93" w:rsidRDefault="00816A93">
      <w:pPr>
        <w:spacing w:after="0"/>
        <w:jc w:val="both"/>
      </w:pPr>
      <w:r w:rsidRPr="00816A93">
        <w:t>Les dispositions du présent accord se substituent de plein droit aux dispositions contraires</w:t>
      </w:r>
      <w:r>
        <w:t xml:space="preserve"> ou ayant le même objet</w:t>
      </w:r>
      <w:r w:rsidRPr="00816A93">
        <w:t xml:space="preserve"> résultant d'accords collectifs</w:t>
      </w:r>
      <w:r>
        <w:t>, de décisions unilatérales</w:t>
      </w:r>
      <w:r w:rsidRPr="00816A93">
        <w:t xml:space="preserve"> ou d'usages.</w:t>
      </w:r>
    </w:p>
    <w:p w14:paraId="5821DBF8" w14:textId="77777777" w:rsidP="00A609ED" w:rsidR="00A609ED" w:rsidRDefault="00A609ED" w:rsidRPr="00A609ED">
      <w:pPr>
        <w:spacing w:after="0"/>
        <w:jc w:val="both"/>
      </w:pPr>
    </w:p>
    <w:p w14:paraId="2CD423B0" w14:textId="3B3E6269" w:rsidP="00A609ED" w:rsidR="00A609ED" w:rsidRDefault="00A609ED">
      <w:pPr>
        <w:pStyle w:val="Paragraphedeliste"/>
        <w:numPr>
          <w:ilvl w:val="1"/>
          <w:numId w:val="20"/>
        </w:numPr>
        <w:spacing w:after="120"/>
        <w:ind w:hanging="357" w:left="357"/>
        <w:contextualSpacing w:val="0"/>
        <w:rPr>
          <w:rFonts w:cstheme="minorHAnsi"/>
          <w:b/>
          <w:bCs/>
          <w:u w:val="single"/>
        </w:rPr>
      </w:pPr>
      <w:r w:rsidRPr="00A609ED">
        <w:rPr>
          <w:rFonts w:cstheme="minorHAnsi"/>
          <w:b/>
          <w:bCs/>
          <w:u w:val="single"/>
        </w:rPr>
        <w:t>Révision</w:t>
      </w:r>
    </w:p>
    <w:p w14:paraId="63523B85" w14:textId="68D191EC" w:rsidP="00A609ED" w:rsidR="00A609ED" w:rsidRDefault="00816A93">
      <w:pPr>
        <w:spacing w:after="0"/>
        <w:jc w:val="both"/>
      </w:pPr>
      <w:r w:rsidRPr="00816A93">
        <w:t>Chaque partie signataire p</w:t>
      </w:r>
      <w:r>
        <w:t>ourra</w:t>
      </w:r>
      <w:r w:rsidRPr="00816A93">
        <w:t xml:space="preserve"> demander la révision de tout ou partie du présent accord par </w:t>
      </w:r>
      <w:r>
        <w:t>mail ou courrier recommandés</w:t>
      </w:r>
      <w:r w:rsidRPr="00816A93">
        <w:t xml:space="preserve"> avec avis de réception aux autres parties signataires en précisant </w:t>
      </w:r>
      <w:r>
        <w:t>l</w:t>
      </w:r>
      <w:r w:rsidRPr="00816A93">
        <w:t>es dispositions dont la révision est demandée et en justifiant des raisons de la demande de révision.</w:t>
      </w:r>
    </w:p>
    <w:p w14:paraId="78A564F2" w14:textId="54E6D31C" w:rsidP="00A609ED" w:rsidR="00816A93" w:rsidRDefault="00816A93">
      <w:pPr>
        <w:spacing w:after="0"/>
        <w:jc w:val="both"/>
      </w:pPr>
    </w:p>
    <w:p w14:paraId="363DB509" w14:textId="7856E844" w:rsidP="00A609ED" w:rsidR="00387C00" w:rsidRDefault="00387C00">
      <w:pPr>
        <w:spacing w:after="0"/>
        <w:jc w:val="both"/>
      </w:pPr>
    </w:p>
    <w:p w14:paraId="39197C47" w14:textId="21C18823" w:rsidP="00A609ED" w:rsidR="00387C00" w:rsidRDefault="00387C00">
      <w:pPr>
        <w:spacing w:after="0"/>
        <w:jc w:val="both"/>
      </w:pPr>
    </w:p>
    <w:p w14:paraId="1890601D" w14:textId="75C3F141" w:rsidP="00A609ED" w:rsidR="00387C00" w:rsidRDefault="00387C00">
      <w:pPr>
        <w:spacing w:after="0"/>
        <w:jc w:val="both"/>
      </w:pPr>
    </w:p>
    <w:p w14:paraId="205EEBA6" w14:textId="451D3941" w:rsidP="00A609ED" w:rsidR="00A609ED" w:rsidRDefault="00A609ED" w:rsidRPr="00A609ED">
      <w:pPr>
        <w:pStyle w:val="Paragraphedeliste"/>
        <w:numPr>
          <w:ilvl w:val="1"/>
          <w:numId w:val="20"/>
        </w:numPr>
        <w:spacing w:after="120"/>
        <w:ind w:hanging="357" w:left="357"/>
        <w:contextualSpacing w:val="0"/>
        <w:rPr>
          <w:rFonts w:cstheme="minorHAnsi"/>
          <w:b/>
          <w:bCs/>
          <w:u w:val="single"/>
        </w:rPr>
      </w:pPr>
      <w:r w:rsidRPr="00A609ED">
        <w:rPr>
          <w:rFonts w:cstheme="minorHAnsi"/>
          <w:b/>
          <w:bCs/>
          <w:u w:val="single"/>
        </w:rPr>
        <w:lastRenderedPageBreak/>
        <w:t>Publicité et dépôt</w:t>
      </w:r>
    </w:p>
    <w:p w14:paraId="120CDD39" w14:textId="206F00F9" w:rsidP="00A609ED" w:rsidR="009B257B" w:rsidRDefault="00816A93">
      <w:pPr>
        <w:spacing w:after="0"/>
        <w:jc w:val="both"/>
      </w:pPr>
      <w:r w:rsidRPr="00816A93">
        <w:t xml:space="preserve">Le présent accord est établi en nombre suffisant d’exemplaires pour remise à chacune des parties signataires et dépôt dans les conditions prévues par le Code du travail. Ce dépôt sera effectué par la Direction après sa notification à l’ensemble des organisations syndicales représentatives. </w:t>
      </w:r>
    </w:p>
    <w:p w14:paraId="5D851324" w14:textId="0ED4A1DF" w:rsidP="00A609ED" w:rsidR="009B257B" w:rsidRDefault="009B257B">
      <w:pPr>
        <w:spacing w:after="0"/>
        <w:jc w:val="both"/>
      </w:pPr>
    </w:p>
    <w:p w14:paraId="0E529C77" w14:textId="77777777" w:rsidP="00A609ED" w:rsidR="009B257B" w:rsidRDefault="009B257B">
      <w:pPr>
        <w:spacing w:after="0"/>
        <w:jc w:val="both"/>
      </w:pPr>
    </w:p>
    <w:p w14:paraId="2755DC35" w14:textId="70B3D01D" w:rsidP="008979EA" w:rsidR="008979EA" w:rsidRDefault="009B257B">
      <w:pPr>
        <w:spacing w:after="0"/>
        <w:jc w:val="both"/>
      </w:pPr>
      <w:r>
        <w:t xml:space="preserve">Fait à </w:t>
      </w:r>
      <w:r w:rsidR="0038349C">
        <w:t>M</w:t>
      </w:r>
      <w:bookmarkStart w:id="8" w:name="_GoBack"/>
      <w:bookmarkEnd w:id="8"/>
      <w:r>
        <w:t>ontreuil</w:t>
      </w:r>
      <w:r w:rsidR="0038349C">
        <w:t xml:space="preserve"> </w:t>
      </w:r>
      <w:r>
        <w:t xml:space="preserve"> le </w:t>
      </w:r>
      <w:r w:rsidR="0038349C">
        <w:t xml:space="preserve">7 novembre 2022, </w:t>
      </w:r>
      <w:r>
        <w:t xml:space="preserve"> en 4 exemplaires originaux</w:t>
      </w:r>
      <w:bookmarkStart w:id="9" w:name="_Toc117780371"/>
    </w:p>
    <w:p w14:paraId="16572628" w14:textId="77777777" w:rsidR="0038349C" w:rsidRDefault="0038349C"/>
    <w:p w14:paraId="78CCC7DC" w14:textId="77777777" w:rsidR="0038349C" w:rsidRDefault="0038349C">
      <w:r>
        <w:t>Pour l’entreprise,</w:t>
      </w:r>
    </w:p>
    <w:p w14:paraId="4B453B05" w14:textId="77777777" w:rsidR="0038349C" w:rsidRDefault="0038349C">
      <w:r>
        <w:t>M.</w:t>
      </w:r>
    </w:p>
    <w:p w14:paraId="2E2A0D0B" w14:textId="77777777" w:rsidR="0038349C" w:rsidRDefault="0038349C"/>
    <w:p w14:paraId="631A8A1E" w14:textId="77777777" w:rsidR="0038349C" w:rsidRDefault="0038349C">
      <w:r>
        <w:t>Pour le syndicat CFDT,</w:t>
      </w:r>
    </w:p>
    <w:p w14:paraId="65CAA1F4" w14:textId="77777777" w:rsidR="0038349C" w:rsidRDefault="0038349C">
      <w:r>
        <w:t>M.</w:t>
      </w:r>
    </w:p>
    <w:p w14:paraId="788A2B69" w14:textId="77777777" w:rsidR="0038349C" w:rsidRDefault="0038349C"/>
    <w:p w14:paraId="022C23EC" w14:textId="77777777" w:rsidR="0038349C" w:rsidRDefault="0038349C">
      <w:r>
        <w:t>Pour le syndicat FOFEC,</w:t>
      </w:r>
    </w:p>
    <w:p w14:paraId="034DCB4A" w14:textId="77777777" w:rsidR="0038349C" w:rsidRDefault="0038349C">
      <w:r>
        <w:t>M.</w:t>
      </w:r>
    </w:p>
    <w:p w14:paraId="77B6D432" w14:textId="77777777" w:rsidR="0038349C" w:rsidRDefault="0038349C"/>
    <w:p w14:paraId="2A83CC1B" w14:textId="77777777" w:rsidR="0038349C" w:rsidRDefault="0038349C">
      <w:r>
        <w:t>Pour le syndicat CFTC SICSTI,</w:t>
      </w:r>
    </w:p>
    <w:p w14:paraId="503D2F8C" w14:textId="67061DDE" w:rsidR="008979EA" w:rsidRDefault="0038349C">
      <w:pPr>
        <w:rPr>
          <w:rFonts w:ascii="BNPP Expanded Sans" w:cstheme="majorBidi" w:eastAsiaTheme="majorEastAsia" w:hAnsi="BNPP Expanded Sans"/>
          <w:color w:themeColor="background1" w:val="00A76D"/>
          <w:sz w:val="24"/>
          <w:szCs w:val="24"/>
        </w:rPr>
      </w:pPr>
      <w:r>
        <w:t>M.</w:t>
      </w:r>
      <w:r w:rsidR="008979EA">
        <w:br w:type="page"/>
      </w:r>
    </w:p>
    <w:p w14:paraId="7361CF82" w14:textId="7B1ADA7F" w:rsidP="004046E3" w:rsidR="004046E3" w:rsidRDefault="004046E3">
      <w:pPr>
        <w:pStyle w:val="Titre1"/>
        <w:spacing w:after="240"/>
      </w:pPr>
      <w:r w:rsidRPr="004046E3">
        <w:lastRenderedPageBreak/>
        <w:t>Annexe – Revendications des organisations syndicales</w:t>
      </w:r>
      <w:bookmarkEnd w:id="9"/>
    </w:p>
    <w:p w14:paraId="23F11A0C" w14:textId="76D20F8F" w:rsidP="004046E3" w:rsidR="004046E3" w:rsidRDefault="004046E3" w:rsidRPr="004046E3">
      <w:pPr>
        <w:pStyle w:val="Sansinterligne"/>
        <w:numPr>
          <w:ilvl w:val="0"/>
          <w:numId w:val="17"/>
        </w:numPr>
        <w:spacing w:after="120" w:line="259" w:lineRule="auto"/>
        <w:ind w:hanging="426" w:left="426"/>
        <w:rPr>
          <w:rFonts w:ascii="BNPP Expanded Sans" w:hAnsi="BNPP Expanded Sans"/>
          <w:color w:themeColor="background1" w:val="00A76D"/>
        </w:rPr>
      </w:pPr>
      <w:r w:rsidRPr="004046E3">
        <w:rPr>
          <w:rFonts w:ascii="BNPP Expanded Sans" w:hAnsi="BNPP Expanded Sans"/>
          <w:color w:themeColor="background1" w:val="00A76D"/>
        </w:rPr>
        <w:t xml:space="preserve">Rémunérations </w:t>
      </w:r>
    </w:p>
    <w:p w14:paraId="0BC4913D" w14:textId="074C8C87" w:rsidP="004046E3" w:rsidR="004046E3" w:rsidRDefault="004046E3" w:rsidRPr="004046E3">
      <w:pPr>
        <w:pStyle w:val="Sansinterligne"/>
        <w:numPr>
          <w:ilvl w:val="0"/>
          <w:numId w:val="19"/>
        </w:numPr>
        <w:spacing w:after="120"/>
        <w:ind w:hanging="357" w:left="714"/>
        <w:rPr>
          <w:rFonts w:ascii="BNPP Expanded Sans" w:hAnsi="BNPP Expanded Sans"/>
          <w:i/>
          <w:iCs/>
          <w:color w:themeColor="background1" w:val="00A76D"/>
          <w:sz w:val="20"/>
          <w:szCs w:val="20"/>
        </w:rPr>
      </w:pPr>
      <w:r w:rsidRPr="004046E3">
        <w:rPr>
          <w:rFonts w:ascii="BNPP Expanded Sans" w:hAnsi="BNPP Expanded Sans"/>
          <w:i/>
          <w:iCs/>
          <w:color w:themeColor="background1" w:val="00A76D"/>
          <w:sz w:val="20"/>
          <w:szCs w:val="20"/>
        </w:rPr>
        <w:t>Rémunérations fixes</w:t>
      </w:r>
    </w:p>
    <w:p w14:paraId="5DC8FD1C" w14:textId="7E6BE1DB" w:rsidP="004046E3" w:rsidR="004046E3" w:rsidRDefault="004046E3" w:rsidRPr="004046E3">
      <w:pPr>
        <w:pStyle w:val="Sansinterligne"/>
        <w:numPr>
          <w:ilvl w:val="0"/>
          <w:numId w:val="18"/>
        </w:numPr>
        <w:ind w:left="426"/>
        <w:jc w:val="both"/>
      </w:pPr>
      <w:r w:rsidRPr="004046E3">
        <w:t xml:space="preserve">Une augmentation générale des salaires qui doit au minimum couvrir l’inflation (environ 7% à ce jour et bien plus dans les mois à venir avec la modification du bouclier tarifaire) </w:t>
      </w:r>
    </w:p>
    <w:p w14:paraId="11D53852" w14:textId="77777777" w:rsidP="004046E3" w:rsidR="004046E3" w:rsidRDefault="004046E3">
      <w:pPr>
        <w:pStyle w:val="Sansinterligne"/>
        <w:numPr>
          <w:ilvl w:val="0"/>
          <w:numId w:val="8"/>
        </w:numPr>
        <w:ind w:left="993"/>
        <w:jc w:val="both"/>
      </w:pPr>
      <w:r w:rsidRPr="004046E3">
        <w:t>Être effective immédiatement</w:t>
      </w:r>
    </w:p>
    <w:p w14:paraId="404E53AE" w14:textId="77777777" w:rsidP="004046E3" w:rsidR="004046E3" w:rsidRDefault="004046E3">
      <w:pPr>
        <w:pStyle w:val="Sansinterligne"/>
        <w:numPr>
          <w:ilvl w:val="0"/>
          <w:numId w:val="8"/>
        </w:numPr>
        <w:ind w:left="993"/>
        <w:jc w:val="both"/>
      </w:pPr>
      <w:r w:rsidRPr="004046E3">
        <w:t xml:space="preserve">Être accordée à tous les salariés sans exception </w:t>
      </w:r>
    </w:p>
    <w:p w14:paraId="5951073D" w14:textId="52D7EA8F" w:rsidP="004046E3" w:rsidR="004046E3" w:rsidRDefault="004046E3" w:rsidRPr="004046E3">
      <w:pPr>
        <w:pStyle w:val="Sansinterligne"/>
        <w:numPr>
          <w:ilvl w:val="0"/>
          <w:numId w:val="8"/>
        </w:numPr>
        <w:spacing w:after="120"/>
        <w:ind w:hanging="357" w:left="992"/>
        <w:jc w:val="both"/>
      </w:pPr>
      <w:r w:rsidRPr="004046E3">
        <w:t>S’accompagner d’une prime pour compenser le manque à gagner de ces premiers mois de l’année</w:t>
      </w:r>
    </w:p>
    <w:p w14:paraId="148FA793" w14:textId="0F1B85A8" w:rsidP="004046E3" w:rsidR="004046E3" w:rsidRDefault="004046E3" w:rsidRPr="004046E3">
      <w:pPr>
        <w:pStyle w:val="Sansinterligne"/>
        <w:numPr>
          <w:ilvl w:val="0"/>
          <w:numId w:val="10"/>
        </w:numPr>
        <w:spacing w:after="120"/>
        <w:ind w:hanging="357" w:left="425"/>
        <w:jc w:val="both"/>
      </w:pPr>
      <w:r w:rsidRPr="004046E3">
        <w:t>Enveloppe de 3% pour les augmentations individuelles pour faire</w:t>
      </w:r>
      <w:r w:rsidR="00475C50">
        <w:t xml:space="preserve"> face</w:t>
      </w:r>
      <w:r w:rsidRPr="004046E3">
        <w:t xml:space="preserve"> aux salaires du marché en expansion et fidéliser les collaborateurs face à un marché dynamique</w:t>
      </w:r>
    </w:p>
    <w:p w14:paraId="661C61E8" w14:textId="77777777" w:rsidP="004046E3" w:rsidR="004046E3" w:rsidRDefault="004046E3" w:rsidRPr="004046E3">
      <w:pPr>
        <w:pStyle w:val="Sansinterligne"/>
        <w:numPr>
          <w:ilvl w:val="0"/>
          <w:numId w:val="10"/>
        </w:numPr>
        <w:spacing w:after="120"/>
        <w:ind w:hanging="357" w:left="425"/>
        <w:jc w:val="both"/>
      </w:pPr>
      <w:r w:rsidRPr="004046E3">
        <w:t>Un examen systématique des situations des salariés dont la rémunération a été identifiée comme anormale lors de la consultation sur la politique sociale par le cabinet d’expertise mandaté par le CSE dans le cadre de cette consultation</w:t>
      </w:r>
    </w:p>
    <w:p w14:paraId="69E4E143" w14:textId="0BCF1BEA" w:rsidP="004046E3" w:rsidR="004046E3" w:rsidRDefault="004046E3" w:rsidRPr="004046E3">
      <w:pPr>
        <w:pStyle w:val="Sansinterligne"/>
        <w:numPr>
          <w:ilvl w:val="0"/>
          <w:numId w:val="10"/>
        </w:numPr>
        <w:spacing w:after="120"/>
        <w:ind w:hanging="357" w:left="425"/>
        <w:jc w:val="both"/>
      </w:pPr>
      <w:r w:rsidRPr="004046E3">
        <w:t>Augmentation des salaires pour les collaborateurs les moins rémunérés de l’entreprise d’au moins 3% (en plus de l’augmentation générale de 7% demandée) pour les salariés en dessous de la moyenne des salaires par catégories et par postes.</w:t>
      </w:r>
    </w:p>
    <w:p w14:paraId="0CA2BB55" w14:textId="77777777" w:rsidP="004046E3" w:rsidR="004046E3" w:rsidRDefault="004046E3" w:rsidRPr="004046E3">
      <w:pPr>
        <w:pStyle w:val="Sansinterligne"/>
        <w:numPr>
          <w:ilvl w:val="0"/>
          <w:numId w:val="10"/>
        </w:numPr>
        <w:spacing w:after="120"/>
        <w:ind w:hanging="357" w:left="425"/>
        <w:jc w:val="both"/>
      </w:pPr>
      <w:r w:rsidRPr="004046E3">
        <w:t>Un examen systématique de la rémunération des salariés n’ayant pas été revue depuis plus de 3 ans.</w:t>
      </w:r>
    </w:p>
    <w:p w14:paraId="59F9663F" w14:textId="236E8F37" w:rsidP="004046E3" w:rsidR="004046E3" w:rsidRDefault="004046E3" w:rsidRPr="004046E3">
      <w:pPr>
        <w:pStyle w:val="Sansinterligne"/>
        <w:numPr>
          <w:ilvl w:val="0"/>
          <w:numId w:val="10"/>
        </w:numPr>
        <w:spacing w:after="120"/>
        <w:ind w:hanging="357" w:left="425"/>
        <w:jc w:val="both"/>
      </w:pPr>
      <w:r w:rsidRPr="004046E3">
        <w:t>Un examen systématique des coefficients des salariés qui ont une ancienneté d’au moins deux ans dans l’entreprise.</w:t>
      </w:r>
    </w:p>
    <w:p w14:paraId="4FD46BD5" w14:textId="3DE77DC8" w:rsidP="004046E3" w:rsidR="004046E3" w:rsidRDefault="004046E3">
      <w:pPr>
        <w:pStyle w:val="Sansinterligne"/>
        <w:numPr>
          <w:ilvl w:val="0"/>
          <w:numId w:val="10"/>
        </w:numPr>
        <w:ind w:left="426"/>
        <w:jc w:val="both"/>
      </w:pPr>
      <w:r w:rsidRPr="004046E3">
        <w:t>Mise en place d’une commission paritaire sur les mesures salariales qui pourra être saisie à la demande de collaborateurs qui s’estiment lésés.</w:t>
      </w:r>
    </w:p>
    <w:p w14:paraId="74D149BB" w14:textId="77777777" w:rsidP="004046E3" w:rsidR="004046E3" w:rsidRDefault="004046E3" w:rsidRPr="004046E3">
      <w:pPr>
        <w:pStyle w:val="Sansinterligne"/>
      </w:pPr>
    </w:p>
    <w:p w14:paraId="2339A844" w14:textId="77777777" w:rsidP="004046E3" w:rsidR="004046E3" w:rsidRDefault="004046E3" w:rsidRPr="004046E3">
      <w:pPr>
        <w:pStyle w:val="Sansinterligne"/>
        <w:numPr>
          <w:ilvl w:val="0"/>
          <w:numId w:val="19"/>
        </w:numPr>
        <w:spacing w:after="120"/>
        <w:ind w:hanging="357" w:left="714"/>
        <w:rPr>
          <w:rFonts w:ascii="BNPP Expanded Sans" w:hAnsi="BNPP Expanded Sans"/>
          <w:i/>
          <w:iCs/>
          <w:color w:themeColor="background1" w:val="00A76D"/>
          <w:sz w:val="20"/>
          <w:szCs w:val="20"/>
        </w:rPr>
      </w:pPr>
      <w:r w:rsidRPr="004046E3">
        <w:rPr>
          <w:rFonts w:ascii="BNPP Expanded Sans" w:hAnsi="BNPP Expanded Sans"/>
          <w:i/>
          <w:iCs/>
          <w:color w:themeColor="background1" w:val="00A76D"/>
          <w:sz w:val="20"/>
          <w:szCs w:val="20"/>
        </w:rPr>
        <w:t>Prime</w:t>
      </w:r>
    </w:p>
    <w:p w14:paraId="75F90307" w14:textId="5A78F1DF" w:rsidP="004046E3" w:rsidR="004046E3" w:rsidRDefault="004046E3">
      <w:pPr>
        <w:pStyle w:val="Sansinterligne"/>
        <w:numPr>
          <w:ilvl w:val="0"/>
          <w:numId w:val="10"/>
        </w:numPr>
        <w:ind w:left="426"/>
        <w:jc w:val="both"/>
      </w:pPr>
      <w:r w:rsidRPr="004046E3">
        <w:t>Versement d’une « prime de partage de la valeur » anciennement prime exceptionnelle de pouvoir d'achat (PEPA) reconduite en 2022 par la loi de finances rectificative publiée au </w:t>
      </w:r>
      <w:hyperlink r:id="rId9" w:history="1" w:tgtFrame="_blank">
        <w:r w:rsidRPr="004046E3">
          <w:t>Journal officiel</w:t>
        </w:r>
      </w:hyperlink>
      <w:r w:rsidRPr="004046E3">
        <w:t> le 20 juillet 2021 et reconduite pour 2023 par la </w:t>
      </w:r>
      <w:hyperlink r:id="rId10" w:history="1" w:tgtFrame="_blank">
        <w:r w:rsidRPr="004046E3">
          <w:t>loi du 16 août 2022</w:t>
        </w:r>
      </w:hyperlink>
      <w:r w:rsidRPr="004046E3">
        <w:t xml:space="preserve"> d’un montant de 3 000 euros pour les salariés éligibles à cette prime.</w:t>
      </w:r>
    </w:p>
    <w:p w14:paraId="6CE3E75A" w14:textId="77777777" w:rsidP="004046E3" w:rsidR="004046E3" w:rsidRDefault="004046E3" w:rsidRPr="004046E3">
      <w:pPr>
        <w:pStyle w:val="Sansinterligne"/>
      </w:pPr>
    </w:p>
    <w:p w14:paraId="6CF62AF0" w14:textId="77777777" w:rsidP="004046E3" w:rsidR="004046E3" w:rsidRDefault="004046E3" w:rsidRPr="004046E3">
      <w:pPr>
        <w:pStyle w:val="Sansinterligne"/>
        <w:numPr>
          <w:ilvl w:val="0"/>
          <w:numId w:val="19"/>
        </w:numPr>
        <w:spacing w:after="120"/>
        <w:ind w:hanging="357" w:left="714"/>
        <w:rPr>
          <w:rFonts w:ascii="BNPP Expanded Sans" w:hAnsi="BNPP Expanded Sans"/>
          <w:i/>
          <w:iCs/>
          <w:color w:themeColor="background1" w:val="00A76D"/>
          <w:sz w:val="20"/>
          <w:szCs w:val="20"/>
        </w:rPr>
      </w:pPr>
      <w:r w:rsidRPr="004046E3">
        <w:rPr>
          <w:rFonts w:ascii="BNPP Expanded Sans" w:hAnsi="BNPP Expanded Sans"/>
          <w:i/>
          <w:iCs/>
          <w:color w:themeColor="background1" w:val="00A76D"/>
          <w:sz w:val="20"/>
          <w:szCs w:val="20"/>
        </w:rPr>
        <w:t>Rémunérations variables</w:t>
      </w:r>
    </w:p>
    <w:p w14:paraId="3ADA1BB8" w14:textId="77777777" w:rsidP="004046E3" w:rsidR="004046E3" w:rsidRDefault="004046E3" w:rsidRPr="004046E3">
      <w:pPr>
        <w:pStyle w:val="Sansinterligne"/>
        <w:numPr>
          <w:ilvl w:val="0"/>
          <w:numId w:val="10"/>
        </w:numPr>
        <w:ind w:left="426"/>
        <w:jc w:val="both"/>
      </w:pPr>
      <w:r w:rsidRPr="004046E3">
        <w:t xml:space="preserve">% des rémunérations variables à 10% pour tous les salariés (% qui varie selon la date d’entrée dans l’entreprise, actuellement les pourcentages sont soit de 10% pour les salariés embauchés avant 2019 ou 7%* pour les salariés embauchés après 2019) </w:t>
      </w:r>
    </w:p>
    <w:p w14:paraId="685F6FB1" w14:textId="4DF01D12" w:rsidP="00475C50" w:rsidR="00475C50" w:rsidRDefault="004046E3">
      <w:pPr>
        <w:pStyle w:val="Sansinterligne"/>
        <w:ind w:left="425"/>
        <w:jc w:val="both"/>
      </w:pPr>
      <w:r w:rsidRPr="004046E3">
        <w:t xml:space="preserve">Une harmonisation est aujourd’hui nécessaire pour éviter des écarts de rémunération globale en fonction la date d’entrée dans l’entreprise </w:t>
      </w:r>
    </w:p>
    <w:p w14:paraId="5C663649" w14:textId="40145DCE" w:rsidP="004046E3" w:rsidR="004046E3" w:rsidRDefault="004046E3" w:rsidRPr="00475C50">
      <w:pPr>
        <w:pStyle w:val="Sansinterligne"/>
        <w:spacing w:after="120"/>
        <w:ind w:left="425"/>
        <w:jc w:val="both"/>
        <w:rPr>
          <w:i/>
          <w:iCs/>
        </w:rPr>
      </w:pPr>
      <w:r w:rsidRPr="00475C50">
        <w:rPr>
          <w:i/>
          <w:iCs/>
        </w:rPr>
        <w:t>*Accord NAO 2019.</w:t>
      </w:r>
    </w:p>
    <w:p w14:paraId="583D838E" w14:textId="77777777" w:rsidP="004046E3" w:rsidR="004046E3" w:rsidRDefault="004046E3" w:rsidRPr="004046E3">
      <w:pPr>
        <w:pStyle w:val="Sansinterligne"/>
        <w:numPr>
          <w:ilvl w:val="0"/>
          <w:numId w:val="10"/>
        </w:numPr>
        <w:ind w:left="426"/>
        <w:jc w:val="both"/>
      </w:pPr>
      <w:r w:rsidRPr="004046E3">
        <w:t>Mise en place d’une enveloppe distincte pour les collaborateurs en surperformance égale à 1% de l’enveloppe globale allouée à la PVA, elle devra être arbitrée par la gouvernance BP²I et non réparties entre les divisions afin d’éviter que la surperformance de certains collaborateurs se fassent au détriment de la PVA d’autres collaborateurs de la même division.</w:t>
      </w:r>
    </w:p>
    <w:p w14:paraId="4AECD426" w14:textId="0F98160E" w:rsidP="004046E3" w:rsidR="004046E3" w:rsidRDefault="004046E3">
      <w:pPr>
        <w:pStyle w:val="Sansinterligne"/>
        <w:ind w:left="720"/>
        <w:jc w:val="both"/>
        <w:rPr>
          <w:rFonts w:ascii="Bahnschrift SemiCondensed" w:hAnsi="Bahnschrift SemiCondensed"/>
          <w:sz w:val="24"/>
          <w:szCs w:val="24"/>
        </w:rPr>
      </w:pPr>
    </w:p>
    <w:p w14:paraId="5892DABF" w14:textId="14DEAC0E" w:rsidP="004046E3" w:rsidR="00475C50" w:rsidRDefault="00475C50">
      <w:pPr>
        <w:pStyle w:val="Sansinterligne"/>
        <w:ind w:left="720"/>
        <w:jc w:val="both"/>
        <w:rPr>
          <w:rFonts w:ascii="Bahnschrift SemiCondensed" w:hAnsi="Bahnschrift SemiCondensed"/>
          <w:sz w:val="24"/>
          <w:szCs w:val="24"/>
        </w:rPr>
      </w:pPr>
    </w:p>
    <w:p w14:paraId="3D7B4052" w14:textId="3C5F5C36" w:rsidP="004046E3" w:rsidR="00475C50" w:rsidRDefault="00475C50">
      <w:pPr>
        <w:pStyle w:val="Sansinterligne"/>
        <w:ind w:left="720"/>
        <w:jc w:val="both"/>
        <w:rPr>
          <w:rFonts w:ascii="Bahnschrift SemiCondensed" w:hAnsi="Bahnschrift SemiCondensed"/>
          <w:sz w:val="24"/>
          <w:szCs w:val="24"/>
        </w:rPr>
      </w:pPr>
    </w:p>
    <w:p w14:paraId="316155F7" w14:textId="77777777" w:rsidP="004046E3" w:rsidR="00475C50" w:rsidRDefault="00475C50" w:rsidRPr="00B156FD">
      <w:pPr>
        <w:pStyle w:val="Sansinterligne"/>
        <w:ind w:left="720"/>
        <w:jc w:val="both"/>
        <w:rPr>
          <w:rFonts w:ascii="Bahnschrift SemiCondensed" w:hAnsi="Bahnschrift SemiCondensed"/>
          <w:sz w:val="24"/>
          <w:szCs w:val="24"/>
        </w:rPr>
      </w:pPr>
    </w:p>
    <w:p w14:paraId="7A938F6A" w14:textId="77777777" w:rsidP="005739F7" w:rsidR="004046E3" w:rsidRDefault="004046E3" w:rsidRPr="004046E3">
      <w:pPr>
        <w:pStyle w:val="Sansinterligne"/>
        <w:numPr>
          <w:ilvl w:val="0"/>
          <w:numId w:val="19"/>
        </w:numPr>
        <w:spacing w:after="120" w:line="259" w:lineRule="auto"/>
        <w:ind w:hanging="426" w:left="709"/>
        <w:rPr>
          <w:rFonts w:ascii="BNPP Expanded Sans" w:hAnsi="BNPP Expanded Sans"/>
          <w:color w:themeColor="background1" w:val="00A76D"/>
        </w:rPr>
      </w:pPr>
      <w:r w:rsidRPr="004046E3">
        <w:rPr>
          <w:rFonts w:ascii="BNPP Expanded Sans" w:hAnsi="BNPP Expanded Sans"/>
          <w:color w:themeColor="background1" w:val="00A76D"/>
        </w:rPr>
        <w:lastRenderedPageBreak/>
        <w:t>Mobilité &amp; Transports</w:t>
      </w:r>
    </w:p>
    <w:p w14:paraId="09F1DF01" w14:textId="77777777" w:rsidP="004046E3" w:rsidR="004046E3" w:rsidRDefault="004046E3" w:rsidRPr="004046E3">
      <w:pPr>
        <w:pStyle w:val="Sansinterligne"/>
        <w:numPr>
          <w:ilvl w:val="0"/>
          <w:numId w:val="10"/>
        </w:numPr>
        <w:ind w:left="426"/>
        <w:jc w:val="both"/>
      </w:pPr>
      <w:r w:rsidRPr="004046E3">
        <w:t xml:space="preserve">Mise en place du forfait Mobilité Durable et revalorisation des indemnités Kms pour l’utilisations de véhicule personnelle (+15%) </w:t>
      </w:r>
    </w:p>
    <w:p w14:paraId="1F04E8D4" w14:textId="77777777" w:rsidP="004046E3" w:rsidR="004046E3" w:rsidRDefault="004046E3">
      <w:pPr>
        <w:pStyle w:val="Sansinterligne"/>
        <w:jc w:val="both"/>
        <w:rPr>
          <w:rFonts w:ascii="Bahnschrift SemiCondensed" w:hAnsi="Bahnschrift SemiCondensed"/>
          <w:sz w:val="24"/>
          <w:szCs w:val="24"/>
          <w:shd w:color="auto" w:fill="FFFFFF" w:val="clear"/>
        </w:rPr>
      </w:pPr>
    </w:p>
    <w:p w14:paraId="1A64E116" w14:textId="6A317B09" w:rsidP="005739F7" w:rsidR="004046E3" w:rsidRDefault="004046E3" w:rsidRPr="004046E3">
      <w:pPr>
        <w:pStyle w:val="Sansinterligne"/>
        <w:numPr>
          <w:ilvl w:val="0"/>
          <w:numId w:val="19"/>
        </w:numPr>
        <w:spacing w:after="120" w:line="259" w:lineRule="auto"/>
        <w:ind w:hanging="426" w:left="709"/>
        <w:rPr>
          <w:rFonts w:ascii="BNPP Expanded Sans" w:hAnsi="BNPP Expanded Sans"/>
          <w:color w:themeColor="background1" w:val="00A76D"/>
        </w:rPr>
      </w:pPr>
      <w:r w:rsidRPr="004046E3">
        <w:rPr>
          <w:rFonts w:ascii="BNPP Expanded Sans" w:hAnsi="BNPP Expanded Sans"/>
          <w:color w:themeColor="background1" w:val="00A76D"/>
        </w:rPr>
        <w:t>Égalité Femmes - Hommes</w:t>
      </w:r>
    </w:p>
    <w:p w14:paraId="2B1BDB31" w14:textId="6AC0DAAD" w:rsidP="004046E3" w:rsidR="004046E3" w:rsidRDefault="004046E3">
      <w:pPr>
        <w:pStyle w:val="Sansinterligne"/>
        <w:numPr>
          <w:ilvl w:val="0"/>
          <w:numId w:val="10"/>
        </w:numPr>
        <w:ind w:left="426"/>
        <w:jc w:val="both"/>
      </w:pPr>
      <w:r w:rsidRPr="004046E3">
        <w:t>Une enveloppe distincte qui permette de consacrer un budget à la suppression des écarts salariaux entre F/H</w:t>
      </w:r>
    </w:p>
    <w:p w14:paraId="039214F0" w14:textId="77777777" w:rsidP="004046E3" w:rsidR="004046E3" w:rsidRDefault="004046E3" w:rsidRPr="004046E3">
      <w:pPr>
        <w:pStyle w:val="Sansinterligne"/>
        <w:jc w:val="both"/>
      </w:pPr>
    </w:p>
    <w:p w14:paraId="18161D15" w14:textId="5EB1012E" w:rsidP="005739F7" w:rsidR="004046E3" w:rsidRDefault="004046E3" w:rsidRPr="004046E3">
      <w:pPr>
        <w:pStyle w:val="Sansinterligne"/>
        <w:numPr>
          <w:ilvl w:val="0"/>
          <w:numId w:val="19"/>
        </w:numPr>
        <w:spacing w:after="120" w:line="259" w:lineRule="auto"/>
        <w:ind w:hanging="426" w:left="709"/>
        <w:rPr>
          <w:rFonts w:ascii="BNPP Expanded Sans" w:hAnsi="BNPP Expanded Sans"/>
          <w:color w:themeColor="background1" w:val="00A76D"/>
        </w:rPr>
      </w:pPr>
      <w:r w:rsidRPr="004046E3">
        <w:rPr>
          <w:rFonts w:ascii="BNPP Expanded Sans" w:hAnsi="BNPP Expanded Sans"/>
          <w:color w:themeColor="background1" w:val="00A76D"/>
        </w:rPr>
        <w:t>Intéressement</w:t>
      </w:r>
    </w:p>
    <w:p w14:paraId="236661F5" w14:textId="6378F517" w:rsidP="004046E3" w:rsidR="004046E3" w:rsidRDefault="004046E3" w:rsidRPr="004046E3">
      <w:pPr>
        <w:pStyle w:val="Sansinterligne"/>
        <w:numPr>
          <w:ilvl w:val="0"/>
          <w:numId w:val="10"/>
        </w:numPr>
        <w:ind w:left="426"/>
        <w:jc w:val="both"/>
      </w:pPr>
      <w:r w:rsidRPr="004046E3">
        <w:t>Supplément d’intéressement de 300 euros pour tous les salariés en plus du montant normalement alloué exonéré de charges dans le cadre de l’accord d’intéressement pour la période 2021-2023. Supplément qui se substitue à la mise en place future d’un abondement.</w:t>
      </w:r>
    </w:p>
    <w:p w14:paraId="29C8B7BE" w14:textId="77777777" w:rsidP="004046E3" w:rsidR="004046E3" w:rsidRDefault="004046E3">
      <w:pPr>
        <w:pStyle w:val="Sansinterligne"/>
        <w:ind w:left="720"/>
        <w:jc w:val="both"/>
        <w:rPr>
          <w:rFonts w:ascii="Bahnschrift SemiCondensed" w:hAnsi="Bahnschrift SemiCondensed"/>
          <w:sz w:val="24"/>
          <w:szCs w:val="24"/>
          <w:shd w:color="auto" w:fill="FFFFFF" w:val="clear"/>
        </w:rPr>
      </w:pPr>
    </w:p>
    <w:p w14:paraId="143DAF4B" w14:textId="77777777" w:rsidP="005739F7" w:rsidR="004046E3" w:rsidRDefault="004046E3" w:rsidRPr="004046E3">
      <w:pPr>
        <w:pStyle w:val="Sansinterligne"/>
        <w:numPr>
          <w:ilvl w:val="0"/>
          <w:numId w:val="19"/>
        </w:numPr>
        <w:spacing w:after="120" w:line="259" w:lineRule="auto"/>
        <w:ind w:hanging="426" w:left="709"/>
        <w:rPr>
          <w:rFonts w:ascii="BNPP Expanded Sans" w:hAnsi="BNPP Expanded Sans"/>
          <w:color w:themeColor="background1" w:val="00A76D"/>
        </w:rPr>
      </w:pPr>
      <w:r w:rsidRPr="004046E3">
        <w:rPr>
          <w:rFonts w:ascii="BNPP Expanded Sans" w:hAnsi="BNPP Expanded Sans"/>
          <w:color w:themeColor="background1" w:val="00A76D"/>
        </w:rPr>
        <w:t>Temps de travail et organisation</w:t>
      </w:r>
    </w:p>
    <w:p w14:paraId="1D7A9DB9" w14:textId="77777777" w:rsidP="004046E3" w:rsidR="004046E3" w:rsidRDefault="004046E3" w:rsidRPr="004046E3">
      <w:pPr>
        <w:pStyle w:val="Sansinterligne"/>
        <w:numPr>
          <w:ilvl w:val="0"/>
          <w:numId w:val="10"/>
        </w:numPr>
        <w:spacing w:after="120"/>
        <w:ind w:hanging="357" w:left="425"/>
        <w:jc w:val="both"/>
      </w:pPr>
      <w:r w:rsidRPr="004046E3">
        <w:t>Autoriser les salariés qui ont plus de 10 ans d’ancienneté à télétravailler 10 mois consécutifs (avec une dérogation pour également travailler de l’étranger) ce qui permet à certains collaborateurs de se perfectionner dans une langue étrangère par exemple.</w:t>
      </w:r>
    </w:p>
    <w:p w14:paraId="04019502" w14:textId="4184E352" w:rsidP="004046E3" w:rsidR="004046E3" w:rsidRDefault="004046E3" w:rsidRPr="004046E3">
      <w:pPr>
        <w:pStyle w:val="Sansinterligne"/>
        <w:numPr>
          <w:ilvl w:val="0"/>
          <w:numId w:val="10"/>
        </w:numPr>
        <w:ind w:left="426"/>
        <w:jc w:val="both"/>
      </w:pPr>
      <w:r w:rsidRPr="004046E3">
        <w:t xml:space="preserve">Mise en place d’un </w:t>
      </w:r>
      <w:r w:rsidR="00475C50">
        <w:t>C</w:t>
      </w:r>
      <w:r w:rsidRPr="004046E3">
        <w:t xml:space="preserve">ompte </w:t>
      </w:r>
      <w:r w:rsidR="00475C50" w:rsidRPr="004046E3">
        <w:t>Épargne</w:t>
      </w:r>
      <w:r w:rsidRPr="004046E3">
        <w:t xml:space="preserve"> </w:t>
      </w:r>
      <w:r w:rsidR="00475C50">
        <w:t>T</w:t>
      </w:r>
      <w:r w:rsidRPr="004046E3">
        <w:t>emps avec un maximum de jours de 10 jours par an (report automatique des congés annuels et RTT sur le CET au 31/12/2022)</w:t>
      </w:r>
    </w:p>
    <w:p w14:paraId="4BBE1630" w14:textId="6E217B66" w:rsidP="004046E3" w:rsidR="004046E3" w:rsidRDefault="004046E3" w:rsidRPr="004046E3">
      <w:pPr>
        <w:pStyle w:val="Sansinterligne"/>
        <w:ind w:left="426"/>
        <w:jc w:val="both"/>
      </w:pPr>
      <w:r w:rsidRPr="004046E3">
        <w:t>Pouvoir transférer jusqu’à 10 jours d</w:t>
      </w:r>
      <w:r w:rsidR="00475C50">
        <w:t>u</w:t>
      </w:r>
      <w:r w:rsidRPr="004046E3">
        <w:t xml:space="preserve"> CET vers un dispositif de préparation à la retraite : PERECO. Ce transfert donne lieu, à partir de 5 jours transférés vers mon PERECO, à un abondement de l’entreprise d’un montant de 150€.</w:t>
      </w:r>
    </w:p>
    <w:p w14:paraId="1AE485C4" w14:textId="77777777" w:rsidP="00A24175" w:rsidR="004046E3" w:rsidRDefault="004046E3"/>
    <w:p w14:paraId="7D4483BE" w14:textId="487F1A57" w:rsidP="00B0735E" w:rsidR="00B0735E" w:rsidRDefault="00B0735E" w:rsidRPr="00B0735E"/>
    <w:p w14:paraId="4F22616F" w14:textId="7500B364" w:rsidP="00B0735E" w:rsidR="00B0735E" w:rsidRDefault="00B0735E" w:rsidRPr="00B0735E"/>
    <w:p w14:paraId="36EEFBE3" w14:textId="09421759" w:rsidP="00B0735E" w:rsidR="00B0735E" w:rsidRDefault="00B0735E" w:rsidRPr="00B0735E"/>
    <w:p w14:paraId="478669AE" w14:textId="0A910278" w:rsidP="00B0735E" w:rsidR="00B0735E" w:rsidRDefault="00B0735E" w:rsidRPr="00B0735E"/>
    <w:p w14:paraId="7818694B" w14:textId="5B8C48D2" w:rsidP="00B0735E" w:rsidR="00B0735E" w:rsidRDefault="00B0735E" w:rsidRPr="00B0735E"/>
    <w:p w14:paraId="2FD293C1" w14:textId="3C7B296E" w:rsidP="00B0735E" w:rsidR="00B0735E" w:rsidRDefault="00B0735E"/>
    <w:p w14:paraId="5BF14464" w14:textId="51D98B97" w:rsidP="00B0735E" w:rsidR="00B0735E" w:rsidRDefault="00B0735E" w:rsidRPr="00B0735E">
      <w:pPr>
        <w:tabs>
          <w:tab w:pos="3342" w:val="left"/>
        </w:tabs>
      </w:pPr>
      <w:r>
        <w:tab/>
      </w:r>
    </w:p>
    <w:sectPr w:rsidR="00B0735E" w:rsidRPr="00B0735E" w:rsidSect="00A82F1E">
      <w:headerReference r:id="rId11" w:type="even"/>
      <w:headerReference r:id="rId12" w:type="default"/>
      <w:footerReference r:id="rId13" w:type="default"/>
      <w:headerReference r:id="rId14" w:type="first"/>
      <w:footerReference r:id="rId15" w:type="first"/>
      <w:pgSz w:h="16838" w:w="11906"/>
      <w:pgMar w:bottom="1417" w:footer="554" w:gutter="0" w:header="510" w:left="1417" w:right="1417" w:top="170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44E238" w14:textId="77777777" w:rsidR="00BF0175" w:rsidRDefault="00BF0175" w:rsidP="00F44FA4">
      <w:pPr>
        <w:spacing w:after="0" w:line="240" w:lineRule="auto"/>
      </w:pPr>
      <w:r>
        <w:separator/>
      </w:r>
    </w:p>
  </w:endnote>
  <w:endnote w:type="continuationSeparator" w:id="0">
    <w:p w14:paraId="731D5534" w14:textId="77777777" w:rsidR="00BF0175" w:rsidRDefault="00BF0175" w:rsidP="00F44F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NPP Expanded Sans">
    <w:altName w:val="Times New Roman"/>
    <w:panose1 w:val="00000000000000000000"/>
    <w:charset w:val="00"/>
    <w:family w:val="modern"/>
    <w:notTrueType/>
    <w:pitch w:val="variable"/>
    <w:sig w:usb0="00000001" w:usb1="4000204A" w:usb2="00000000" w:usb3="00000000" w:csb0="0000009F" w:csb1="00000000"/>
  </w:font>
  <w:font w:name="BNPP Sans Light">
    <w:altName w:val="Corbel"/>
    <w:panose1 w:val="00000000000000000000"/>
    <w:charset w:val="00"/>
    <w:family w:val="modern"/>
    <w:notTrueType/>
    <w:pitch w:val="variable"/>
    <w:sig w:usb0="00000001" w:usb1="4000204A"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hnschrift SemiCondensed">
    <w:panose1 w:val="020B0502040204020203"/>
    <w:charset w:val="00"/>
    <w:family w:val="swiss"/>
    <w:pitch w:val="variable"/>
    <w:sig w:usb0="A00002C7" w:usb1="00000002" w:usb2="00000000" w:usb3="00000000" w:csb0="0000019F" w:csb1="00000000"/>
  </w:font>
</w:fonts>
</file>

<file path=word/footer1.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14:paraId="5802D5C3" w14:textId="7A407237" w:rsidP="006F513F" w:rsidR="003E3B33" w:rsidRDefault="00B0735E" w:rsidRPr="006F513F">
    <w:pPr>
      <w:pStyle w:val="Pieddepage"/>
      <w:pBdr>
        <w:top w:color="auto" w:space="1" w:sz="4" w:val="single"/>
      </w:pBdr>
      <w:rPr>
        <w:sz w:val="20"/>
        <w:szCs w:val="20"/>
      </w:rPr>
    </w:pPr>
    <w:r>
      <w:rPr>
        <w:rFonts w:asciiTheme="majorHAnsi" w:cstheme="majorHAnsi" w:hAnsiTheme="majorHAnsi"/>
        <w:sz w:val="18"/>
        <w:szCs w:val="18"/>
      </w:rPr>
      <w:t>Accord NAO 2022 pour 2023</w:t>
    </w:r>
    <w:r w:rsidR="006F513F" w:rsidRPr="006F513F">
      <w:rPr>
        <w:sz w:val="18"/>
        <w:szCs w:val="18"/>
      </w:rPr>
      <w:t xml:space="preserve"> </w:t>
    </w:r>
    <w:r w:rsidR="006F513F" w:rsidRPr="006F513F">
      <w:rPr>
        <w:sz w:val="20"/>
        <w:szCs w:val="20"/>
      </w:rPr>
      <w:ptab w:alignment="center" w:leader="none" w:relativeTo="margin"/>
    </w:r>
    <w:r w:rsidR="006F513F" w:rsidRPr="006F513F">
      <w:rPr>
        <w:sz w:val="20"/>
        <w:szCs w:val="20"/>
      </w:rPr>
      <w:ptab w:alignment="right" w:leader="none" w:relativeTo="margin"/>
    </w:r>
    <w:r w:rsidR="006F513F" w:rsidRPr="006F513F">
      <w:rPr>
        <w:sz w:val="20"/>
        <w:szCs w:val="20"/>
      </w:rPr>
      <w:t xml:space="preserve">Page </w:t>
    </w:r>
    <w:r w:rsidR="006F513F" w:rsidRPr="006F513F">
      <w:rPr>
        <w:b/>
        <w:bCs/>
        <w:sz w:val="20"/>
        <w:szCs w:val="20"/>
      </w:rPr>
      <w:fldChar w:fldCharType="begin"/>
    </w:r>
    <w:r w:rsidR="006F513F" w:rsidRPr="006F513F">
      <w:rPr>
        <w:b/>
        <w:bCs/>
        <w:sz w:val="20"/>
        <w:szCs w:val="20"/>
      </w:rPr>
      <w:instrText>PAGE  \* Arabic  \* MERGEFORMAT</w:instrText>
    </w:r>
    <w:r w:rsidR="006F513F" w:rsidRPr="006F513F">
      <w:rPr>
        <w:b/>
        <w:bCs/>
        <w:sz w:val="20"/>
        <w:szCs w:val="20"/>
      </w:rPr>
      <w:fldChar w:fldCharType="separate"/>
    </w:r>
    <w:r w:rsidR="0038349C">
      <w:rPr>
        <w:b/>
        <w:bCs/>
        <w:noProof/>
        <w:sz w:val="20"/>
        <w:szCs w:val="20"/>
      </w:rPr>
      <w:t>6</w:t>
    </w:r>
    <w:r w:rsidR="006F513F" w:rsidRPr="006F513F">
      <w:rPr>
        <w:b/>
        <w:bCs/>
        <w:sz w:val="20"/>
        <w:szCs w:val="20"/>
      </w:rPr>
      <w:fldChar w:fldCharType="end"/>
    </w:r>
    <w:r w:rsidR="006F513F" w:rsidRPr="006F513F">
      <w:rPr>
        <w:sz w:val="20"/>
        <w:szCs w:val="20"/>
      </w:rPr>
      <w:t xml:space="preserve"> sur </w:t>
    </w:r>
    <w:r w:rsidR="006F513F" w:rsidRPr="006F513F">
      <w:rPr>
        <w:b/>
        <w:bCs/>
        <w:sz w:val="20"/>
        <w:szCs w:val="20"/>
      </w:rPr>
      <w:fldChar w:fldCharType="begin"/>
    </w:r>
    <w:r w:rsidR="006F513F" w:rsidRPr="006F513F">
      <w:rPr>
        <w:b/>
        <w:bCs/>
        <w:sz w:val="20"/>
        <w:szCs w:val="20"/>
      </w:rPr>
      <w:instrText>NUMPAGES  \* Arabic  \* MERGEFORMAT</w:instrText>
    </w:r>
    <w:r w:rsidR="006F513F" w:rsidRPr="006F513F">
      <w:rPr>
        <w:b/>
        <w:bCs/>
        <w:sz w:val="20"/>
        <w:szCs w:val="20"/>
      </w:rPr>
      <w:fldChar w:fldCharType="separate"/>
    </w:r>
    <w:r w:rsidR="0038349C">
      <w:rPr>
        <w:b/>
        <w:bCs/>
        <w:noProof/>
        <w:sz w:val="20"/>
        <w:szCs w:val="20"/>
      </w:rPr>
      <w:t>8</w:t>
    </w:r>
    <w:r w:rsidR="006F513F" w:rsidRPr="006F513F">
      <w:rPr>
        <w:b/>
        <w:bCs/>
        <w:sz w:val="20"/>
        <w:szCs w:val="20"/>
      </w:rPr>
      <w:fldChar w:fldCharType="end"/>
    </w:r>
  </w:p>
</w:ftr>
</file>

<file path=word/footer2.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14:paraId="27EFB451" w14:textId="68C0092B" w:rsidR="00B15EC0" w:rsidRDefault="00B15EC0">
    <w:pPr>
      <w:pStyle w:val="Pieddepage"/>
    </w:pPr>
    <w:r w:rsidRPr="00F44FA4">
      <w:rPr>
        <w:rFonts w:ascii="BNPP Sans Light" w:hAnsi="BNPP Sans Light"/>
        <w:noProof/>
        <w:lang w:eastAsia="fr-FR"/>
      </w:rPr>
      <w:drawing>
        <wp:anchor allowOverlap="1" behindDoc="1" distB="0" distL="114300" distR="114300" distT="0" layoutInCell="1" locked="0" relativeHeight="251665408" simplePos="0" wp14:anchorId="0FBACBB0" wp14:editId="46B2DB01">
          <wp:simplePos x="0" y="0"/>
          <wp:positionH relativeFrom="margin">
            <wp:posOffset>2730</wp:posOffset>
          </wp:positionH>
          <wp:positionV relativeFrom="page">
            <wp:posOffset>9820894</wp:posOffset>
          </wp:positionV>
          <wp:extent cx="2864690" cy="617516"/>
          <wp:effectExtent b="0" l="0" r="0" t="0"/>
          <wp:wrapNone/>
          <wp:docPr id="11" name="Image 6">
            <a:extLst xmlns:a="http://schemas.openxmlformats.org/drawingml/2006/main">
              <a:ext uri="{FF2B5EF4-FFF2-40B4-BE49-F238E27FC236}">
                <a16:creationId xmlns:a16="http://schemas.microsoft.com/office/drawing/2014/main"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id="{C089D7E4-53EC-D548-BD0D-10D3FC7D7E9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6">
                    <a:extLst>
                      <a:ext uri="{FF2B5EF4-FFF2-40B4-BE49-F238E27FC236}">
                        <a16:creationId xmlns:a16="http://schemas.microsoft.com/office/drawing/2014/main"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id="{C089D7E4-53EC-D548-BD0D-10D3FC7D7E92}"/>
                      </a:ext>
                    </a:extLst>
                  </pic:cNvPr>
                  <pic:cNvPicPr>
                    <a:picLocks noChangeAspect="1"/>
                  </pic:cNvPicPr>
                </pic:nvPicPr>
                <pic:blipFill>
                  <a:blip cstate="print" r:embed="rId1">
                    <a:extLst>
                      <a:ext uri="{28A0092B-C50C-407E-A947-70E740481C1C}">
                        <a14:useLocalDpi xmlns:a14="http://schemas.microsoft.com/office/drawing/2010/main" val="0"/>
                      </a:ext>
                    </a:extLst>
                  </a:blip>
                  <a:srcRect/>
                  <a:stretch/>
                </pic:blipFill>
                <pic:spPr>
                  <a:xfrm>
                    <a:off x="0" y="0"/>
                    <a:ext cx="2878359" cy="620462"/>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14:paraId="1440ABDF" w14:textId="77777777" w:rsidP="00F44FA4" w:rsidR="00BF0175" w:rsidRDefault="00BF0175">
      <w:pPr>
        <w:spacing w:after="0" w:line="240" w:lineRule="auto"/>
      </w:pPr>
      <w:r>
        <w:separator/>
      </w:r>
    </w:p>
  </w:footnote>
  <w:footnote w:id="0" w:type="continuationSeparator">
    <w:p w14:paraId="0D2EA387" w14:textId="77777777" w:rsidP="00F44FA4" w:rsidR="00BF0175" w:rsidRDefault="00BF0175">
      <w:pPr>
        <w:spacing w:after="0" w:line="240" w:lineRule="auto"/>
      </w:pPr>
      <w:r>
        <w:continuationSeparator/>
      </w:r>
    </w:p>
  </w:footnote>
  <w:footnote w:id="1">
    <w:p w14:paraId="59C7E1DA" w14:textId="5E0F678E" w:rsidR="00526656" w:rsidRDefault="00526656">
      <w:pPr>
        <w:pStyle w:val="Notedebasdepage"/>
      </w:pPr>
      <w:r>
        <w:rPr>
          <w:rStyle w:val="Appelnotedebasdep"/>
        </w:rPr>
        <w:footnoteRef/>
      </w:r>
      <w:r>
        <w:t xml:space="preserve"> </w:t>
      </w:r>
      <w:r w:rsidRPr="00526656">
        <w:t>Correspondant aux 12 mois précédant le mois de versement de la prime de partage de la valeur</w:t>
      </w:r>
    </w:p>
  </w:footnote>
  <w:footnote w:id="2">
    <w:p w14:paraId="1DB8B3B1" w14:textId="292309F7" w:rsidP="00526656" w:rsidR="00526656" w:rsidRDefault="00526656">
      <w:pPr>
        <w:pStyle w:val="Notedebasdepage"/>
        <w:jc w:val="both"/>
      </w:pPr>
      <w:r>
        <w:rPr>
          <w:rStyle w:val="Appelnotedebasdep"/>
        </w:rPr>
        <w:footnoteRef/>
      </w:r>
      <w:r>
        <w:t xml:space="preserve"> </w:t>
      </w:r>
      <w:r w:rsidRPr="00526656">
        <w:t>En cas d’année incomplète et/ou de travail à temps partiel ou réduit, la rémunération annuelle et le salaire minimum de croissance sont recalculés sur la base d’une année complète et/ou en tenant compte du temps de travail.</w:t>
      </w:r>
    </w:p>
  </w:footnote>
  <w:footnote w:id="3">
    <w:p w14:paraId="60CF3101" w14:textId="6E67F6ED" w:rsidR="00526656" w:rsidRDefault="00526656">
      <w:pPr>
        <w:pStyle w:val="Notedebasdepage"/>
      </w:pPr>
      <w:r>
        <w:rPr>
          <w:rStyle w:val="Appelnotedebasdep"/>
        </w:rPr>
        <w:footnoteRef/>
      </w:r>
      <w:r>
        <w:t xml:space="preserve"> C’est-à-dire le pourcentage de présence et/ou d’activité par rapport à un temps complet.</w:t>
      </w:r>
    </w:p>
  </w:footnote>
</w:footnotes>
</file>

<file path=word/header1.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14:paraId="3BC4E5E1" w14:textId="2D5A49E7" w:rsidR="006F513F" w:rsidRDefault="006F513F">
    <w:pPr>
      <w:pStyle w:val="En-tte"/>
    </w:pPr>
  </w:p>
</w:hdr>
</file>

<file path=word/header2.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14:paraId="5BFEC4AC" w14:textId="7BD1F2B7" w:rsidR="00B15EC0" w:rsidRDefault="00B15EC0">
    <w:pPr>
      <w:pStyle w:val="En-tte"/>
    </w:pPr>
    <w:r w:rsidRPr="00F44FA4">
      <w:rPr>
        <w:rFonts w:ascii="BNPP Sans Light" w:hAnsi="BNPP Sans Light"/>
        <w:noProof/>
        <w:lang w:eastAsia="fr-FR"/>
      </w:rPr>
      <w:drawing>
        <wp:anchor allowOverlap="1" behindDoc="1" distB="0" distL="114300" distR="114300" distT="0" layoutInCell="1" locked="0" relativeHeight="251663360" simplePos="0" wp14:anchorId="6267872B" wp14:editId="01E52B16">
          <wp:simplePos x="0" y="0"/>
          <wp:positionH relativeFrom="margin">
            <wp:align>left</wp:align>
          </wp:positionH>
          <wp:positionV relativeFrom="page">
            <wp:posOffset>277495</wp:posOffset>
          </wp:positionV>
          <wp:extent cx="2171520" cy="468000"/>
          <wp:effectExtent b="0" l="0" r="0" t="0"/>
          <wp:wrapNone/>
          <wp:docPr id="10" name="Image 10">
            <a:extLst xmlns:a="http://schemas.openxmlformats.org/drawingml/2006/main">
              <a:ext uri="{FF2B5EF4-FFF2-40B4-BE49-F238E27FC236}">
                <a16:creationId xmlns:a16="http://schemas.microsoft.com/office/drawing/2014/main"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id="{C089D7E4-53EC-D548-BD0D-10D3FC7D7E9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6">
                    <a:extLst>
                      <a:ext uri="{FF2B5EF4-FFF2-40B4-BE49-F238E27FC236}">
                        <a16:creationId xmlns:a16="http://schemas.microsoft.com/office/drawing/2014/main"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id="{C089D7E4-53EC-D548-BD0D-10D3FC7D7E92}"/>
                      </a:ext>
                    </a:extLst>
                  </pic:cNvPr>
                  <pic:cNvPicPr>
                    <a:picLocks noChangeAspect="1"/>
                  </pic:cNvPicPr>
                </pic:nvPicPr>
                <pic:blipFill>
                  <a:blip cstate="print" r:embed="rId1">
                    <a:extLst>
                      <a:ext uri="{28A0092B-C50C-407E-A947-70E740481C1C}">
                        <a14:useLocalDpi xmlns:a14="http://schemas.microsoft.com/office/drawing/2010/main" val="0"/>
                      </a:ext>
                    </a:extLst>
                  </a:blip>
                  <a:srcRect/>
                  <a:stretch/>
                </pic:blipFill>
                <pic:spPr>
                  <a:xfrm>
                    <a:off x="0" y="0"/>
                    <a:ext cx="2171520" cy="46800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14:paraId="64048A76" w14:textId="79A7970A" w:rsidR="006F513F" w:rsidRDefault="006F513F">
    <w:pPr>
      <w:pStyle w:val="En-tte"/>
    </w:pPr>
  </w:p>
</w:hdr>
</file>

<file path=word/numbering.xml><?xml version="1.0" encoding="utf-8"?>
<w:numbering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abstractNum w:abstractNumId="0">
    <w:nsid w:val="0F043A1E"/>
    <w:multiLevelType w:val="hybridMultilevel"/>
    <w:tmpl w:val="B8345BB0"/>
    <w:lvl w:ilvl="0" w:tplc="040C000B">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1">
    <w:nsid w:val="1D200ECD"/>
    <w:multiLevelType w:val="hybridMultilevel"/>
    <w:tmpl w:val="06462B72"/>
    <w:lvl w:ilvl="0" w:tplc="040C000F">
      <w:start w:val="1"/>
      <w:numFmt w:val="decimal"/>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abstractNumId="2">
    <w:nsid w:val="1F9D79FE"/>
    <w:multiLevelType w:val="hybridMultilevel"/>
    <w:tmpl w:val="20887412"/>
    <w:lvl w:ilvl="0" w:tplc="E63E848A">
      <w:start w:val="1"/>
      <w:numFmt w:val="bullet"/>
      <w:lvlText w:val="-"/>
      <w:lvlJc w:val="left"/>
      <w:pPr>
        <w:ind w:hanging="360" w:left="1776"/>
      </w:pPr>
      <w:rPr>
        <w:rFonts w:ascii="Calibri" w:cstheme="minorBidi" w:eastAsiaTheme="minorHAnsi" w:hAnsi="Calibri" w:hint="default"/>
        <w:b w:val="0"/>
      </w:rPr>
    </w:lvl>
    <w:lvl w:ilvl="1" w:tplc="040C0003">
      <w:start w:val="1"/>
      <w:numFmt w:val="bullet"/>
      <w:lvlText w:val="o"/>
      <w:lvlJc w:val="left"/>
      <w:pPr>
        <w:ind w:hanging="360" w:left="2496"/>
      </w:pPr>
      <w:rPr>
        <w:rFonts w:ascii="Courier New" w:cs="Courier New" w:hAnsi="Courier New" w:hint="default"/>
      </w:rPr>
    </w:lvl>
    <w:lvl w:ilvl="2" w:tentative="1" w:tplc="040C0005">
      <w:start w:val="1"/>
      <w:numFmt w:val="bullet"/>
      <w:lvlText w:val=""/>
      <w:lvlJc w:val="left"/>
      <w:pPr>
        <w:ind w:hanging="360" w:left="3216"/>
      </w:pPr>
      <w:rPr>
        <w:rFonts w:ascii="Wingdings" w:hAnsi="Wingdings" w:hint="default"/>
      </w:rPr>
    </w:lvl>
    <w:lvl w:ilvl="3" w:tentative="1" w:tplc="040C0001">
      <w:start w:val="1"/>
      <w:numFmt w:val="bullet"/>
      <w:lvlText w:val=""/>
      <w:lvlJc w:val="left"/>
      <w:pPr>
        <w:ind w:hanging="360" w:left="3936"/>
      </w:pPr>
      <w:rPr>
        <w:rFonts w:ascii="Symbol" w:hAnsi="Symbol" w:hint="default"/>
      </w:rPr>
    </w:lvl>
    <w:lvl w:ilvl="4" w:tentative="1" w:tplc="040C0003">
      <w:start w:val="1"/>
      <w:numFmt w:val="bullet"/>
      <w:lvlText w:val="o"/>
      <w:lvlJc w:val="left"/>
      <w:pPr>
        <w:ind w:hanging="360" w:left="4656"/>
      </w:pPr>
      <w:rPr>
        <w:rFonts w:ascii="Courier New" w:cs="Courier New" w:hAnsi="Courier New" w:hint="default"/>
      </w:rPr>
    </w:lvl>
    <w:lvl w:ilvl="5" w:tentative="1" w:tplc="040C0005">
      <w:start w:val="1"/>
      <w:numFmt w:val="bullet"/>
      <w:lvlText w:val=""/>
      <w:lvlJc w:val="left"/>
      <w:pPr>
        <w:ind w:hanging="360" w:left="5376"/>
      </w:pPr>
      <w:rPr>
        <w:rFonts w:ascii="Wingdings" w:hAnsi="Wingdings" w:hint="default"/>
      </w:rPr>
    </w:lvl>
    <w:lvl w:ilvl="6" w:tentative="1" w:tplc="040C0001">
      <w:start w:val="1"/>
      <w:numFmt w:val="bullet"/>
      <w:lvlText w:val=""/>
      <w:lvlJc w:val="left"/>
      <w:pPr>
        <w:ind w:hanging="360" w:left="6096"/>
      </w:pPr>
      <w:rPr>
        <w:rFonts w:ascii="Symbol" w:hAnsi="Symbol" w:hint="default"/>
      </w:rPr>
    </w:lvl>
    <w:lvl w:ilvl="7" w:tentative="1" w:tplc="040C0003">
      <w:start w:val="1"/>
      <w:numFmt w:val="bullet"/>
      <w:lvlText w:val="o"/>
      <w:lvlJc w:val="left"/>
      <w:pPr>
        <w:ind w:hanging="360" w:left="6816"/>
      </w:pPr>
      <w:rPr>
        <w:rFonts w:ascii="Courier New" w:cs="Courier New" w:hAnsi="Courier New" w:hint="default"/>
      </w:rPr>
    </w:lvl>
    <w:lvl w:ilvl="8" w:tentative="1" w:tplc="040C0005">
      <w:start w:val="1"/>
      <w:numFmt w:val="bullet"/>
      <w:lvlText w:val=""/>
      <w:lvlJc w:val="left"/>
      <w:pPr>
        <w:ind w:hanging="360" w:left="7536"/>
      </w:pPr>
      <w:rPr>
        <w:rFonts w:ascii="Wingdings" w:hAnsi="Wingdings" w:hint="default"/>
      </w:rPr>
    </w:lvl>
  </w:abstractNum>
  <w:abstractNum w:abstractNumId="3">
    <w:nsid w:val="234C4F2B"/>
    <w:multiLevelType w:val="hybridMultilevel"/>
    <w:tmpl w:val="A0B83B50"/>
    <w:lvl w:ilvl="0" w:tplc="B664C2AA">
      <w:start w:val="1"/>
      <w:numFmt w:val="decimal"/>
      <w:lvlText w:val="%1."/>
      <w:lvlJc w:val="left"/>
      <w:pPr>
        <w:ind w:hanging="360" w:left="1428"/>
      </w:pPr>
      <w:rPr>
        <w:b/>
        <w:bCs/>
        <w:color w:themeColor="accent1" w:val="97D2B4"/>
        <w:sz w:val="24"/>
        <w:szCs w:val="24"/>
      </w:rPr>
    </w:lvl>
    <w:lvl w:ilvl="1" w:tentative="1" w:tplc="040C0019">
      <w:start w:val="1"/>
      <w:numFmt w:val="lowerLetter"/>
      <w:lvlText w:val="%2."/>
      <w:lvlJc w:val="left"/>
      <w:pPr>
        <w:ind w:hanging="360" w:left="2148"/>
      </w:pPr>
    </w:lvl>
    <w:lvl w:ilvl="2" w:tentative="1" w:tplc="040C001B">
      <w:start w:val="1"/>
      <w:numFmt w:val="lowerRoman"/>
      <w:lvlText w:val="%3."/>
      <w:lvlJc w:val="right"/>
      <w:pPr>
        <w:ind w:hanging="180" w:left="2868"/>
      </w:pPr>
    </w:lvl>
    <w:lvl w:ilvl="3" w:tentative="1" w:tplc="040C000F">
      <w:start w:val="1"/>
      <w:numFmt w:val="decimal"/>
      <w:lvlText w:val="%4."/>
      <w:lvlJc w:val="left"/>
      <w:pPr>
        <w:ind w:hanging="360" w:left="3588"/>
      </w:pPr>
    </w:lvl>
    <w:lvl w:ilvl="4" w:tentative="1" w:tplc="040C0019">
      <w:start w:val="1"/>
      <w:numFmt w:val="lowerLetter"/>
      <w:lvlText w:val="%5."/>
      <w:lvlJc w:val="left"/>
      <w:pPr>
        <w:ind w:hanging="360" w:left="4308"/>
      </w:pPr>
    </w:lvl>
    <w:lvl w:ilvl="5" w:tentative="1" w:tplc="040C001B">
      <w:start w:val="1"/>
      <w:numFmt w:val="lowerRoman"/>
      <w:lvlText w:val="%6."/>
      <w:lvlJc w:val="right"/>
      <w:pPr>
        <w:ind w:hanging="180" w:left="5028"/>
      </w:pPr>
    </w:lvl>
    <w:lvl w:ilvl="6" w:tentative="1" w:tplc="040C000F">
      <w:start w:val="1"/>
      <w:numFmt w:val="decimal"/>
      <w:lvlText w:val="%7."/>
      <w:lvlJc w:val="left"/>
      <w:pPr>
        <w:ind w:hanging="360" w:left="5748"/>
      </w:pPr>
    </w:lvl>
    <w:lvl w:ilvl="7" w:tentative="1" w:tplc="040C0019">
      <w:start w:val="1"/>
      <w:numFmt w:val="lowerLetter"/>
      <w:lvlText w:val="%8."/>
      <w:lvlJc w:val="left"/>
      <w:pPr>
        <w:ind w:hanging="360" w:left="6468"/>
      </w:pPr>
    </w:lvl>
    <w:lvl w:ilvl="8" w:tentative="1" w:tplc="040C001B">
      <w:start w:val="1"/>
      <w:numFmt w:val="lowerRoman"/>
      <w:lvlText w:val="%9."/>
      <w:lvlJc w:val="right"/>
      <w:pPr>
        <w:ind w:hanging="180" w:left="7188"/>
      </w:pPr>
    </w:lvl>
  </w:abstractNum>
  <w:abstractNum w:abstractNumId="4">
    <w:nsid w:val="30031029"/>
    <w:multiLevelType w:val="hybridMultilevel"/>
    <w:tmpl w:val="A44465D6"/>
    <w:lvl w:ilvl="0" w:tplc="27E858A6">
      <w:start w:val="1"/>
      <w:numFmt w:val="decimal"/>
      <w:pStyle w:val="Titre3"/>
      <w:lvlText w:val="%1."/>
      <w:lvlJc w:val="left"/>
      <w:pPr>
        <w:ind w:hanging="360" w:left="720"/>
      </w:pPr>
      <w:rPr>
        <w:b w:val="0"/>
        <w:bCs w:val="0"/>
        <w:color w:val="00B050"/>
      </w:rPr>
    </w:lvl>
    <w:lvl w:ilvl="1" w:tplc="040C0019">
      <w:start w:val="1"/>
      <w:numFmt w:val="lowerLetter"/>
      <w:lvlText w:val="%2."/>
      <w:lvlJc w:val="left"/>
      <w:pPr>
        <w:ind w:hanging="360" w:left="1440"/>
      </w:pPr>
    </w:lvl>
    <w:lvl w:ilvl="2" w:tplc="040C000F">
      <w:start w:val="1"/>
      <w:numFmt w:val="decimal"/>
      <w:lvlText w:val="%3."/>
      <w:lvlJc w:val="left"/>
      <w:pPr>
        <w:ind w:hanging="180" w:left="2160"/>
      </w:pPr>
      <w:rPr>
        <w:color w:val="auto"/>
      </w:rPr>
    </w:lvl>
    <w:lvl w:ilvl="3"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abstractNumId="5">
    <w:nsid w:val="42FD275C"/>
    <w:multiLevelType w:val="multilevel"/>
    <w:tmpl w:val="7A2C6AC2"/>
    <w:lvl w:ilvl="0">
      <w:start w:val="1"/>
      <w:numFmt w:val="decimal"/>
      <w:lvlText w:val="%1."/>
      <w:lvlJc w:val="left"/>
      <w:pPr>
        <w:ind w:hanging="360" w:left="360"/>
      </w:pPr>
      <w:rPr>
        <w:rFonts w:hint="default"/>
      </w:rPr>
    </w:lvl>
    <w:lvl w:ilvl="1">
      <w:start w:val="1"/>
      <w:numFmt w:val="decimal"/>
      <w:lvlText w:val="%1.%2."/>
      <w:lvlJc w:val="left"/>
      <w:pPr>
        <w:ind w:hanging="360" w:left="360"/>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720" w:left="720"/>
      </w:pPr>
      <w:rPr>
        <w:rFonts w:hint="default"/>
      </w:rPr>
    </w:lvl>
    <w:lvl w:ilvl="4">
      <w:start w:val="1"/>
      <w:numFmt w:val="decimal"/>
      <w:lvlText w:val="%1.%2.%3.%4.%5."/>
      <w:lvlJc w:val="left"/>
      <w:pPr>
        <w:ind w:hanging="1080" w:left="1080"/>
      </w:pPr>
      <w:rPr>
        <w:rFonts w:hint="default"/>
      </w:rPr>
    </w:lvl>
    <w:lvl w:ilvl="5">
      <w:start w:val="1"/>
      <w:numFmt w:val="decimal"/>
      <w:lvlText w:val="%1.%2.%3.%4.%5.%6."/>
      <w:lvlJc w:val="left"/>
      <w:pPr>
        <w:ind w:hanging="1080" w:left="1080"/>
      </w:pPr>
      <w:rPr>
        <w:rFonts w:hint="default"/>
      </w:rPr>
    </w:lvl>
    <w:lvl w:ilvl="6">
      <w:start w:val="1"/>
      <w:numFmt w:val="decimal"/>
      <w:lvlText w:val="%1.%2.%3.%4.%5.%6.%7."/>
      <w:lvlJc w:val="left"/>
      <w:pPr>
        <w:ind w:hanging="1440" w:left="1440"/>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800" w:left="1800"/>
      </w:pPr>
      <w:rPr>
        <w:rFonts w:hint="default"/>
      </w:rPr>
    </w:lvl>
  </w:abstractNum>
  <w:abstractNum w:abstractNumId="6">
    <w:nsid w:val="45EB7D1D"/>
    <w:multiLevelType w:val="hybridMultilevel"/>
    <w:tmpl w:val="8DDA905E"/>
    <w:lvl w:ilvl="0" w:tplc="86A028FA">
      <w:start w:val="1"/>
      <w:numFmt w:val="upperRoman"/>
      <w:lvlText w:val="%1."/>
      <w:lvlJc w:val="left"/>
      <w:pPr>
        <w:ind w:hanging="720" w:left="108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abstractNumId="7">
    <w:nsid w:val="486936FE"/>
    <w:multiLevelType w:val="hybridMultilevel"/>
    <w:tmpl w:val="94FE73F4"/>
    <w:lvl w:ilvl="0" w:tplc="040C000B">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8">
    <w:nsid w:val="4E086051"/>
    <w:multiLevelType w:val="hybridMultilevel"/>
    <w:tmpl w:val="8C74C24E"/>
    <w:lvl w:ilvl="0" w:tplc="040C0005">
      <w:start w:val="1"/>
      <w:numFmt w:val="bullet"/>
      <w:lvlText w:val=""/>
      <w:lvlJc w:val="left"/>
      <w:pPr>
        <w:ind w:hanging="360" w:left="720"/>
      </w:pPr>
      <w:rPr>
        <w:rFonts w:ascii="Wingdings" w:hAnsi="Wingdings" w:hint="default"/>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9">
    <w:nsid w:val="520B334C"/>
    <w:multiLevelType w:val="hybridMultilevel"/>
    <w:tmpl w:val="B4CC6596"/>
    <w:lvl w:ilvl="0" w:tplc="C2AE3406">
      <w:start w:val="1"/>
      <w:numFmt w:val="upperRoman"/>
      <w:pStyle w:val="Titre2"/>
      <w:lvlText w:val="%1."/>
      <w:lvlJc w:val="left"/>
      <w:pPr>
        <w:ind w:hanging="720" w:left="108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abstractNumId="10">
    <w:nsid w:val="5ED67B65"/>
    <w:multiLevelType w:val="hybridMultilevel"/>
    <w:tmpl w:val="F36050D0"/>
    <w:lvl w:ilvl="0" w:tplc="B9C2F5BA">
      <w:start w:val="1"/>
      <w:numFmt w:val="upperRoman"/>
      <w:lvlText w:val="%1."/>
      <w:lvlJc w:val="left"/>
      <w:pPr>
        <w:ind w:hanging="720" w:left="108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abstractNumId="11">
    <w:nsid w:val="66F760F4"/>
    <w:multiLevelType w:val="hybridMultilevel"/>
    <w:tmpl w:val="F7540084"/>
    <w:lvl w:ilvl="0" w:tplc="2C3ED228">
      <w:start w:val="6"/>
      <w:numFmt w:val="bullet"/>
      <w:lvlText w:val="-"/>
      <w:lvlJc w:val="left"/>
      <w:pPr>
        <w:ind w:hanging="360" w:left="720"/>
      </w:pPr>
      <w:rPr>
        <w:rFonts w:ascii="Calibri" w:cs="Calibri" w:eastAsiaTheme="minorHAnsi"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12">
    <w:nsid w:val="68D45995"/>
    <w:multiLevelType w:val="hybridMultilevel"/>
    <w:tmpl w:val="EDB02B12"/>
    <w:lvl w:ilvl="0" w:tplc="040C0001">
      <w:start w:val="1"/>
      <w:numFmt w:val="bullet"/>
      <w:lvlText w:val=""/>
      <w:lvlJc w:val="left"/>
      <w:pPr>
        <w:ind w:hanging="360" w:left="1428"/>
      </w:pPr>
      <w:rPr>
        <w:rFonts w:ascii="Symbol" w:hAnsi="Symbol" w:hint="default"/>
      </w:rPr>
    </w:lvl>
    <w:lvl w:ilvl="1" w:tentative="1" w:tplc="040C0003">
      <w:start w:val="1"/>
      <w:numFmt w:val="bullet"/>
      <w:lvlText w:val="o"/>
      <w:lvlJc w:val="left"/>
      <w:pPr>
        <w:ind w:hanging="360" w:left="2148"/>
      </w:pPr>
      <w:rPr>
        <w:rFonts w:ascii="Courier New" w:cs="Courier New" w:hAnsi="Courier New" w:hint="default"/>
      </w:rPr>
    </w:lvl>
    <w:lvl w:ilvl="2" w:tentative="1" w:tplc="040C0005">
      <w:start w:val="1"/>
      <w:numFmt w:val="bullet"/>
      <w:lvlText w:val=""/>
      <w:lvlJc w:val="left"/>
      <w:pPr>
        <w:ind w:hanging="360" w:left="2868"/>
      </w:pPr>
      <w:rPr>
        <w:rFonts w:ascii="Wingdings" w:hAnsi="Wingdings" w:hint="default"/>
      </w:rPr>
    </w:lvl>
    <w:lvl w:ilvl="3" w:tentative="1" w:tplc="040C0001">
      <w:start w:val="1"/>
      <w:numFmt w:val="bullet"/>
      <w:lvlText w:val=""/>
      <w:lvlJc w:val="left"/>
      <w:pPr>
        <w:ind w:hanging="360" w:left="3588"/>
      </w:pPr>
      <w:rPr>
        <w:rFonts w:ascii="Symbol" w:hAnsi="Symbol" w:hint="default"/>
      </w:rPr>
    </w:lvl>
    <w:lvl w:ilvl="4" w:tentative="1" w:tplc="040C0003">
      <w:start w:val="1"/>
      <w:numFmt w:val="bullet"/>
      <w:lvlText w:val="o"/>
      <w:lvlJc w:val="left"/>
      <w:pPr>
        <w:ind w:hanging="360" w:left="4308"/>
      </w:pPr>
      <w:rPr>
        <w:rFonts w:ascii="Courier New" w:cs="Courier New" w:hAnsi="Courier New" w:hint="default"/>
      </w:rPr>
    </w:lvl>
    <w:lvl w:ilvl="5" w:tentative="1" w:tplc="040C0005">
      <w:start w:val="1"/>
      <w:numFmt w:val="bullet"/>
      <w:lvlText w:val=""/>
      <w:lvlJc w:val="left"/>
      <w:pPr>
        <w:ind w:hanging="360" w:left="5028"/>
      </w:pPr>
      <w:rPr>
        <w:rFonts w:ascii="Wingdings" w:hAnsi="Wingdings" w:hint="default"/>
      </w:rPr>
    </w:lvl>
    <w:lvl w:ilvl="6" w:tentative="1" w:tplc="040C0001">
      <w:start w:val="1"/>
      <w:numFmt w:val="bullet"/>
      <w:lvlText w:val=""/>
      <w:lvlJc w:val="left"/>
      <w:pPr>
        <w:ind w:hanging="360" w:left="5748"/>
      </w:pPr>
      <w:rPr>
        <w:rFonts w:ascii="Symbol" w:hAnsi="Symbol" w:hint="default"/>
      </w:rPr>
    </w:lvl>
    <w:lvl w:ilvl="7" w:tentative="1" w:tplc="040C0003">
      <w:start w:val="1"/>
      <w:numFmt w:val="bullet"/>
      <w:lvlText w:val="o"/>
      <w:lvlJc w:val="left"/>
      <w:pPr>
        <w:ind w:hanging="360" w:left="6468"/>
      </w:pPr>
      <w:rPr>
        <w:rFonts w:ascii="Courier New" w:cs="Courier New" w:hAnsi="Courier New" w:hint="default"/>
      </w:rPr>
    </w:lvl>
    <w:lvl w:ilvl="8" w:tentative="1" w:tplc="040C0005">
      <w:start w:val="1"/>
      <w:numFmt w:val="bullet"/>
      <w:lvlText w:val=""/>
      <w:lvlJc w:val="left"/>
      <w:pPr>
        <w:ind w:hanging="360" w:left="7188"/>
      </w:pPr>
      <w:rPr>
        <w:rFonts w:ascii="Wingdings" w:hAnsi="Wingdings" w:hint="default"/>
      </w:rPr>
    </w:lvl>
  </w:abstractNum>
  <w:abstractNum w:abstractNumId="13">
    <w:nsid w:val="769F01FF"/>
    <w:multiLevelType w:val="hybridMultilevel"/>
    <w:tmpl w:val="9CE693CC"/>
    <w:lvl w:ilvl="0" w:tplc="040C0013">
      <w:start w:val="1"/>
      <w:numFmt w:val="upperRoman"/>
      <w:lvlText w:val="%1."/>
      <w:lvlJc w:val="right"/>
      <w:pPr>
        <w:ind w:hanging="360" w:left="720"/>
      </w:p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num w:numId="1">
    <w:abstractNumId w:val="11"/>
  </w:num>
  <w:num w:numId="2">
    <w:abstractNumId w:val="8"/>
  </w:num>
  <w:num w:numId="3">
    <w:abstractNumId w:val="10"/>
  </w:num>
  <w:num w:numId="4">
    <w:abstractNumId w:val="4"/>
  </w:num>
  <w:num w:numId="5">
    <w:abstractNumId w:val="12"/>
  </w:num>
  <w:num w:numId="6">
    <w:abstractNumId w:val="13"/>
  </w:num>
  <w:num w:numId="7">
    <w:abstractNumId w:val="3"/>
  </w:num>
  <w:num w:numId="8">
    <w:abstractNumId w:val="2"/>
  </w:num>
  <w:num w:numId="9">
    <w:abstractNumId w:val="9"/>
  </w:num>
  <w:num w:numId="10">
    <w:abstractNumId w:val="7"/>
  </w:num>
  <w:num w:numId="11">
    <w:abstractNumId w:val="4"/>
  </w:num>
  <w:num w:numId="12">
    <w:abstractNumId w:val="4"/>
  </w:num>
  <w:num w:numId="13">
    <w:abstractNumId w:val="9"/>
  </w:num>
  <w:num w:numId="14">
    <w:abstractNumId w:val="9"/>
  </w:num>
  <w:num w:numId="15">
    <w:abstractNumId w:val="9"/>
  </w:num>
  <w:num w:numId="16">
    <w:abstractNumId w:val="9"/>
  </w:num>
  <w:num w:numId="17">
    <w:abstractNumId w:val="6"/>
  </w:num>
  <w:num w:numId="18">
    <w:abstractNumId w:val="0"/>
  </w:num>
  <w:num w:numId="19">
    <w:abstractNumId w:val="1"/>
  </w:num>
  <w:num w:numId="20">
    <w:abstractNumId w:val="5"/>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mc:Ignorable="w14">
  <w:zoom w:percent="100"/>
  <w:proofState w:grammar="clean" w:spelling="clean"/>
  <w:defaultTabStop w:val="708"/>
  <w:hyphenationZone w:val="425"/>
  <w:characterSpacingControl w:val="doNotCompress"/>
  <w:hdrShapeDefaults>
    <o:shapedefaults spidmax="2049" v:ext="edi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4FA4"/>
    <w:rsid w:val="00044771"/>
    <w:rsid w:val="000874A7"/>
    <w:rsid w:val="000D41F6"/>
    <w:rsid w:val="000F19CB"/>
    <w:rsid w:val="00115BA6"/>
    <w:rsid w:val="00133616"/>
    <w:rsid w:val="00181185"/>
    <w:rsid w:val="001E2497"/>
    <w:rsid w:val="00254137"/>
    <w:rsid w:val="0029382F"/>
    <w:rsid w:val="002A61BC"/>
    <w:rsid w:val="00352946"/>
    <w:rsid w:val="0038349C"/>
    <w:rsid w:val="00387C00"/>
    <w:rsid w:val="003D6E56"/>
    <w:rsid w:val="003E3B33"/>
    <w:rsid w:val="004046E3"/>
    <w:rsid w:val="00407CB2"/>
    <w:rsid w:val="00473A16"/>
    <w:rsid w:val="0047454E"/>
    <w:rsid w:val="00475C50"/>
    <w:rsid w:val="00526656"/>
    <w:rsid w:val="005739F7"/>
    <w:rsid w:val="00576A04"/>
    <w:rsid w:val="0058457F"/>
    <w:rsid w:val="006350DB"/>
    <w:rsid w:val="006F513F"/>
    <w:rsid w:val="0072442D"/>
    <w:rsid w:val="007A7EA8"/>
    <w:rsid w:val="007B0348"/>
    <w:rsid w:val="00806F23"/>
    <w:rsid w:val="00816A93"/>
    <w:rsid w:val="008312B1"/>
    <w:rsid w:val="008979EA"/>
    <w:rsid w:val="00920DC3"/>
    <w:rsid w:val="00946D8F"/>
    <w:rsid w:val="00977479"/>
    <w:rsid w:val="009A18BF"/>
    <w:rsid w:val="009B257B"/>
    <w:rsid w:val="009D0B89"/>
    <w:rsid w:val="009D66A3"/>
    <w:rsid w:val="00A107FF"/>
    <w:rsid w:val="00A24175"/>
    <w:rsid w:val="00A609ED"/>
    <w:rsid w:val="00A82F1E"/>
    <w:rsid w:val="00B0735E"/>
    <w:rsid w:val="00B15EC0"/>
    <w:rsid w:val="00B607EF"/>
    <w:rsid w:val="00B653C1"/>
    <w:rsid w:val="00BC20AA"/>
    <w:rsid w:val="00BF0175"/>
    <w:rsid w:val="00BF0381"/>
    <w:rsid w:val="00C059F8"/>
    <w:rsid w:val="00D94619"/>
    <w:rsid w:val="00E042A9"/>
    <w:rsid w:val="00E12911"/>
    <w:rsid w:val="00E32C98"/>
    <w:rsid w:val="00E96E28"/>
    <w:rsid w:val="00EF48A5"/>
    <w:rsid w:val="00F055D1"/>
    <w:rsid w:val="00F44FA4"/>
    <w:rsid w:val="00F535F1"/>
    <w:rsid w:val="00FA64FC"/>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14:docId w14:val="0648C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cstheme="minorBidi" w:eastAsiaTheme="minorHAnsi" w:hAnsiTheme="minorHAnsi"/>
        <w:sz w:val="22"/>
        <w:szCs w:val="22"/>
        <w:lang w:bidi="ar-SA" w:eastAsia="en-US" w:val="fr-FR"/>
      </w:rPr>
    </w:rPrDefault>
    <w:pPrDefault>
      <w:pPr>
        <w:spacing w:after="160" w:line="259" w:lineRule="auto"/>
      </w:pPr>
    </w:pPrDefault>
  </w:docDefaults>
  <w:latentStyles w:count="267"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3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Normal" w:type="paragraph">
    <w:name w:val="Normal"/>
    <w:qFormat/>
  </w:style>
  <w:style w:styleId="Titre1" w:type="paragraph">
    <w:name w:val="heading 1"/>
    <w:basedOn w:val="Normal"/>
    <w:next w:val="Normal"/>
    <w:link w:val="Titre1Car"/>
    <w:uiPriority w:val="9"/>
    <w:qFormat/>
    <w:rsid w:val="004046E3"/>
    <w:pPr>
      <w:keepNext/>
      <w:keepLines/>
      <w:pBdr>
        <w:bottom w:color="97D2B4" w:space="1" w:sz="8" w:val="single"/>
      </w:pBdr>
      <w:spacing w:after="0" w:before="240"/>
      <w:outlineLvl w:val="0"/>
    </w:pPr>
    <w:rPr>
      <w:rFonts w:ascii="BNPP Expanded Sans" w:cstheme="majorBidi" w:eastAsiaTheme="majorEastAsia" w:hAnsi="BNPP Expanded Sans"/>
      <w:color w:themeColor="background1" w:val="00A76D"/>
      <w:sz w:val="24"/>
      <w:szCs w:val="24"/>
    </w:rPr>
  </w:style>
  <w:style w:styleId="Titre2" w:type="paragraph">
    <w:name w:val="heading 2"/>
    <w:basedOn w:val="Normal"/>
    <w:next w:val="Normal"/>
    <w:link w:val="Titre2Car"/>
    <w:uiPriority w:val="9"/>
    <w:unhideWhenUsed/>
    <w:qFormat/>
    <w:rsid w:val="004046E3"/>
    <w:pPr>
      <w:keepNext/>
      <w:keepLines/>
      <w:numPr>
        <w:numId w:val="9"/>
      </w:numPr>
      <w:spacing w:after="120" w:before="40"/>
      <w:ind w:hanging="425" w:left="425"/>
      <w:outlineLvl w:val="1"/>
    </w:pPr>
    <w:rPr>
      <w:rFonts w:ascii="BNPP Sans Light" w:cstheme="majorBidi" w:eastAsiaTheme="majorEastAsia" w:hAnsi="BNPP Sans Light"/>
      <w:b/>
      <w:color w:themeColor="background1" w:val="00A76D"/>
      <w:szCs w:val="26"/>
    </w:rPr>
  </w:style>
  <w:style w:styleId="Titre3" w:type="paragraph">
    <w:name w:val="heading 3"/>
    <w:basedOn w:val="Normal"/>
    <w:next w:val="Normal"/>
    <w:link w:val="Titre3Car"/>
    <w:uiPriority w:val="9"/>
    <w:unhideWhenUsed/>
    <w:qFormat/>
    <w:rsid w:val="004046E3"/>
    <w:pPr>
      <w:keepNext/>
      <w:keepLines/>
      <w:numPr>
        <w:numId w:val="4"/>
      </w:numPr>
      <w:spacing w:after="120" w:before="40"/>
      <w:ind w:hanging="357" w:left="709"/>
      <w:outlineLvl w:val="2"/>
    </w:pPr>
    <w:rPr>
      <w:rFonts w:asciiTheme="majorHAnsi" w:cstheme="majorHAnsi" w:eastAsiaTheme="majorEastAsia" w:hAnsiTheme="majorHAnsi"/>
      <w:i/>
      <w:iCs/>
      <w:color w:themeColor="background1" w:val="00A76D"/>
      <w:sz w:val="24"/>
      <w:szCs w:val="24"/>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Paragraphedeliste" w:type="paragraph">
    <w:name w:val="List Paragraph"/>
    <w:basedOn w:val="Normal"/>
    <w:link w:val="ParagraphedelisteCar"/>
    <w:uiPriority w:val="34"/>
    <w:qFormat/>
    <w:rsid w:val="00F44FA4"/>
    <w:pPr>
      <w:ind w:left="720"/>
      <w:contextualSpacing/>
    </w:pPr>
  </w:style>
  <w:style w:styleId="En-tte" w:type="paragraph">
    <w:name w:val="header"/>
    <w:basedOn w:val="Normal"/>
    <w:link w:val="En-tteCar"/>
    <w:uiPriority w:val="99"/>
    <w:unhideWhenUsed/>
    <w:rsid w:val="00F44FA4"/>
    <w:pPr>
      <w:tabs>
        <w:tab w:pos="4536" w:val="center"/>
        <w:tab w:pos="9072" w:val="right"/>
      </w:tabs>
      <w:spacing w:after="0" w:line="240" w:lineRule="auto"/>
    </w:pPr>
  </w:style>
  <w:style w:customStyle="1" w:styleId="En-tteCar" w:type="character">
    <w:name w:val="En-tête Car"/>
    <w:basedOn w:val="Policepardfaut"/>
    <w:link w:val="En-tte"/>
    <w:uiPriority w:val="99"/>
    <w:rsid w:val="00F44FA4"/>
  </w:style>
  <w:style w:styleId="Pieddepage" w:type="paragraph">
    <w:name w:val="footer"/>
    <w:basedOn w:val="Normal"/>
    <w:link w:val="PieddepageCar"/>
    <w:uiPriority w:val="99"/>
    <w:unhideWhenUsed/>
    <w:rsid w:val="00F44FA4"/>
    <w:pPr>
      <w:tabs>
        <w:tab w:pos="4536" w:val="center"/>
        <w:tab w:pos="9072" w:val="right"/>
      </w:tabs>
      <w:spacing w:after="0" w:line="240" w:lineRule="auto"/>
    </w:pPr>
  </w:style>
  <w:style w:customStyle="1" w:styleId="PieddepageCar" w:type="character">
    <w:name w:val="Pied de page Car"/>
    <w:basedOn w:val="Policepardfaut"/>
    <w:link w:val="Pieddepage"/>
    <w:uiPriority w:val="99"/>
    <w:rsid w:val="00F44FA4"/>
  </w:style>
  <w:style w:customStyle="1" w:styleId="Titre1Car" w:type="character">
    <w:name w:val="Titre 1 Car"/>
    <w:basedOn w:val="Policepardfaut"/>
    <w:link w:val="Titre1"/>
    <w:uiPriority w:val="9"/>
    <w:rsid w:val="004046E3"/>
    <w:rPr>
      <w:rFonts w:ascii="BNPP Expanded Sans" w:cstheme="majorBidi" w:eastAsiaTheme="majorEastAsia" w:hAnsi="BNPP Expanded Sans"/>
      <w:color w:themeColor="background1" w:val="00A76D"/>
      <w:sz w:val="24"/>
      <w:szCs w:val="24"/>
    </w:rPr>
  </w:style>
  <w:style w:styleId="Sansinterligne" w:type="paragraph">
    <w:name w:val="No Spacing"/>
    <w:uiPriority w:val="1"/>
    <w:qFormat/>
    <w:rsid w:val="008312B1"/>
    <w:pPr>
      <w:spacing w:after="0" w:line="240" w:lineRule="auto"/>
    </w:pPr>
  </w:style>
  <w:style w:styleId="Grilledutableau" w:type="table">
    <w:name w:val="Table Grid"/>
    <w:basedOn w:val="TableauNormal"/>
    <w:uiPriority w:val="39"/>
    <w:rsid w:val="008312B1"/>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Titre2Car" w:type="character">
    <w:name w:val="Titre 2 Car"/>
    <w:basedOn w:val="Policepardfaut"/>
    <w:link w:val="Titre2"/>
    <w:uiPriority w:val="9"/>
    <w:rsid w:val="004046E3"/>
    <w:rPr>
      <w:rFonts w:ascii="BNPP Sans Light" w:cstheme="majorBidi" w:eastAsiaTheme="majorEastAsia" w:hAnsi="BNPP Sans Light"/>
      <w:b/>
      <w:color w:themeColor="background1" w:val="00A76D"/>
      <w:szCs w:val="26"/>
    </w:rPr>
  </w:style>
  <w:style w:customStyle="1" w:styleId="ParagraphedelisteCar" w:type="character">
    <w:name w:val="Paragraphe de liste Car"/>
    <w:link w:val="Paragraphedeliste"/>
    <w:uiPriority w:val="34"/>
    <w:rsid w:val="00B0735E"/>
  </w:style>
  <w:style w:customStyle="1" w:styleId="Titre3Car" w:type="character">
    <w:name w:val="Titre 3 Car"/>
    <w:basedOn w:val="Policepardfaut"/>
    <w:link w:val="Titre3"/>
    <w:uiPriority w:val="9"/>
    <w:rsid w:val="004046E3"/>
    <w:rPr>
      <w:rFonts w:asciiTheme="majorHAnsi" w:cstheme="majorHAnsi" w:eastAsiaTheme="majorEastAsia" w:hAnsiTheme="majorHAnsi"/>
      <w:i/>
      <w:iCs/>
      <w:color w:themeColor="background1" w:val="00A76D"/>
      <w:sz w:val="24"/>
      <w:szCs w:val="24"/>
    </w:rPr>
  </w:style>
  <w:style w:styleId="Notedebasdepage" w:type="paragraph">
    <w:name w:val="footnote text"/>
    <w:basedOn w:val="Normal"/>
    <w:link w:val="NotedebasdepageCar"/>
    <w:uiPriority w:val="99"/>
    <w:semiHidden/>
    <w:unhideWhenUsed/>
    <w:rsid w:val="00526656"/>
    <w:pPr>
      <w:spacing w:after="0" w:line="240" w:lineRule="auto"/>
    </w:pPr>
    <w:rPr>
      <w:sz w:val="20"/>
      <w:szCs w:val="20"/>
    </w:rPr>
  </w:style>
  <w:style w:customStyle="1" w:styleId="NotedebasdepageCar" w:type="character">
    <w:name w:val="Note de bas de page Car"/>
    <w:basedOn w:val="Policepardfaut"/>
    <w:link w:val="Notedebasdepage"/>
    <w:uiPriority w:val="99"/>
    <w:semiHidden/>
    <w:rsid w:val="00526656"/>
    <w:rPr>
      <w:sz w:val="20"/>
      <w:szCs w:val="20"/>
    </w:rPr>
  </w:style>
  <w:style w:styleId="Appelnotedebasdep" w:type="character">
    <w:name w:val="footnote reference"/>
    <w:basedOn w:val="Policepardfaut"/>
    <w:uiPriority w:val="99"/>
    <w:semiHidden/>
    <w:unhideWhenUsed/>
    <w:rsid w:val="00526656"/>
    <w:rPr>
      <w:vertAlign w:val="superscript"/>
    </w:rPr>
  </w:style>
  <w:style w:styleId="En-ttedetabledesmatires" w:type="paragraph">
    <w:name w:val="TOC Heading"/>
    <w:basedOn w:val="Titre1"/>
    <w:next w:val="Normal"/>
    <w:uiPriority w:val="39"/>
    <w:unhideWhenUsed/>
    <w:qFormat/>
    <w:rsid w:val="009B257B"/>
    <w:pPr>
      <w:pBdr>
        <w:bottom w:color="auto" w:space="0" w:sz="0" w:val="none"/>
      </w:pBdr>
      <w:outlineLvl w:val="9"/>
    </w:pPr>
    <w:rPr>
      <w:rFonts w:asciiTheme="majorHAnsi" w:hAnsiTheme="majorHAnsi"/>
      <w:color w:themeColor="accent1" w:themeShade="BF" w:val="57B686"/>
      <w:sz w:val="32"/>
      <w:szCs w:val="32"/>
      <w:lang w:eastAsia="fr-FR"/>
    </w:rPr>
  </w:style>
  <w:style w:styleId="TM1" w:type="paragraph">
    <w:name w:val="toc 1"/>
    <w:basedOn w:val="Normal"/>
    <w:next w:val="Normal"/>
    <w:autoRedefine/>
    <w:uiPriority w:val="39"/>
    <w:unhideWhenUsed/>
    <w:rsid w:val="009B257B"/>
    <w:pPr>
      <w:spacing w:after="100"/>
    </w:pPr>
  </w:style>
  <w:style w:styleId="Lienhypertexte" w:type="character">
    <w:name w:val="Hyperlink"/>
    <w:basedOn w:val="Policepardfaut"/>
    <w:uiPriority w:val="99"/>
    <w:unhideWhenUsed/>
    <w:rsid w:val="009B257B"/>
    <w:rPr>
      <w:color w:themeColor="hyperlink" w:val="0000FF"/>
      <w:u w:val="single"/>
    </w:rPr>
  </w:style>
  <w:style w:styleId="Textedebulles" w:type="paragraph">
    <w:name w:val="Balloon Text"/>
    <w:basedOn w:val="Normal"/>
    <w:link w:val="TextedebullesCar"/>
    <w:uiPriority w:val="99"/>
    <w:semiHidden/>
    <w:unhideWhenUsed/>
    <w:rsid w:val="0038349C"/>
    <w:pPr>
      <w:spacing w:after="0" w:line="240" w:lineRule="auto"/>
    </w:pPr>
    <w:rPr>
      <w:rFonts w:ascii="Tahoma" w:cs="Tahoma" w:hAnsi="Tahoma"/>
      <w:sz w:val="16"/>
      <w:szCs w:val="16"/>
    </w:rPr>
  </w:style>
  <w:style w:customStyle="1" w:styleId="TextedebullesCar" w:type="character">
    <w:name w:val="Texte de bulles Car"/>
    <w:basedOn w:val="Policepardfaut"/>
    <w:link w:val="Textedebulles"/>
    <w:uiPriority w:val="99"/>
    <w:semiHidden/>
    <w:rsid w:val="0038349C"/>
    <w:rPr>
      <w:rFonts w:ascii="Tahoma" w:cs="Tahoma" w:hAnsi="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4046E3"/>
    <w:pPr>
      <w:keepNext/>
      <w:keepLines/>
      <w:pBdr>
        <w:bottom w:val="single" w:sz="8" w:space="1" w:color="97D2B4"/>
      </w:pBdr>
      <w:spacing w:before="240" w:after="0"/>
      <w:outlineLvl w:val="0"/>
    </w:pPr>
    <w:rPr>
      <w:rFonts w:ascii="BNPP Expanded Sans" w:eastAsiaTheme="majorEastAsia" w:hAnsi="BNPP Expanded Sans" w:cstheme="majorBidi"/>
      <w:color w:val="00A76D" w:themeColor="background1"/>
      <w:sz w:val="24"/>
      <w:szCs w:val="24"/>
    </w:rPr>
  </w:style>
  <w:style w:type="paragraph" w:styleId="Titre2">
    <w:name w:val="heading 2"/>
    <w:basedOn w:val="Normal"/>
    <w:next w:val="Normal"/>
    <w:link w:val="Titre2Car"/>
    <w:uiPriority w:val="9"/>
    <w:unhideWhenUsed/>
    <w:qFormat/>
    <w:rsid w:val="004046E3"/>
    <w:pPr>
      <w:keepNext/>
      <w:keepLines/>
      <w:numPr>
        <w:numId w:val="9"/>
      </w:numPr>
      <w:spacing w:before="40" w:after="120"/>
      <w:ind w:left="425" w:hanging="425"/>
      <w:outlineLvl w:val="1"/>
    </w:pPr>
    <w:rPr>
      <w:rFonts w:ascii="BNPP Sans Light" w:eastAsiaTheme="majorEastAsia" w:hAnsi="BNPP Sans Light" w:cstheme="majorBidi"/>
      <w:b/>
      <w:color w:val="00A76D" w:themeColor="background1"/>
      <w:szCs w:val="26"/>
    </w:rPr>
  </w:style>
  <w:style w:type="paragraph" w:styleId="Titre3">
    <w:name w:val="heading 3"/>
    <w:basedOn w:val="Normal"/>
    <w:next w:val="Normal"/>
    <w:link w:val="Titre3Car"/>
    <w:uiPriority w:val="9"/>
    <w:unhideWhenUsed/>
    <w:qFormat/>
    <w:rsid w:val="004046E3"/>
    <w:pPr>
      <w:keepNext/>
      <w:keepLines/>
      <w:numPr>
        <w:numId w:val="4"/>
      </w:numPr>
      <w:spacing w:before="40" w:after="120"/>
      <w:ind w:left="709" w:hanging="357"/>
      <w:outlineLvl w:val="2"/>
    </w:pPr>
    <w:rPr>
      <w:rFonts w:asciiTheme="majorHAnsi" w:eastAsiaTheme="majorEastAsia" w:hAnsiTheme="majorHAnsi" w:cstheme="majorHAnsi"/>
      <w:i/>
      <w:iCs/>
      <w:color w:val="00A76D" w:themeColor="background1"/>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link w:val="ParagraphedelisteCar"/>
    <w:uiPriority w:val="34"/>
    <w:qFormat/>
    <w:rsid w:val="00F44FA4"/>
    <w:pPr>
      <w:ind w:left="720"/>
      <w:contextualSpacing/>
    </w:pPr>
  </w:style>
  <w:style w:type="paragraph" w:styleId="En-tte">
    <w:name w:val="header"/>
    <w:basedOn w:val="Normal"/>
    <w:link w:val="En-tteCar"/>
    <w:uiPriority w:val="99"/>
    <w:unhideWhenUsed/>
    <w:rsid w:val="00F44FA4"/>
    <w:pPr>
      <w:tabs>
        <w:tab w:val="center" w:pos="4536"/>
        <w:tab w:val="right" w:pos="9072"/>
      </w:tabs>
      <w:spacing w:after="0" w:line="240" w:lineRule="auto"/>
    </w:pPr>
  </w:style>
  <w:style w:type="character" w:customStyle="1" w:styleId="En-tteCar">
    <w:name w:val="En-tête Car"/>
    <w:basedOn w:val="Policepardfaut"/>
    <w:link w:val="En-tte"/>
    <w:uiPriority w:val="99"/>
    <w:rsid w:val="00F44FA4"/>
  </w:style>
  <w:style w:type="paragraph" w:styleId="Pieddepage">
    <w:name w:val="footer"/>
    <w:basedOn w:val="Normal"/>
    <w:link w:val="PieddepageCar"/>
    <w:uiPriority w:val="99"/>
    <w:unhideWhenUsed/>
    <w:rsid w:val="00F44FA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44FA4"/>
  </w:style>
  <w:style w:type="character" w:customStyle="1" w:styleId="Titre1Car">
    <w:name w:val="Titre 1 Car"/>
    <w:basedOn w:val="Policepardfaut"/>
    <w:link w:val="Titre1"/>
    <w:uiPriority w:val="9"/>
    <w:rsid w:val="004046E3"/>
    <w:rPr>
      <w:rFonts w:ascii="BNPP Expanded Sans" w:eastAsiaTheme="majorEastAsia" w:hAnsi="BNPP Expanded Sans" w:cstheme="majorBidi"/>
      <w:color w:val="00A76D" w:themeColor="background1"/>
      <w:sz w:val="24"/>
      <w:szCs w:val="24"/>
    </w:rPr>
  </w:style>
  <w:style w:type="paragraph" w:styleId="Sansinterligne">
    <w:name w:val="No Spacing"/>
    <w:uiPriority w:val="1"/>
    <w:qFormat/>
    <w:rsid w:val="008312B1"/>
    <w:pPr>
      <w:spacing w:after="0" w:line="240" w:lineRule="auto"/>
    </w:pPr>
  </w:style>
  <w:style w:type="table" w:styleId="Grilledutableau">
    <w:name w:val="Table Grid"/>
    <w:basedOn w:val="TableauNormal"/>
    <w:uiPriority w:val="39"/>
    <w:rsid w:val="008312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4046E3"/>
    <w:rPr>
      <w:rFonts w:ascii="BNPP Sans Light" w:eastAsiaTheme="majorEastAsia" w:hAnsi="BNPP Sans Light" w:cstheme="majorBidi"/>
      <w:b/>
      <w:color w:val="00A76D" w:themeColor="background1"/>
      <w:szCs w:val="26"/>
    </w:rPr>
  </w:style>
  <w:style w:type="character" w:customStyle="1" w:styleId="ParagraphedelisteCar">
    <w:name w:val="Paragraphe de liste Car"/>
    <w:link w:val="Paragraphedeliste"/>
    <w:uiPriority w:val="34"/>
    <w:rsid w:val="00B0735E"/>
  </w:style>
  <w:style w:type="character" w:customStyle="1" w:styleId="Titre3Car">
    <w:name w:val="Titre 3 Car"/>
    <w:basedOn w:val="Policepardfaut"/>
    <w:link w:val="Titre3"/>
    <w:uiPriority w:val="9"/>
    <w:rsid w:val="004046E3"/>
    <w:rPr>
      <w:rFonts w:asciiTheme="majorHAnsi" w:eastAsiaTheme="majorEastAsia" w:hAnsiTheme="majorHAnsi" w:cstheme="majorHAnsi"/>
      <w:i/>
      <w:iCs/>
      <w:color w:val="00A76D" w:themeColor="background1"/>
      <w:sz w:val="24"/>
      <w:szCs w:val="24"/>
    </w:rPr>
  </w:style>
  <w:style w:type="paragraph" w:styleId="Notedebasdepage">
    <w:name w:val="footnote text"/>
    <w:basedOn w:val="Normal"/>
    <w:link w:val="NotedebasdepageCar"/>
    <w:uiPriority w:val="99"/>
    <w:semiHidden/>
    <w:unhideWhenUsed/>
    <w:rsid w:val="00526656"/>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526656"/>
    <w:rPr>
      <w:sz w:val="20"/>
      <w:szCs w:val="20"/>
    </w:rPr>
  </w:style>
  <w:style w:type="character" w:styleId="Appelnotedebasdep">
    <w:name w:val="footnote reference"/>
    <w:basedOn w:val="Policepardfaut"/>
    <w:uiPriority w:val="99"/>
    <w:semiHidden/>
    <w:unhideWhenUsed/>
    <w:rsid w:val="00526656"/>
    <w:rPr>
      <w:vertAlign w:val="superscript"/>
    </w:rPr>
  </w:style>
  <w:style w:type="paragraph" w:styleId="En-ttedetabledesmatires">
    <w:name w:val="TOC Heading"/>
    <w:basedOn w:val="Titre1"/>
    <w:next w:val="Normal"/>
    <w:uiPriority w:val="39"/>
    <w:unhideWhenUsed/>
    <w:qFormat/>
    <w:rsid w:val="009B257B"/>
    <w:pPr>
      <w:pBdr>
        <w:bottom w:val="none" w:sz="0" w:space="0" w:color="auto"/>
      </w:pBdr>
      <w:outlineLvl w:val="9"/>
    </w:pPr>
    <w:rPr>
      <w:rFonts w:asciiTheme="majorHAnsi" w:hAnsiTheme="majorHAnsi"/>
      <w:color w:val="57B686" w:themeColor="accent1" w:themeShade="BF"/>
      <w:sz w:val="32"/>
      <w:szCs w:val="32"/>
      <w:lang w:eastAsia="fr-FR"/>
    </w:rPr>
  </w:style>
  <w:style w:type="paragraph" w:styleId="TM1">
    <w:name w:val="toc 1"/>
    <w:basedOn w:val="Normal"/>
    <w:next w:val="Normal"/>
    <w:autoRedefine/>
    <w:uiPriority w:val="39"/>
    <w:unhideWhenUsed/>
    <w:rsid w:val="009B257B"/>
    <w:pPr>
      <w:spacing w:after="100"/>
    </w:pPr>
  </w:style>
  <w:style w:type="character" w:styleId="Lienhypertexte">
    <w:name w:val="Hyperlink"/>
    <w:basedOn w:val="Policepardfaut"/>
    <w:uiPriority w:val="99"/>
    <w:unhideWhenUsed/>
    <w:rsid w:val="009B257B"/>
    <w:rPr>
      <w:color w:val="0000FF" w:themeColor="hyperlink"/>
      <w:u w:val="single"/>
    </w:rPr>
  </w:style>
  <w:style w:type="paragraph" w:styleId="Textedebulles">
    <w:name w:val="Balloon Text"/>
    <w:basedOn w:val="Normal"/>
    <w:link w:val="TextedebullesCar"/>
    <w:uiPriority w:val="99"/>
    <w:semiHidden/>
    <w:unhideWhenUsed/>
    <w:rsid w:val="0038349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8349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https://www.legifrance.gouv.fr/jorf/id/JORFTEXT000046186723" TargetMode="External" Type="http://schemas.openxmlformats.org/officeDocument/2006/relationships/hyperlink"/><Relationship Id="rId11" Target="header1.xml" Type="http://schemas.openxmlformats.org/officeDocument/2006/relationships/header"/><Relationship Id="rId12" Target="header2.xml" Type="http://schemas.openxmlformats.org/officeDocument/2006/relationships/header"/><Relationship Id="rId13" Target="footer1.xml" Type="http://schemas.openxmlformats.org/officeDocument/2006/relationships/footer"/><Relationship Id="rId14" Target="header3.xml" Type="http://schemas.openxmlformats.org/officeDocument/2006/relationships/header"/><Relationship Id="rId15" Target="footer2.xml" Type="http://schemas.openxmlformats.org/officeDocument/2006/relationships/footer"/><Relationship Id="rId16" Target="fontTable.xml" Type="http://schemas.openxmlformats.org/officeDocument/2006/relationships/fontTable"/><Relationship Id="rId17"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tylesWithEffects.xml" Type="http://schemas.microsoft.com/office/2007/relationships/stylesWithEffects"/><Relationship Id="rId5" Target="settings.xml" Type="http://schemas.openxmlformats.org/officeDocument/2006/relationships/settings"/><Relationship Id="rId6" Target="webSettings.xml" Type="http://schemas.openxmlformats.org/officeDocument/2006/relationships/webSettings"/><Relationship Id="rId7" Target="footnotes.xml" Type="http://schemas.openxmlformats.org/officeDocument/2006/relationships/footnotes"/><Relationship Id="rId8" Target="endnotes.xml" Type="http://schemas.openxmlformats.org/officeDocument/2006/relationships/endnotes"/><Relationship Id="rId9" Target="https://www.legifrance.gouv.fr/jorf/id/JORFTEXT000043805899" TargetMode="External" Type="http://schemas.openxmlformats.org/officeDocument/2006/relationships/hyperlink"/></Relationships>
</file>

<file path=word/_rels/footer2.xml.rels><?xml version="1.0" encoding="UTF-8" standalone="no"?><Relationships xmlns="http://schemas.openxmlformats.org/package/2006/relationships"><Relationship Id="rId1" Target="media/image1.png" Type="http://schemas.openxmlformats.org/officeDocument/2006/relationships/image"/></Relationships>
</file>

<file path=word/_rels/header2.xml.rels><?xml version="1.0" encoding="UTF-8" standalone="no"?><Relationships xmlns="http://schemas.openxmlformats.org/package/2006/relationships"><Relationship Id="rId1" Target="media/image1.png" Type="http://schemas.openxmlformats.org/officeDocument/2006/relationships/image"/></Relationships>
</file>

<file path=word/theme/theme1.xml><?xml version="1.0" encoding="utf-8"?>
<a:theme xmlns:a="http://schemas.openxmlformats.org/drawingml/2006/main" name="Thème Office">
  <a:themeElements>
    <a:clrScheme name="Personnalisé 1">
      <a:dk1>
        <a:sysClr val="windowText" lastClr="000000"/>
      </a:dk1>
      <a:lt1>
        <a:srgbClr val="00A76D"/>
      </a:lt1>
      <a:dk2>
        <a:srgbClr val="95C94F"/>
      </a:dk2>
      <a:lt2>
        <a:srgbClr val="5BBA47"/>
      </a:lt2>
      <a:accent1>
        <a:srgbClr val="97D2B4"/>
      </a:accent1>
      <a:accent2>
        <a:srgbClr val="4181C3"/>
      </a:accent2>
      <a:accent3>
        <a:srgbClr val="00B2EE"/>
      </a:accent3>
      <a:accent4>
        <a:srgbClr val="82D1F5"/>
      </a:accent4>
      <a:accent5>
        <a:srgbClr val="F2963F"/>
      </a:accent5>
      <a:accent6>
        <a:srgbClr val="E32118"/>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4CFACF-DA6A-4B7A-A4DC-36667F5D3B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2375</Words>
  <Characters>13065</Characters>
  <Application>Microsoft Office Word</Application>
  <DocSecurity>0</DocSecurity>
  <Lines>108</Lines>
  <Paragraphs>30</Paragraphs>
  <ScaleCrop>false</ScaleCrop>
  <HeadingPairs>
    <vt:vector baseType="variant" size="2">
      <vt:variant>
        <vt:lpstr>Titre</vt:lpstr>
      </vt:variant>
      <vt:variant>
        <vt:i4>1</vt:i4>
      </vt:variant>
    </vt:vector>
  </HeadingPairs>
  <TitlesOfParts>
    <vt:vector baseType="lpstr" size="1">
      <vt:lpstr/>
    </vt:vector>
  </TitlesOfParts>
  <Company>Ministères Chargés des Affaires Sociales</Company>
  <LinksUpToDate>false</LinksUpToDate>
  <CharactersWithSpaces>15410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2022-12-26T10:56:00Z</dcterms:created>
  <cp:lastPrinted>2022-11-03T17:58:00Z</cp:lastPrinted>
  <dcterms:modified xsi:type="dcterms:W3CDTF">2022-12-26T10:56:00Z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name="MSIP_Label_48ed5431-0ab7-4c1b-98f4-d4e50f674d02_Enabled" pid="2">
    <vt:lpwstr>true</vt:lpwstr>
  </property>
  <property fmtid="{D5CDD505-2E9C-101B-9397-08002B2CF9AE}" name="MSIP_Label_48ed5431-0ab7-4c1b-98f4-d4e50f674d02_SetDate" pid="3">
    <vt:lpwstr>2022-08-01T11:54:43Z</vt:lpwstr>
  </property>
  <property fmtid="{D5CDD505-2E9C-101B-9397-08002B2CF9AE}" name="MSIP_Label_48ed5431-0ab7-4c1b-98f4-d4e50f674d02_Method" pid="4">
    <vt:lpwstr>Privileged</vt:lpwstr>
  </property>
  <property fmtid="{D5CDD505-2E9C-101B-9397-08002B2CF9AE}" name="MSIP_Label_48ed5431-0ab7-4c1b-98f4-d4e50f674d02_Name" pid="5">
    <vt:lpwstr>48ed5431-0ab7-4c1b-98f4-d4e50f674d02</vt:lpwstr>
  </property>
  <property fmtid="{D5CDD505-2E9C-101B-9397-08002B2CF9AE}" name="MSIP_Label_48ed5431-0ab7-4c1b-98f4-d4e50f674d02_SiteId" pid="6">
    <vt:lpwstr>614f9c25-bffa-42c7-86d8-964101f55fa2</vt:lpwstr>
  </property>
  <property fmtid="{D5CDD505-2E9C-101B-9397-08002B2CF9AE}" name="MSIP_Label_48ed5431-0ab7-4c1b-98f4-d4e50f674d02_ActionId" pid="7">
    <vt:lpwstr>8c2172b4-30ac-4269-9101-82810263c97c</vt:lpwstr>
  </property>
  <property fmtid="{D5CDD505-2E9C-101B-9397-08002B2CF9AE}" name="MSIP_Label_48ed5431-0ab7-4c1b-98f4-d4e50f674d02_ContentBits" pid="8">
    <vt:lpwstr>0</vt:lpwstr>
  </property>
</Properties>
</file>