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drawingml.chart+xml" PartName="/word/charts/chart1.xml"/>
  <Override ContentType="application/vnd.ms-office.chartcolorstyle+xml" PartName="/word/charts/colors1.xml"/>
  <Override ContentType="application/vnd.ms-office.chartstyle+xml" PartName="/word/charts/style1.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499908D" w14:textId="77777777" w:rsidP="00672E37" w:rsidR="00650A53" w:rsidRDefault="00650A53">
      <w:pPr>
        <w:pStyle w:val="Titre1"/>
      </w:pPr>
    </w:p>
    <w:p w14:paraId="624B3FBF" w14:textId="77777777" w:rsidP="00672E37" w:rsidR="00650A53" w:rsidRDefault="00650A53">
      <w:pPr>
        <w:pStyle w:val="Titre1"/>
      </w:pPr>
    </w:p>
    <w:p w14:paraId="7BD96A02" w14:textId="77777777" w:rsidP="00672E37" w:rsidR="003C2903" w:rsidRDefault="003C2903" w:rsidRPr="00672E37">
      <w:pPr>
        <w:pStyle w:val="Titre1"/>
      </w:pPr>
      <w:r w:rsidRPr="00672E37">
        <w:t>NEGOCIATION ANNUELLE OBLIGATOIRE</w:t>
      </w:r>
    </w:p>
    <w:p w14:paraId="5EC4D6F2" w14:textId="5D8E47B1" w:rsidP="00672E37" w:rsidR="00E71BFA" w:rsidRDefault="00E71BFA">
      <w:pPr>
        <w:pStyle w:val="Titre1"/>
      </w:pPr>
      <w:r w:rsidRPr="00672E37">
        <w:t>A</w:t>
      </w:r>
      <w:r w:rsidR="00FF0212" w:rsidRPr="00672E37">
        <w:t>NNEE</w:t>
      </w:r>
      <w:r w:rsidRPr="00672E37">
        <w:t xml:space="preserve"> </w:t>
      </w:r>
      <w:r w:rsidR="007C2E3B" w:rsidRPr="00672E37">
        <w:t>20</w:t>
      </w:r>
      <w:r w:rsidR="00D33C08">
        <w:t>2</w:t>
      </w:r>
      <w:r w:rsidR="00492EEB">
        <w:t>3</w:t>
      </w:r>
    </w:p>
    <w:p w14:paraId="4076E472" w14:textId="77777777" w:rsidP="006268D6" w:rsidR="006268D6" w:rsidRDefault="006268D6" w:rsidRPr="006268D6"/>
    <w:p w14:paraId="2C26BDC9" w14:textId="77777777" w:rsidP="000736A8" w:rsidR="00EA5718" w:rsidRDefault="00EA5718"/>
    <w:p w14:paraId="654B8FB9" w14:textId="77777777" w:rsidP="000736A8" w:rsidR="00650A53" w:rsidRDefault="00650A53" w:rsidRPr="00032333"/>
    <w:p w14:paraId="1ED5A5E5" w14:textId="77777777" w:rsidP="005D0341" w:rsidR="00EA5718" w:rsidRDefault="00EE3773" w:rsidRPr="005D0341">
      <w:r w:rsidRPr="005D0341">
        <w:rPr>
          <w:noProof/>
        </w:rPr>
        <mc:AlternateContent>
          <mc:Choice Requires="wps">
            <w:drawing>
              <wp:anchor allowOverlap="1" behindDoc="0" distB="0" distL="114300" distR="114300" distT="0" layoutInCell="1" locked="0" relativeHeight="251657216" simplePos="0" wp14:anchorId="753E0D03" wp14:editId="6886289E">
                <wp:simplePos x="0" y="0"/>
                <wp:positionH relativeFrom="column">
                  <wp:posOffset>0</wp:posOffset>
                </wp:positionH>
                <wp:positionV relativeFrom="paragraph">
                  <wp:posOffset>49530</wp:posOffset>
                </wp:positionV>
                <wp:extent cx="6057900" cy="0"/>
                <wp:effectExtent b="12065" l="5080" r="13970" t="698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0,3.9pt" id="Lin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47ePpvwEAAGkDAAAOAAAAZHJzL2Uyb0RvYy54bWysU02P2yAQvVfqf0DcGzuWsu1acfaQ7faS tpF2+wMmgG1UYBCQOPn3HcjHbttbVR8Qw8w83nuDlw9Ha9hBhajRdXw+qzlTTqDUbuj4j5enD584 iwmcBINOdfykIn9YvX+3nHyrGhzRSBUYgbjYTr7jY0q+raooRmUhztArR8keg4VEYRgqGWAidGuq pq7vqgmD9AGFipFOH89Jvir4fa9E+t73USVmOk7cUllDWXd5rVZLaIcAftTiQgP+gYUF7ejSG9Qj JGD7oP+CsloEjNinmUBbYd9roYoGUjOv/1DzPIJXRQuZE/3Npvj/YMW3wzYwLTvecObA0og22inW ZGcmH1sqWLttyNrE0T37DYqfkTlcj+AGVRi+nDy1zXNH9VtLDqIn/N30FSXVwD5hsenYB5shyQB2 LNM43aahjokJOryrFx/vaxqauOYqaK+NPsT0RaFledNxQ5wLMBw2MWUi0F5L8j0On7QxZdjGsanj 94tmURoiGi1zMpfFMOzWJrAD5OdSvqKKMm/LAu6dLGCjAvn5sk+gzXlPlxt3MSPrPzu5Q3nahqtJ NM/C8vL28oN5G5fu1z9k9QsAAP//AwBQSwMEFAAGAAgAAAAhAA1g7v/YAAAABAEAAA8AAABkcnMv ZG93bnJldi54bWxMj0FPwkAQhe8m/ofNmHghsBUVtXZLjNobF0HjdeiObWN3tnQXqPx6Ry9w/PIm 732TzQfXqh31ofFs4GqSgCIuvW24MvC+Ksb3oEJEtth6JgM/FGCen59lmFq/5zfaLWOlpIRDigbq GLtU61DW5DBMfEcs2ZfvHUbBvtK2x72Uu1ZPk2SmHTYsCzV29FxT+b3cOgOh+KBNcRiVo+TzuvI0 3bwsXtGYy4vh6RFUpCEej+FPX9QhF6e137INqjUgj0QDd6Iv4cPtjfD6n3We6VP5/BcAAP//AwBQ SwECLQAUAAYACAAAACEAtoM4kv4AAADhAQAAEwAAAAAAAAAAAAAAAAAAAAAAW0NvbnRlbnRfVHlw ZXNdLnhtbFBLAQItABQABgAIAAAAIQA4/SH/1gAAAJQBAAALAAAAAAAAAAAAAAAAAC8BAABfcmVs cy8ucmVsc1BLAQItABQABgAIAAAAIQC47ePpvwEAAGkDAAAOAAAAAAAAAAAAAAAAAC4CAABkcnMv ZTJvRG9jLnhtbFBLAQItABQABgAIAAAAIQANYO7/2AAAAAQBAAAPAAAAAAAAAAAAAAAAABkEAABk cnMvZG93bnJldi54bWxQSwUGAAAAAAQABADzAAAAHgUAAAAA "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77pt,3.9pt" w14:anchorId="318CF20A"/>
            </w:pict>
          </mc:Fallback>
        </mc:AlternateContent>
      </w:r>
      <w:bookmarkStart w:id="0" w:name="_Hlk542504"/>
    </w:p>
    <w:p w14:paraId="0549F512" w14:textId="3CB377B2" w:rsidP="005D0341" w:rsidR="00EA5718" w:rsidRDefault="00EA5718" w:rsidRPr="005D0341">
      <w:r w:rsidRPr="005D0341">
        <w:rPr>
          <w:b/>
        </w:rPr>
        <w:t xml:space="preserve">La société </w:t>
      </w:r>
      <w:r w:rsidR="00BE0F89" w:rsidRPr="005D0341">
        <w:rPr>
          <w:b/>
        </w:rPr>
        <w:t>Clémançon</w:t>
      </w:r>
      <w:r w:rsidR="00FB72A2" w:rsidRPr="005D0341">
        <w:rPr>
          <w:b/>
        </w:rPr>
        <w:t xml:space="preserve"> </w:t>
      </w:r>
      <w:r w:rsidRPr="005D0341">
        <w:t xml:space="preserve">dont le siège social est situé </w:t>
      </w:r>
      <w:r w:rsidR="00BE0F89" w:rsidRPr="005D0341">
        <w:t>22, avenue des Nations – Bât Le Raspail – 93420 VILLEPINTE</w:t>
      </w:r>
      <w:r w:rsidRPr="005D0341">
        <w:t>, représentée par</w:t>
      </w:r>
      <w:r w:rsidR="00BE0F89" w:rsidRPr="005D0341">
        <w:t>, Chef d’entreprise</w:t>
      </w:r>
    </w:p>
    <w:p w14:paraId="014B73D5" w14:textId="77777777" w:rsidP="005D0341" w:rsidR="00EA5718" w:rsidRDefault="00EA5718" w:rsidRPr="005D0341"/>
    <w:p w14:paraId="46A76003" w14:textId="77777777" w:rsidP="005D0341" w:rsidR="00EA5718" w:rsidRDefault="00EA5718" w:rsidRPr="005D0341">
      <w:pPr>
        <w:rPr>
          <w:b/>
        </w:rPr>
      </w:pPr>
      <w:r w:rsidRPr="005D0341">
        <w:tab/>
      </w:r>
      <w:r w:rsidRPr="005D0341">
        <w:tab/>
      </w:r>
      <w:r w:rsidRPr="005D0341">
        <w:rPr>
          <w:b/>
        </w:rPr>
        <w:t xml:space="preserve">D’une part </w:t>
      </w:r>
    </w:p>
    <w:p w14:paraId="1E1B1E52" w14:textId="77777777" w:rsidP="005D0341" w:rsidR="00EA5718" w:rsidRDefault="00EA5718" w:rsidRPr="005D0341">
      <w:r w:rsidRPr="005D0341">
        <w:t>Et :</w:t>
      </w:r>
    </w:p>
    <w:p w14:paraId="1166FCD2" w14:textId="77777777" w:rsidP="005D0341" w:rsidR="00EA5718" w:rsidRDefault="00EE3773" w:rsidRPr="005D0341">
      <w:r w:rsidRPr="005D0341">
        <w:rPr>
          <w:noProof/>
        </w:rPr>
        <mc:AlternateContent>
          <mc:Choice Requires="wps">
            <w:drawing>
              <wp:anchor allowOverlap="1" behindDoc="0" distB="0" distL="114300" distR="114300" distT="0" layoutInCell="1" locked="0" relativeHeight="251658240" simplePos="0" wp14:anchorId="7DD13167" wp14:editId="5D612DDC">
                <wp:simplePos x="0" y="0"/>
                <wp:positionH relativeFrom="column">
                  <wp:posOffset>0</wp:posOffset>
                </wp:positionH>
                <wp:positionV relativeFrom="paragraph">
                  <wp:posOffset>62865</wp:posOffset>
                </wp:positionV>
                <wp:extent cx="6057900" cy="0"/>
                <wp:effectExtent b="8255" l="5080" r="13970" t="107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0,4.95pt" id="Lin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qyjTvwEAAGkDAAAOAAAAZHJzL2Uyb0RvYy54bWysU02P2yAQvVfqf0DcGzupsu1acfaQ7faS tpF2+wMmgG1UYBCQ2Pn3HchHt+2tqg+IYWYe773Bq4fJGnZUIWp0LZ/Pas6UEyi161v+/eXp3UfO YgInwaBTLT+pyB/Wb9+sRt+oBQ5opAqMQFxsRt/yISXfVFUUg7IQZ+iVo2SHwUKiMPSVDDASujXV oq7vqhGD9AGFipFOH89Jvi74XadE+tZ1USVmWk7cUllDWfd5rdYraPoAftDiQgP+gYUF7ejSG9Qj JGCHoP+CsloEjNilmUBbYddpoYoGUjOv/1DzPIBXRQuZE/3Npvj/YMXX4y4wLWl2nDmwNKKtdoq9 z86MPjZUsHG7kLWJyT37LYofkTncDOB6VRi+nDy1zXNH9VtLDqIn/P34BSXVwCFhsWnqgs2QZACb yjROt2moKTFBh3f18sN9TUMT11wFzbXRh5g+K7Qsb1puiHMBhuM2pkwEmmtJvsfhkzamDNs4Nrb8 frlYloaIRsuczGUx9PuNCewI+bmUr6iizOuygAcnC9igQH667BNoc97T5cZdzMj6z07uUZ524WoS zbOwvLy9/GBex6X71x+y/gkAAP//AwBQSwMEFAAGAAgAAAAhACj6CkfZAAAABAEAAA8AAABkcnMv ZG93bnJldi54bWxMj8tOwzAQRfdI/IM1SGwq6lAeImmcCgHZsekDsZ3GQxI1Hqex2wa+noENLI/u 6N4z+WJ0nTrSEFrPBq6nCSjiytuWawObdXn1ACpEZIudZzLwSQEWxflZjpn1J17ScRVrJSUcMjTQ xNhnWoeqIYdh6ntiyT784DAKDrW2A56k3HV6liT32mHLstBgT08NVbvVwRkI5Rvty69JNUneb2pP s/3z6wsac3kxPs5BRRrj3zH86Is6FOK09Qe2QXUG5JFoIE1BSZje3Qpvf1kXuf4vX3wDAAD//wMA UEsBAi0AFAAGAAgAAAAhALaDOJL+AAAA4QEAABMAAAAAAAAAAAAAAAAAAAAAAFtDb250ZW50X1R5 cGVzXS54bWxQSwECLQAUAAYACAAAACEAOP0h/9YAAACUAQAACwAAAAAAAAAAAAAAAAAvAQAAX3Jl bHMvLnJlbHNQSwECLQAUAAYACAAAACEAeKso078BAABpAwAADgAAAAAAAAAAAAAAAAAuAgAAZHJz L2Uyb0RvYy54bWxQSwECLQAUAAYACAAAACEAKPoKR9kAAAAEAQAADwAAAAAAAAAAAAAAAAAZBAAA ZHJzL2Rvd25yZXYueG1sUEsFBgAAAAAEAAQA8wAAAB8FAAAAAA== "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477pt,4.95pt" w14:anchorId="19F0F250"/>
            </w:pict>
          </mc:Fallback>
        </mc:AlternateContent>
      </w:r>
    </w:p>
    <w:p w14:paraId="36FDAD47" w14:textId="60FBF359" w:rsidP="005D0341" w:rsidR="00EA5718" w:rsidRDefault="00EA5718" w:rsidRPr="005D0341">
      <w:r w:rsidRPr="005D0341">
        <w:rPr>
          <w:b/>
        </w:rPr>
        <w:t xml:space="preserve">Les Organisations Syndicales représentatives </w:t>
      </w:r>
      <w:r w:rsidRPr="005D0341">
        <w:t>au sein de la société, à savoir :</w:t>
      </w:r>
      <w:r w:rsidR="00BE0F89" w:rsidRPr="005D0341">
        <w:t xml:space="preserve"> l</w:t>
      </w:r>
      <w:r w:rsidRPr="005D0341">
        <w:t xml:space="preserve">e syndicat </w:t>
      </w:r>
      <w:r w:rsidR="00BE0F89" w:rsidRPr="005D0341">
        <w:t>Force Ouvrière,</w:t>
      </w:r>
      <w:r w:rsidRPr="005D0341">
        <w:t xml:space="preserve"> représenté par</w:t>
      </w:r>
      <w:r w:rsidR="00BE0F89" w:rsidRPr="005D0341">
        <w:t>,</w:t>
      </w:r>
      <w:r w:rsidRPr="005D0341">
        <w:t xml:space="preserve"> en sa qualité de </w:t>
      </w:r>
      <w:r w:rsidR="00D213C6">
        <w:t>D</w:t>
      </w:r>
      <w:r w:rsidR="00F46FC1" w:rsidRPr="005D0341">
        <w:t>élégué syndical</w:t>
      </w:r>
      <w:r w:rsidR="00BE0F89" w:rsidRPr="005D0341">
        <w:t> ;</w:t>
      </w:r>
    </w:p>
    <w:p w14:paraId="3CED3DFB" w14:textId="77777777" w:rsidP="005D0341" w:rsidR="00EA5718" w:rsidRDefault="00EA5718" w:rsidRPr="005D0341"/>
    <w:p w14:paraId="746FA112" w14:textId="77777777" w:rsidP="005D0341" w:rsidR="00EA5718" w:rsidRDefault="00EA5718" w:rsidRPr="005D0341"/>
    <w:p w14:paraId="7983160A" w14:textId="77777777" w:rsidP="005D0341" w:rsidR="0072378F" w:rsidRDefault="00EA5718" w:rsidRPr="005D0341">
      <w:pPr>
        <w:rPr>
          <w:b/>
        </w:rPr>
      </w:pPr>
      <w:r w:rsidRPr="005D0341">
        <w:tab/>
      </w:r>
      <w:r w:rsidRPr="005D0341">
        <w:tab/>
      </w:r>
      <w:r w:rsidRPr="005D0341">
        <w:rPr>
          <w:b/>
        </w:rPr>
        <w:t>D’autre part</w:t>
      </w:r>
    </w:p>
    <w:p w14:paraId="34F16A0E" w14:textId="77777777" w:rsidP="005D0341" w:rsidR="00E70D9F" w:rsidRDefault="00E70D9F"/>
    <w:bookmarkEnd w:id="0"/>
    <w:p w14:paraId="2C7E6EA2" w14:textId="77777777" w:rsidP="005D0341" w:rsidR="005D0341" w:rsidRDefault="005D0341"/>
    <w:p w14:paraId="096704A3" w14:textId="77777777" w:rsidP="005D0341" w:rsidR="0004781A" w:rsidRDefault="0004781A"/>
    <w:p w14:paraId="50299524" w14:textId="77777777" w:rsidP="005D0341" w:rsidR="0004781A" w:rsidRDefault="0004781A"/>
    <w:p w14:paraId="664B5B32" w14:textId="77777777" w:rsidP="005D0341" w:rsidR="0004781A" w:rsidRDefault="0004781A" w:rsidRPr="005D0341"/>
    <w:p w14:paraId="10533CF5" w14:textId="77777777" w:rsidP="00437C91" w:rsidR="00437C91" w:rsidRDefault="00437C91">
      <w:r w:rsidRPr="0004781A">
        <w:t>Ont été négociées les dispositions du présent accord</w:t>
      </w:r>
    </w:p>
    <w:p w14:paraId="645639B3" w14:textId="77777777" w:rsidP="00437C91" w:rsidR="00437C91" w:rsidRDefault="00437C91"/>
    <w:p w14:paraId="5AF078CB" w14:textId="77777777" w:rsidP="00437C91" w:rsidR="00437C91" w:rsidRDefault="00437C91"/>
    <w:p w14:paraId="5656EBBF" w14:textId="77777777" w:rsidP="00437C91" w:rsidR="00437C91" w:rsidRDefault="00437C91">
      <w:pPr>
        <w:pStyle w:val="Titre2"/>
        <w:numPr>
          <w:ilvl w:val="0"/>
          <w:numId w:val="0"/>
        </w:numPr>
      </w:pPr>
      <w:r>
        <w:t>Préambule</w:t>
      </w:r>
    </w:p>
    <w:p w14:paraId="5F9EDCB8" w14:textId="77777777" w:rsidP="00437C91" w:rsidR="00437C91" w:rsidRDefault="00437C91"/>
    <w:p w14:paraId="6C8672FB" w14:textId="29D99767" w:rsidP="00437C91" w:rsidR="00437C91" w:rsidRDefault="00437C91" w:rsidRPr="0004781A">
      <w:r w:rsidRPr="0004781A">
        <w:t xml:space="preserve">Le présent accord est conclu à l’issue des négociations annuelles obligatoires Ouvriers, ETAM et Cadres, qui se sont déroulées les </w:t>
      </w:r>
      <w:r>
        <w:t>28 novembre 2022, 16 décembre 2022 et 26 janvier 2023.</w:t>
      </w:r>
    </w:p>
    <w:p w14:paraId="7CF5F5D9" w14:textId="77777777" w:rsidP="00437C91" w:rsidR="00437C91" w:rsidRDefault="00437C91" w:rsidRPr="0004781A">
      <w:pPr>
        <w:rPr>
          <w:b/>
          <w:bCs/>
        </w:rPr>
      </w:pPr>
    </w:p>
    <w:p w14:paraId="02E590FA" w14:textId="124C6C10" w:rsidP="00437C91" w:rsidR="00437C91" w:rsidRDefault="00437C91" w:rsidRPr="0004781A">
      <w:r w:rsidRPr="0004781A">
        <w:t>Ces négociations, et le présent accord qui en est issu, concernent les catégories Ouvriers, ETAM et Cadres pour la période allant du 1</w:t>
      </w:r>
      <w:r w:rsidRPr="0004781A">
        <w:rPr>
          <w:vertAlign w:val="superscript"/>
        </w:rPr>
        <w:t>er</w:t>
      </w:r>
      <w:r w:rsidRPr="0004781A">
        <w:t xml:space="preserve"> janvier au 31 décembre </w:t>
      </w:r>
      <w:r>
        <w:t>2023</w:t>
      </w:r>
      <w:r w:rsidRPr="0004781A">
        <w:t>.</w:t>
      </w:r>
    </w:p>
    <w:p w14:paraId="3BF78623" w14:textId="77777777" w:rsidP="00437C91" w:rsidR="00437C91" w:rsidRDefault="00437C91" w:rsidRPr="0004781A"/>
    <w:p w14:paraId="21E1B2DA" w14:textId="77777777" w:rsidP="00437C91" w:rsidR="00437C91" w:rsidRDefault="00437C91" w:rsidRPr="0004781A">
      <w:r w:rsidRPr="0004781A">
        <w:t>Les négociations se sont déroulées sur la base des documents communiqués par la Direction préalablement aux réunions précitées et permettent notamment une analyse comparée de la situation des Hommes et des Femmes.</w:t>
      </w:r>
    </w:p>
    <w:p w14:paraId="6A972045" w14:textId="77777777" w:rsidP="00437C91" w:rsidR="00437C91" w:rsidRDefault="00437C91" w:rsidRPr="0004781A"/>
    <w:p w14:paraId="42BDF76B" w14:textId="77777777" w:rsidP="00437C91" w:rsidR="00437C91" w:rsidRDefault="00437C91" w:rsidRPr="0004781A">
      <w:r w:rsidRPr="0004781A">
        <w:t>Les discussions ont porté sur</w:t>
      </w:r>
      <w:r>
        <w:t xml:space="preserve"> les salaires, l’égalité Femmes</w:t>
      </w:r>
      <w:r w:rsidRPr="0004781A">
        <w:t xml:space="preserve">/Hommes, les emplois et les qualifications, la durée du travail, </w:t>
      </w:r>
      <w:r>
        <w:t>les travailleurs handicapés,</w:t>
      </w:r>
      <w:r w:rsidRPr="0004781A">
        <w:t xml:space="preserve"> l’épargne salariale</w:t>
      </w:r>
      <w:r>
        <w:t xml:space="preserve"> et les conditions de travail des seniors.</w:t>
      </w:r>
    </w:p>
    <w:p w14:paraId="73F67430" w14:textId="77777777" w:rsidP="0004781A" w:rsidR="0004781A" w:rsidRDefault="0004781A"/>
    <w:p w14:paraId="50D44C46" w14:textId="77777777" w:rsidP="0004781A" w:rsidR="0004781A" w:rsidRDefault="0004781A"/>
    <w:p w14:paraId="7B7EF690" w14:textId="77777777" w:rsidP="0004781A" w:rsidR="0004781A" w:rsidRDefault="0004781A"/>
    <w:p w14:paraId="50C5EA0C" w14:textId="77777777" w:rsidP="0004781A" w:rsidR="0004781A" w:rsidRDefault="0004781A"/>
    <w:p w14:paraId="53B0B263" w14:textId="77777777" w:rsidR="0004781A" w:rsidRDefault="0004781A">
      <w:pPr>
        <w:jc w:val="left"/>
      </w:pPr>
      <w:r>
        <w:br w:type="page"/>
      </w:r>
    </w:p>
    <w:p w14:paraId="3CB86C9D" w14:textId="77777777" w:rsidP="005D0341" w:rsidR="008D5079" w:rsidRDefault="008D5079">
      <w:pPr>
        <w:pStyle w:val="Titre2"/>
        <w:ind w:left="1276"/>
      </w:pPr>
      <w:r>
        <w:lastRenderedPageBreak/>
        <w:t>Effectifs et évolutions</w:t>
      </w:r>
    </w:p>
    <w:p w14:paraId="429BF82C" w14:textId="1CCBD699" w:rsidP="000736A8" w:rsidR="00D33C08" w:rsidRDefault="00D33C08" w:rsidRPr="00202006">
      <w:pPr>
        <w:rPr>
          <w:sz w:val="10"/>
          <w:szCs w:val="10"/>
        </w:rPr>
      </w:pPr>
    </w:p>
    <w:tbl>
      <w:tblPr>
        <w:tblStyle w:val="TableauGrille4-Accentuation1"/>
        <w:tblW w:type="dxa" w:w="8789"/>
        <w:tblLook w:firstColumn="1" w:firstRow="1" w:lastColumn="0" w:lastRow="0" w:noHBand="0" w:noVBand="1" w:val="04A0"/>
      </w:tblPr>
      <w:tblGrid>
        <w:gridCol w:w="2552"/>
        <w:gridCol w:w="1554"/>
        <w:gridCol w:w="1559"/>
        <w:gridCol w:w="1418"/>
        <w:gridCol w:w="1706"/>
      </w:tblGrid>
      <w:tr w14:paraId="3E0CFEA4" w14:textId="77777777" w:rsidR="00D33C08" w:rsidRPr="00D33C08" w:rsidTr="00CC4794">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2552"/>
            <w:noWrap/>
            <w:hideMark/>
          </w:tcPr>
          <w:p w14:paraId="748C8F84" w14:textId="77777777" w:rsidP="00D33C08" w:rsidR="00D33C08" w:rsidRDefault="00D33C08" w:rsidRPr="00D33C08">
            <w:pPr>
              <w:rPr>
                <w:rFonts w:cstheme="majorBidi" w:eastAsiaTheme="majorEastAsia"/>
                <w:b w:val="0"/>
                <w:bCs w:val="0"/>
                <w:iCs/>
                <w:caps/>
                <w:color w:themeColor="text1" w:val="000000"/>
                <w:szCs w:val="22"/>
                <w:lang w:eastAsia="en-US" w:val="en-US"/>
              </w:rPr>
            </w:pPr>
          </w:p>
        </w:tc>
        <w:tc>
          <w:tcPr>
            <w:tcW w:type="dxa" w:w="1554"/>
            <w:noWrap/>
            <w:hideMark/>
          </w:tcPr>
          <w:p w14:paraId="4F6AAB7F" w14:textId="6FC17E66" w:rsidP="008B1CEC" w:rsidR="00D33C08" w:rsidRDefault="00D33C08" w:rsidRPr="00CC4794">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 w:val="0"/>
                <w:bCs w:val="0"/>
                <w:iCs/>
                <w:caps/>
                <w:szCs w:val="22"/>
                <w:lang w:eastAsia="en-US" w:val="en-US"/>
              </w:rPr>
            </w:pPr>
            <w:r w:rsidRPr="00CC4794">
              <w:rPr>
                <w:rFonts w:cstheme="majorBidi" w:eastAsiaTheme="majorEastAsia"/>
                <w:iCs/>
                <w:caps/>
                <w:szCs w:val="22"/>
                <w:lang w:eastAsia="en-US" w:val="en-US"/>
              </w:rPr>
              <w:t>CADRES</w:t>
            </w:r>
          </w:p>
        </w:tc>
        <w:tc>
          <w:tcPr>
            <w:tcW w:type="dxa" w:w="1559"/>
            <w:noWrap/>
            <w:hideMark/>
          </w:tcPr>
          <w:p w14:paraId="4A41FA62" w14:textId="42DD2072" w:rsidP="008B1CEC" w:rsidR="00D33C08" w:rsidRDefault="00D33C08" w:rsidRPr="00CC4794">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 w:val="0"/>
                <w:bCs w:val="0"/>
                <w:iCs/>
                <w:caps/>
                <w:szCs w:val="22"/>
                <w:lang w:eastAsia="en-US" w:val="en-US"/>
              </w:rPr>
            </w:pPr>
            <w:r w:rsidRPr="00CC4794">
              <w:rPr>
                <w:rFonts w:cstheme="majorBidi" w:eastAsiaTheme="majorEastAsia"/>
                <w:iCs/>
                <w:caps/>
                <w:szCs w:val="22"/>
                <w:lang w:eastAsia="en-US" w:val="en-US"/>
              </w:rPr>
              <w:t>ETAM</w:t>
            </w:r>
          </w:p>
        </w:tc>
        <w:tc>
          <w:tcPr>
            <w:tcW w:type="dxa" w:w="1418"/>
            <w:noWrap/>
            <w:hideMark/>
          </w:tcPr>
          <w:p w14:paraId="602F53DF" w14:textId="08636EA2" w:rsidP="008B1CEC" w:rsidR="00D33C08" w:rsidRDefault="00D33C08" w:rsidRPr="00CC4794">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 w:val="0"/>
                <w:bCs w:val="0"/>
                <w:iCs/>
                <w:caps/>
                <w:szCs w:val="22"/>
                <w:lang w:eastAsia="en-US" w:val="en-US"/>
              </w:rPr>
            </w:pPr>
            <w:r w:rsidRPr="00CC4794">
              <w:rPr>
                <w:rFonts w:cstheme="majorBidi" w:eastAsiaTheme="majorEastAsia"/>
                <w:iCs/>
                <w:caps/>
                <w:szCs w:val="22"/>
                <w:lang w:eastAsia="en-US" w:val="en-US"/>
              </w:rPr>
              <w:t>OUVRIERS</w:t>
            </w:r>
          </w:p>
        </w:tc>
        <w:tc>
          <w:tcPr>
            <w:tcW w:type="dxa" w:w="1706"/>
            <w:noWrap/>
            <w:hideMark/>
          </w:tcPr>
          <w:p w14:paraId="12B17CCA" w14:textId="02F76EB2" w:rsidP="008B1CEC" w:rsidR="00D33C08" w:rsidRDefault="00D33C08" w:rsidRPr="00CC4794">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 w:val="0"/>
                <w:bCs w:val="0"/>
                <w:iCs/>
                <w:caps/>
                <w:szCs w:val="22"/>
                <w:lang w:eastAsia="en-US" w:val="en-US"/>
              </w:rPr>
            </w:pPr>
            <w:r w:rsidRPr="00CC4794">
              <w:rPr>
                <w:rFonts w:cstheme="majorBidi" w:eastAsiaTheme="majorEastAsia"/>
                <w:iCs/>
                <w:caps/>
                <w:szCs w:val="22"/>
                <w:lang w:eastAsia="en-US" w:val="en-US"/>
              </w:rPr>
              <w:t>TOTAL</w:t>
            </w:r>
          </w:p>
        </w:tc>
      </w:tr>
      <w:tr w14:paraId="3D9CF4E9" w14:textId="77777777" w:rsidR="003C36BD" w:rsidRPr="00D33C08" w:rsidTr="00D7615F">
        <w:trPr>
          <w:cnfStyle w:evenHBand="0" w:evenVBand="0" w:firstColumn="0" w:firstRow="0" w:firstRowFirstColumn="0" w:firstRowLastColumn="0" w:lastColumn="0" w:lastRow="0" w:lastRowFirstColumn="0" w:lastRowLastColumn="0" w:oddHBand="1" w:oddVBand="0" w:val="000000100000"/>
          <w:trHeight w:val="300"/>
        </w:trPr>
        <w:tc>
          <w:tcPr>
            <w:cnfStyle w:evenHBand="0" w:evenVBand="0" w:firstColumn="1" w:firstRow="0" w:firstRowFirstColumn="0" w:firstRowLastColumn="0" w:lastColumn="0" w:lastRow="0" w:lastRowFirstColumn="0" w:lastRowLastColumn="0" w:oddHBand="0" w:oddVBand="0" w:val="001000000000"/>
            <w:tcW w:type="dxa" w:w="2552"/>
            <w:noWrap/>
          </w:tcPr>
          <w:p w14:paraId="1391A855" w14:textId="5C2711D4" w:rsidP="003C36BD" w:rsidR="003C36BD" w:rsidRDefault="003C36BD" w:rsidRPr="00CC4794">
            <w:pPr>
              <w:jc w:val="left"/>
              <w:rPr>
                <w:rFonts w:cstheme="majorBidi" w:eastAsiaTheme="majorEastAsia"/>
                <w:b w:val="0"/>
                <w:bCs w:val="0"/>
                <w:iCs/>
                <w:caps/>
                <w:color w:themeColor="text1" w:val="000000"/>
                <w:szCs w:val="22"/>
                <w:lang w:eastAsia="en-US" w:val="en-US"/>
              </w:rPr>
            </w:pPr>
            <w:r w:rsidRPr="00CC4794">
              <w:rPr>
                <w:rFonts w:cstheme="majorBidi" w:eastAsiaTheme="majorEastAsia"/>
                <w:b w:val="0"/>
                <w:bCs w:val="0"/>
                <w:iCs/>
                <w:caps/>
                <w:color w:themeColor="text1" w:val="000000"/>
                <w:szCs w:val="22"/>
                <w:lang w:eastAsia="en-US" w:val="en-US"/>
              </w:rPr>
              <w:t>Effectif au 31/12/202</w:t>
            </w:r>
            <w:r>
              <w:rPr>
                <w:rFonts w:cstheme="majorBidi" w:eastAsiaTheme="majorEastAsia"/>
                <w:b w:val="0"/>
                <w:bCs w:val="0"/>
                <w:iCs/>
                <w:caps/>
                <w:color w:themeColor="text1" w:val="000000"/>
                <w:szCs w:val="22"/>
                <w:lang w:eastAsia="en-US" w:val="en-US"/>
              </w:rPr>
              <w:t>2</w:t>
            </w:r>
          </w:p>
        </w:tc>
        <w:tc>
          <w:tcPr>
            <w:tcW w:type="dxa" w:w="1554"/>
            <w:noWrap/>
          </w:tcPr>
          <w:p w14:paraId="55F374AF" w14:textId="7C74D231" w:rsidP="003C36BD" w:rsidR="003C36BD" w:rsidRDefault="003C36BD" w:rsidRPr="00D33C08">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23</w:t>
            </w:r>
          </w:p>
        </w:tc>
        <w:tc>
          <w:tcPr>
            <w:tcW w:type="dxa" w:w="1559"/>
            <w:noWrap/>
          </w:tcPr>
          <w:p w14:paraId="77D03310" w14:textId="195B2819" w:rsidP="003C36BD" w:rsidR="003C36BD" w:rsidRDefault="003C36BD" w:rsidRPr="00D33C08">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24</w:t>
            </w:r>
          </w:p>
        </w:tc>
        <w:tc>
          <w:tcPr>
            <w:tcW w:type="dxa" w:w="1418"/>
            <w:noWrap/>
          </w:tcPr>
          <w:p w14:paraId="0943F6AF" w14:textId="62851F9E" w:rsidP="003C36BD" w:rsidR="003C36BD" w:rsidRDefault="003C36BD" w:rsidRPr="00D33C08">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3</w:t>
            </w:r>
            <w:r w:rsidR="003D22F4">
              <w:rPr>
                <w:rFonts w:cstheme="majorBidi" w:eastAsiaTheme="majorEastAsia"/>
                <w:iCs/>
                <w:caps/>
                <w:color w:themeColor="text1" w:val="000000"/>
                <w:szCs w:val="22"/>
                <w:lang w:eastAsia="en-US" w:val="en-US"/>
              </w:rPr>
              <w:t>1</w:t>
            </w:r>
          </w:p>
        </w:tc>
        <w:tc>
          <w:tcPr>
            <w:tcW w:type="dxa" w:w="1706"/>
            <w:noWrap/>
          </w:tcPr>
          <w:p w14:paraId="0F5B5372" w14:textId="0A685E65" w:rsidP="003C36BD" w:rsidR="003C36BD" w:rsidRDefault="003C36BD" w:rsidRPr="00D33C08">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7</w:t>
            </w:r>
            <w:r w:rsidR="003D22F4">
              <w:rPr>
                <w:rFonts w:cstheme="majorBidi" w:eastAsiaTheme="majorEastAsia"/>
                <w:iCs/>
                <w:caps/>
                <w:color w:themeColor="text1" w:val="000000"/>
                <w:szCs w:val="22"/>
                <w:lang w:eastAsia="en-US" w:val="en-US"/>
              </w:rPr>
              <w:t>8</w:t>
            </w:r>
          </w:p>
        </w:tc>
      </w:tr>
      <w:tr w14:paraId="64F0FC44" w14:textId="77777777" w:rsidR="003C36BD" w:rsidRPr="00D33C08" w:rsidTr="00CC4794">
        <w:trPr>
          <w:trHeight w:val="300"/>
        </w:trPr>
        <w:tc>
          <w:tcPr>
            <w:cnfStyle w:evenHBand="0" w:evenVBand="0" w:firstColumn="1" w:firstRow="0" w:firstRowFirstColumn="0" w:firstRowLastColumn="0" w:lastColumn="0" w:lastRow="0" w:lastRowFirstColumn="0" w:lastRowLastColumn="0" w:oddHBand="0" w:oddVBand="0" w:val="001000000000"/>
            <w:tcW w:type="dxa" w:w="2552"/>
            <w:noWrap/>
          </w:tcPr>
          <w:p w14:paraId="388ACC05" w14:textId="249A16A1" w:rsidP="003C36BD" w:rsidR="003C36BD" w:rsidRDefault="003C36BD" w:rsidRPr="00CC4794">
            <w:pPr>
              <w:jc w:val="left"/>
              <w:rPr>
                <w:rFonts w:cstheme="majorBidi" w:eastAsiaTheme="majorEastAsia"/>
                <w:b w:val="0"/>
                <w:bCs w:val="0"/>
                <w:iCs/>
                <w:caps/>
                <w:color w:themeColor="text1" w:val="000000"/>
                <w:szCs w:val="22"/>
                <w:lang w:eastAsia="en-US" w:val="en-US"/>
              </w:rPr>
            </w:pPr>
            <w:r w:rsidRPr="00CC4794">
              <w:rPr>
                <w:rFonts w:cstheme="majorBidi" w:eastAsiaTheme="majorEastAsia"/>
                <w:b w:val="0"/>
                <w:bCs w:val="0"/>
                <w:iCs/>
                <w:caps/>
                <w:color w:themeColor="text1" w:val="000000"/>
                <w:szCs w:val="22"/>
                <w:lang w:eastAsia="en-US" w:val="en-US"/>
              </w:rPr>
              <w:t>Effectif au 31/12/202</w:t>
            </w:r>
            <w:r>
              <w:rPr>
                <w:rFonts w:cstheme="majorBidi" w:eastAsiaTheme="majorEastAsia"/>
                <w:b w:val="0"/>
                <w:bCs w:val="0"/>
                <w:iCs/>
                <w:caps/>
                <w:color w:themeColor="text1" w:val="000000"/>
                <w:szCs w:val="22"/>
                <w:lang w:eastAsia="en-US" w:val="en-US"/>
              </w:rPr>
              <w:t>1</w:t>
            </w:r>
          </w:p>
        </w:tc>
        <w:tc>
          <w:tcPr>
            <w:tcW w:type="dxa" w:w="1554"/>
            <w:noWrap/>
          </w:tcPr>
          <w:p w14:paraId="3FC1BB6D" w14:textId="4662F541" w:rsidP="003C36BD" w:rsidR="003C36BD" w:rsidRDefault="003C36BD" w:rsidRPr="00D33C08">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21</w:t>
            </w:r>
          </w:p>
        </w:tc>
        <w:tc>
          <w:tcPr>
            <w:tcW w:type="dxa" w:w="1559"/>
            <w:noWrap/>
          </w:tcPr>
          <w:p w14:paraId="064015C0" w14:textId="5D67A57D" w:rsidP="003C36BD" w:rsidR="003C36BD" w:rsidRDefault="003C36BD" w:rsidRPr="00D33C08">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25</w:t>
            </w:r>
          </w:p>
        </w:tc>
        <w:tc>
          <w:tcPr>
            <w:tcW w:type="dxa" w:w="1418"/>
            <w:noWrap/>
          </w:tcPr>
          <w:p w14:paraId="638F0F5C" w14:textId="6C44954F" w:rsidP="003C36BD" w:rsidR="003C36BD" w:rsidRDefault="003C36BD" w:rsidRPr="00D33C08">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28</w:t>
            </w:r>
          </w:p>
        </w:tc>
        <w:tc>
          <w:tcPr>
            <w:tcW w:type="dxa" w:w="1706"/>
            <w:noWrap/>
          </w:tcPr>
          <w:p w14:paraId="024D2780" w14:textId="1E20DCEE" w:rsidP="003C36BD" w:rsidR="003C36BD" w:rsidRDefault="003C36BD" w:rsidRPr="00D33C08">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74</w:t>
            </w:r>
          </w:p>
        </w:tc>
      </w:tr>
      <w:tr w14:paraId="088B854B" w14:textId="77777777" w:rsidR="003C36BD" w:rsidRPr="00D33C08" w:rsidTr="00CC4794">
        <w:trPr>
          <w:cnfStyle w:evenHBand="0" w:evenVBand="0" w:firstColumn="0" w:firstRow="0" w:firstRowFirstColumn="0" w:firstRowLastColumn="0" w:lastColumn="0" w:lastRow="0" w:lastRowFirstColumn="0" w:lastRowLastColumn="0" w:oddHBand="1" w:oddVBand="0" w:val="000000100000"/>
          <w:trHeight w:val="300"/>
        </w:trPr>
        <w:tc>
          <w:tcPr>
            <w:cnfStyle w:evenHBand="0" w:evenVBand="0" w:firstColumn="1" w:firstRow="0" w:firstRowFirstColumn="0" w:firstRowLastColumn="0" w:lastColumn="0" w:lastRow="0" w:lastRowFirstColumn="0" w:lastRowLastColumn="0" w:oddHBand="0" w:oddVBand="0" w:val="001000000000"/>
            <w:tcW w:type="dxa" w:w="2552"/>
            <w:noWrap/>
          </w:tcPr>
          <w:p w14:paraId="0A930282" w14:textId="08974503" w:rsidP="003C36BD" w:rsidR="003C36BD" w:rsidRDefault="003C36BD" w:rsidRPr="00CC4794">
            <w:pPr>
              <w:jc w:val="left"/>
              <w:rPr>
                <w:rFonts w:cstheme="majorBidi" w:eastAsiaTheme="majorEastAsia"/>
                <w:iCs/>
                <w:caps/>
                <w:color w:themeColor="text1" w:val="000000"/>
                <w:szCs w:val="22"/>
                <w:lang w:eastAsia="en-US" w:val="en-US"/>
              </w:rPr>
            </w:pPr>
            <w:r w:rsidRPr="00CC4794">
              <w:rPr>
                <w:rFonts w:cstheme="majorBidi" w:eastAsiaTheme="majorEastAsia"/>
                <w:b w:val="0"/>
                <w:bCs w:val="0"/>
                <w:iCs/>
                <w:caps/>
                <w:color w:themeColor="text1" w:val="000000"/>
                <w:szCs w:val="22"/>
                <w:lang w:eastAsia="en-US" w:val="en-US"/>
              </w:rPr>
              <w:t>Effectif au 31/12/2020</w:t>
            </w:r>
          </w:p>
        </w:tc>
        <w:tc>
          <w:tcPr>
            <w:tcW w:type="dxa" w:w="1554"/>
            <w:noWrap/>
          </w:tcPr>
          <w:p w14:paraId="44D3F058" w14:textId="2E3F3120" w:rsidP="003C36BD" w:rsidR="003C36BD" w:rsidRDefault="003C36BD">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17</w:t>
            </w:r>
          </w:p>
        </w:tc>
        <w:tc>
          <w:tcPr>
            <w:tcW w:type="dxa" w:w="1559"/>
            <w:noWrap/>
          </w:tcPr>
          <w:p w14:paraId="11B845E0" w14:textId="494C5278" w:rsidP="003C36BD" w:rsidR="003C36BD" w:rsidRDefault="003C36BD">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25</w:t>
            </w:r>
          </w:p>
        </w:tc>
        <w:tc>
          <w:tcPr>
            <w:tcW w:type="dxa" w:w="1418"/>
            <w:noWrap/>
          </w:tcPr>
          <w:p w14:paraId="655D570C" w14:textId="1004A821" w:rsidP="003C36BD" w:rsidR="003C36BD" w:rsidRDefault="003C36BD">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30</w:t>
            </w:r>
          </w:p>
        </w:tc>
        <w:tc>
          <w:tcPr>
            <w:tcW w:type="dxa" w:w="1706"/>
            <w:noWrap/>
          </w:tcPr>
          <w:p w14:paraId="48E15BCC" w14:textId="1DB2A7FF" w:rsidP="003C36BD" w:rsidR="003C36BD" w:rsidRDefault="003C36BD">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iCs/>
                <w:caps/>
                <w:color w:themeColor="text1" w:val="000000"/>
                <w:szCs w:val="22"/>
                <w:lang w:eastAsia="en-US" w:val="en-US"/>
              </w:rPr>
            </w:pPr>
            <w:r>
              <w:rPr>
                <w:rFonts w:cstheme="majorBidi" w:eastAsiaTheme="majorEastAsia"/>
                <w:iCs/>
                <w:caps/>
                <w:color w:themeColor="text1" w:val="000000"/>
                <w:szCs w:val="22"/>
                <w:lang w:eastAsia="en-US" w:val="en-US"/>
              </w:rPr>
              <w:t>72</w:t>
            </w:r>
          </w:p>
        </w:tc>
      </w:tr>
    </w:tbl>
    <w:p w14:paraId="5FC30998" w14:textId="77777777" w:rsidP="000736A8" w:rsidR="004C7732" w:rsidRDefault="004C7732"/>
    <w:p w14:paraId="5853EC94" w14:textId="77777777" w:rsidP="005D0341" w:rsidR="00652A86" w:rsidRDefault="00CD4B50">
      <w:pPr>
        <w:pStyle w:val="Titre2"/>
        <w:ind w:left="1276"/>
      </w:pPr>
      <w:r>
        <w:t>Salaires et évolutions par catégorie sociaux-professionnelles</w:t>
      </w:r>
    </w:p>
    <w:p w14:paraId="26A7BF56" w14:textId="77777777" w:rsidP="000736A8" w:rsidR="00CD4B50" w:rsidRDefault="00CD4B50" w:rsidRPr="004C31F9">
      <w:pPr>
        <w:rPr>
          <w:sz w:val="4"/>
          <w:szCs w:val="4"/>
        </w:rPr>
      </w:pPr>
    </w:p>
    <w:p w14:paraId="0C640A5B" w14:textId="7E9A9FAD" w:rsidP="000736A8" w:rsidR="00FA28D4" w:rsidRDefault="00CD4B50">
      <w:pPr>
        <w:pStyle w:val="Sansinterligne"/>
      </w:pPr>
      <w:r w:rsidRPr="00CD4B50">
        <w:t xml:space="preserve">Masse salariale </w:t>
      </w:r>
      <w:r>
        <w:t>20</w:t>
      </w:r>
      <w:r w:rsidR="00CC2D4C">
        <w:t>2</w:t>
      </w:r>
      <w:r w:rsidR="003C36BD">
        <w:t>2</w:t>
      </w:r>
      <w:r>
        <w:t xml:space="preserve">, </w:t>
      </w:r>
      <w:r w:rsidRPr="00CD4B50">
        <w:t>par CSP</w:t>
      </w:r>
      <w:r w:rsidR="0027545F">
        <w:t xml:space="preserve"> – Présent / Présent (Hors Primes, participation, intéressement)</w:t>
      </w:r>
      <w:r w:rsidR="00DF5C2C">
        <w:t xml:space="preserve"> sur une base de 6</w:t>
      </w:r>
      <w:r w:rsidR="00F9714F">
        <w:t>7</w:t>
      </w:r>
      <w:r w:rsidR="00DF5C2C">
        <w:t xml:space="preserve"> collaborateurs</w:t>
      </w:r>
    </w:p>
    <w:p w14:paraId="69084A11" w14:textId="1624CCA7" w:rsidP="004C7732" w:rsidR="00430436" w:rsidRDefault="00430436" w:rsidRPr="004C31F9">
      <w:pPr>
        <w:rPr>
          <w:sz w:val="4"/>
          <w:szCs w:val="4"/>
        </w:rPr>
      </w:pPr>
    </w:p>
    <w:tbl>
      <w:tblPr>
        <w:tblStyle w:val="TableauGrille4-Accentuation1"/>
        <w:tblW w:type="dxa" w:w="8789"/>
        <w:tblLook w:firstColumn="1" w:firstRow="1" w:lastColumn="0" w:lastRow="0" w:noHBand="0" w:noVBand="1" w:val="04A0"/>
      </w:tblPr>
      <w:tblGrid>
        <w:gridCol w:w="2835"/>
        <w:gridCol w:w="1701"/>
        <w:gridCol w:w="1276"/>
        <w:gridCol w:w="1418"/>
        <w:gridCol w:w="1559"/>
      </w:tblGrid>
      <w:tr w14:paraId="1C29FB51" w14:textId="77777777" w:rsidR="00235708" w:rsidRPr="00D33C08" w:rsidTr="005C424F">
        <w:trPr>
          <w:cnfStyle w:evenHBand="0" w:evenVBand="0" w:firstColumn="0" w:firstRow="1" w:firstRowFirstColumn="0" w:firstRowLastColumn="0" w:lastColumn="0" w:lastRow="0" w:lastRowFirstColumn="0" w:lastRowLastColumn="0" w:oddHBand="0" w:oddVBand="0" w:val="100000000000"/>
          <w:trHeight w:val="305"/>
        </w:trPr>
        <w:tc>
          <w:tcPr>
            <w:cnfStyle w:evenHBand="0" w:evenVBand="0" w:firstColumn="1" w:firstRow="0" w:firstRowFirstColumn="0" w:firstRowLastColumn="0" w:lastColumn="0" w:lastRow="0" w:lastRowFirstColumn="0" w:lastRowLastColumn="0" w:oddHBand="0" w:oddVBand="0" w:val="001000000000"/>
            <w:tcW w:type="dxa" w:w="2835"/>
            <w:noWrap/>
            <w:hideMark/>
          </w:tcPr>
          <w:p w14:paraId="7E0E6948" w14:textId="77777777" w:rsidP="001D4CBE" w:rsidR="00D33C08" w:rsidRDefault="00D33C08" w:rsidRPr="001D4CBE">
            <w:pPr>
              <w:jc w:val="center"/>
              <w:rPr>
                <w:rFonts w:cstheme="majorBidi" w:eastAsiaTheme="majorEastAsia"/>
                <w:iCs/>
                <w:caps/>
                <w:szCs w:val="22"/>
                <w:lang w:eastAsia="en-US" w:val="en-US"/>
              </w:rPr>
            </w:pPr>
            <w:r w:rsidRPr="001D4CBE">
              <w:rPr>
                <w:rFonts w:cstheme="majorBidi" w:eastAsiaTheme="majorEastAsia"/>
                <w:iCs/>
                <w:caps/>
                <w:szCs w:val="22"/>
                <w:lang w:eastAsia="en-US" w:val="en-US"/>
              </w:rPr>
              <w:t>(En K€uros)</w:t>
            </w:r>
          </w:p>
        </w:tc>
        <w:tc>
          <w:tcPr>
            <w:tcW w:type="dxa" w:w="1701"/>
            <w:noWrap/>
            <w:hideMark/>
          </w:tcPr>
          <w:p w14:paraId="09E9D9B5" w14:textId="746D75EC" w:rsidP="001D4CBE" w:rsidR="00D33C08" w:rsidRDefault="00D33C08"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Cadres</w:t>
            </w:r>
          </w:p>
        </w:tc>
        <w:tc>
          <w:tcPr>
            <w:tcW w:type="dxa" w:w="1276"/>
            <w:noWrap/>
            <w:hideMark/>
          </w:tcPr>
          <w:p w14:paraId="6B51B39E" w14:textId="2DD9CF40" w:rsidP="001D4CBE" w:rsidR="00D33C08" w:rsidRDefault="00D33C08"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ETAM</w:t>
            </w:r>
          </w:p>
        </w:tc>
        <w:tc>
          <w:tcPr>
            <w:tcW w:type="dxa" w:w="1418"/>
            <w:noWrap/>
            <w:hideMark/>
          </w:tcPr>
          <w:p w14:paraId="38649D73" w14:textId="01DD25AF" w:rsidP="001D4CBE" w:rsidR="00D33C08" w:rsidRDefault="00D33C08"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Ouvriers</w:t>
            </w:r>
          </w:p>
        </w:tc>
        <w:tc>
          <w:tcPr>
            <w:tcW w:type="dxa" w:w="1559"/>
            <w:noWrap/>
            <w:hideMark/>
          </w:tcPr>
          <w:p w14:paraId="06F911BC" w14:textId="14CCD07A" w:rsidP="001D4CBE" w:rsidR="00D33C08" w:rsidRDefault="00D33C08"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Total</w:t>
            </w:r>
          </w:p>
        </w:tc>
      </w:tr>
      <w:tr w14:paraId="7B4A4397" w14:textId="77777777" w:rsidR="00235708" w:rsidRPr="00D33C08" w:rsidTr="005C424F">
        <w:trPr>
          <w:cnfStyle w:evenHBand="0" w:evenVBand="0" w:firstColumn="0" w:firstRow="0" w:firstRowFirstColumn="0" w:firstRowLastColumn="0" w:lastColumn="0" w:lastRow="0" w:lastRowFirstColumn="0" w:lastRowLastColumn="0" w:oddHBand="1" w:oddVBand="0" w:val="000000100000"/>
          <w:trHeight w:val="305"/>
        </w:trPr>
        <w:tc>
          <w:tcPr>
            <w:cnfStyle w:evenHBand="0" w:evenVBand="0" w:firstColumn="1" w:firstRow="0" w:firstRowFirstColumn="0" w:firstRowLastColumn="0" w:lastColumn="0" w:lastRow="0" w:lastRowFirstColumn="0" w:lastRowLastColumn="0" w:oddHBand="0" w:oddVBand="0" w:val="001000000000"/>
            <w:tcW w:type="dxa" w:w="2835"/>
            <w:hideMark/>
          </w:tcPr>
          <w:p w14:paraId="119B17BD" w14:textId="75B0FDC2" w:rsidP="00D33C08" w:rsidR="00D33C08" w:rsidRDefault="00D33C08" w:rsidRPr="00D33C08">
            <w:pPr>
              <w:rPr>
                <w:rFonts w:cstheme="majorBidi" w:eastAsiaTheme="majorEastAsia"/>
                <w:b w:val="0"/>
                <w:bCs w:val="0"/>
                <w:iCs/>
                <w:caps/>
                <w:color w:themeColor="text1" w:val="000000"/>
                <w:szCs w:val="22"/>
                <w:lang w:eastAsia="en-US" w:val="en-US"/>
              </w:rPr>
            </w:pPr>
            <w:r w:rsidRPr="00D33C08">
              <w:rPr>
                <w:rFonts w:cstheme="majorBidi" w:eastAsiaTheme="majorEastAsia"/>
                <w:b w:val="0"/>
                <w:bCs w:val="0"/>
                <w:iCs/>
                <w:caps/>
                <w:color w:themeColor="text1" w:val="000000"/>
                <w:szCs w:val="22"/>
                <w:lang w:eastAsia="en-US" w:val="en-US"/>
              </w:rPr>
              <w:t>Salaires bruts</w:t>
            </w:r>
          </w:p>
        </w:tc>
        <w:tc>
          <w:tcPr>
            <w:tcW w:type="dxa" w:w="1701"/>
            <w:noWrap/>
          </w:tcPr>
          <w:p w14:paraId="05EA61D0" w14:textId="287E4FAD" w:rsidP="007D0799" w:rsidR="00D33C08" w:rsidRDefault="008F0E5F" w:rsidRPr="001D4CBE">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 xml:space="preserve">1 </w:t>
            </w:r>
            <w:r w:rsidR="00F9714F">
              <w:rPr>
                <w:rFonts w:cstheme="majorBidi" w:eastAsiaTheme="majorEastAsia"/>
                <w:b/>
                <w:bCs/>
                <w:iCs/>
                <w:caps/>
                <w:color w:themeColor="text1" w:val="000000"/>
                <w:szCs w:val="22"/>
                <w:lang w:eastAsia="en-US" w:val="en-US"/>
              </w:rPr>
              <w:t>133</w:t>
            </w:r>
          </w:p>
        </w:tc>
        <w:tc>
          <w:tcPr>
            <w:tcW w:type="dxa" w:w="1276"/>
            <w:noWrap/>
          </w:tcPr>
          <w:p w14:paraId="0BB72C3A" w14:textId="5E5961F0" w:rsidP="007D0799" w:rsidR="00D33C08" w:rsidRDefault="00F9714F" w:rsidRPr="001D4CBE">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936</w:t>
            </w:r>
          </w:p>
        </w:tc>
        <w:tc>
          <w:tcPr>
            <w:tcW w:type="dxa" w:w="1418"/>
            <w:noWrap/>
          </w:tcPr>
          <w:p w14:paraId="0D286160" w14:textId="172A67B2" w:rsidP="007D0799" w:rsidR="00D33C08" w:rsidRDefault="00F9714F" w:rsidRPr="001D4CBE">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828</w:t>
            </w:r>
          </w:p>
        </w:tc>
        <w:tc>
          <w:tcPr>
            <w:tcW w:type="dxa" w:w="1559"/>
            <w:noWrap/>
          </w:tcPr>
          <w:p w14:paraId="612C4B1B" w14:textId="4D1636D9" w:rsidP="007D0799" w:rsidR="00D33C08" w:rsidRDefault="00981257" w:rsidRPr="001D4CBE">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2 897</w:t>
            </w:r>
          </w:p>
        </w:tc>
      </w:tr>
      <w:tr w14:paraId="3D4D71AA" w14:textId="77777777" w:rsidR="00DF5C2C" w:rsidRPr="00D33C08" w:rsidTr="005C424F">
        <w:trPr>
          <w:trHeight w:val="305"/>
        </w:trPr>
        <w:tc>
          <w:tcPr>
            <w:cnfStyle w:evenHBand="0" w:evenVBand="0" w:firstColumn="1" w:firstRow="0" w:firstRowFirstColumn="0" w:firstRowLastColumn="0" w:lastColumn="0" w:lastRow="0" w:lastRowFirstColumn="0" w:lastRowLastColumn="0" w:oddHBand="0" w:oddVBand="0" w:val="001000000000"/>
            <w:tcW w:type="dxa" w:w="2835"/>
          </w:tcPr>
          <w:p w14:paraId="02A3755D" w14:textId="2C82F824" w:rsidP="00D33C08" w:rsidR="00DF5C2C" w:rsidRDefault="00DF5C2C" w:rsidRPr="001D4CBE">
            <w:pPr>
              <w:rPr>
                <w:rFonts w:cstheme="majorBidi" w:eastAsiaTheme="majorEastAsia"/>
                <w:b w:val="0"/>
                <w:bCs w:val="0"/>
                <w:iCs/>
                <w:caps/>
                <w:color w:themeColor="text1" w:val="000000"/>
                <w:sz w:val="20"/>
                <w:lang w:eastAsia="en-US" w:val="en-US"/>
              </w:rPr>
            </w:pPr>
            <w:r w:rsidRPr="001D4CBE">
              <w:rPr>
                <w:rFonts w:cstheme="majorBidi" w:eastAsiaTheme="majorEastAsia"/>
                <w:b w:val="0"/>
                <w:bCs w:val="0"/>
                <w:iCs/>
                <w:caps/>
                <w:color w:themeColor="text1" w:val="000000"/>
                <w:sz w:val="20"/>
                <w:lang w:eastAsia="en-US" w:val="en-US"/>
              </w:rPr>
              <w:t>EFFECTIFS PRESENT / PRESENT</w:t>
            </w:r>
          </w:p>
        </w:tc>
        <w:tc>
          <w:tcPr>
            <w:tcW w:type="dxa" w:w="1701"/>
            <w:noWrap/>
          </w:tcPr>
          <w:p w14:paraId="53DA2648" w14:textId="4B03E77E" w:rsidP="007D0799" w:rsidR="00DF5C2C" w:rsidRDefault="003C36BD"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20</w:t>
            </w:r>
          </w:p>
        </w:tc>
        <w:tc>
          <w:tcPr>
            <w:tcW w:type="dxa" w:w="1276"/>
            <w:noWrap/>
          </w:tcPr>
          <w:p w14:paraId="72FB8C85" w14:textId="5FE3C003" w:rsidP="007D0799" w:rsidR="00DF5C2C" w:rsidRDefault="00F9714F"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22</w:t>
            </w:r>
          </w:p>
        </w:tc>
        <w:tc>
          <w:tcPr>
            <w:tcW w:type="dxa" w:w="1418"/>
            <w:noWrap/>
          </w:tcPr>
          <w:p w14:paraId="374ABE88" w14:textId="24BBCC8E" w:rsidP="007D0799" w:rsidR="00DF5C2C" w:rsidRDefault="00F9714F"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25</w:t>
            </w:r>
          </w:p>
        </w:tc>
        <w:tc>
          <w:tcPr>
            <w:tcW w:type="dxa" w:w="1559"/>
            <w:noWrap/>
          </w:tcPr>
          <w:p w14:paraId="497C36C1" w14:textId="43F5F162" w:rsidP="007D0799" w:rsidR="00DF5C2C" w:rsidRDefault="00F9714F"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67</w:t>
            </w:r>
          </w:p>
        </w:tc>
      </w:tr>
    </w:tbl>
    <w:p w14:paraId="6742BDAC" w14:textId="77777777" w:rsidP="004C7732" w:rsidR="00FB65B8" w:rsidRDefault="00FB65B8"/>
    <w:p w14:paraId="75C1A177" w14:textId="03F84AC2" w:rsidP="004C7732" w:rsidR="004C7732" w:rsidRDefault="004C7732">
      <w:pPr>
        <w:pStyle w:val="Sansinterligne"/>
      </w:pPr>
      <w:bookmarkStart w:id="1" w:name="_Hlk1654914"/>
      <w:r>
        <w:t>Augmentations et promotions 20</w:t>
      </w:r>
      <w:bookmarkEnd w:id="1"/>
      <w:r w:rsidR="00D92208">
        <w:t>2</w:t>
      </w:r>
      <w:r w:rsidR="003C36BD">
        <w:t>2</w:t>
      </w:r>
    </w:p>
    <w:p w14:paraId="205C4373" w14:textId="77777777" w:rsidP="004C7732" w:rsidR="00732076" w:rsidRDefault="00732076" w:rsidRPr="004C31F9">
      <w:pPr>
        <w:rPr>
          <w:sz w:val="4"/>
          <w:szCs w:val="4"/>
        </w:rPr>
      </w:pPr>
    </w:p>
    <w:p w14:paraId="0E9457F1" w14:textId="70FB177C" w:rsidP="002D38DC" w:rsidR="004C7732" w:rsidRDefault="004C7732">
      <w:pPr>
        <w:jc w:val="left"/>
      </w:pPr>
      <w:r>
        <w:t xml:space="preserve">A titre d’information, </w:t>
      </w:r>
      <w:r w:rsidR="002D38DC">
        <w:t>en décembre</w:t>
      </w:r>
      <w:r w:rsidR="002D38DC" w:rsidRPr="004E584D">
        <w:t xml:space="preserve"> 2022</w:t>
      </w:r>
      <w:r w:rsidR="002D38DC">
        <w:t xml:space="preserve">, </w:t>
      </w:r>
      <w:r>
        <w:t>l’indice des prix à la consommation</w:t>
      </w:r>
      <w:r w:rsidR="00D92208">
        <w:t xml:space="preserve">, </w:t>
      </w:r>
      <w:r w:rsidR="00D340A6" w:rsidRPr="00D340A6">
        <w:t>se replient légèrement sur un mois (</w:t>
      </w:r>
      <w:r w:rsidR="00D340A6" w:rsidRPr="002D38DC">
        <w:rPr>
          <w:rFonts w:ascii="Cambria Math" w:cs="Cambria Math" w:hAnsi="Cambria Math"/>
        </w:rPr>
        <w:t>‑</w:t>
      </w:r>
      <w:r w:rsidR="00D340A6" w:rsidRPr="00D340A6">
        <w:t xml:space="preserve">0,1 %) et augmentent de 5,9 % sur un </w:t>
      </w:r>
      <w:r w:rsidR="002D38DC" w:rsidRPr="00D340A6">
        <w:t xml:space="preserve">an </w:t>
      </w:r>
      <w:r w:rsidR="002D38DC">
        <w:t>(</w:t>
      </w:r>
      <w:r w:rsidR="004C31F9" w:rsidRPr="004C31F9">
        <w:rPr>
          <w:sz w:val="20"/>
          <w:szCs w:val="18"/>
        </w:rPr>
        <w:t>Source</w:t>
      </w:r>
      <w:r w:rsidRPr="004C31F9">
        <w:rPr>
          <w:sz w:val="20"/>
          <w:szCs w:val="18"/>
        </w:rPr>
        <w:t xml:space="preserve"> INSEE :</w:t>
      </w:r>
      <w:r w:rsidR="004C31F9" w:rsidRPr="004C31F9">
        <w:rPr>
          <w:sz w:val="20"/>
          <w:szCs w:val="18"/>
        </w:rPr>
        <w:t xml:space="preserve"> </w:t>
      </w:r>
      <w:hyperlink r:id="rId8" w:history="1">
        <w:r w:rsidR="004C31F9" w:rsidRPr="004C31F9">
          <w:rPr>
            <w:rStyle w:val="Lienhypertexte"/>
            <w:sz w:val="20"/>
            <w:szCs w:val="18"/>
          </w:rPr>
          <w:t>https://www.insee.fr/fr/statistiques/6688389</w:t>
        </w:r>
      </w:hyperlink>
      <w:r w:rsidR="003C36BD">
        <w:t>)</w:t>
      </w:r>
      <w:r>
        <w:t>.</w:t>
      </w:r>
    </w:p>
    <w:p w14:paraId="6BFE5EC3" w14:textId="77777777" w:rsidP="004C7732" w:rsidR="004C7732" w:rsidRDefault="004C7732" w:rsidRPr="004C31F9">
      <w:pPr>
        <w:rPr>
          <w:sz w:val="12"/>
          <w:szCs w:val="10"/>
        </w:rPr>
      </w:pPr>
    </w:p>
    <w:p w14:paraId="23B9CB19" w14:textId="77777777" w:rsidP="004C7732" w:rsidR="004C31F9" w:rsidRDefault="004C7732">
      <w:r w:rsidRPr="006049EC">
        <w:t xml:space="preserve">Les augmentations </w:t>
      </w:r>
      <w:r>
        <w:t xml:space="preserve">et promotions sont distribuées, </w:t>
      </w:r>
      <w:r w:rsidRPr="006049EC">
        <w:t xml:space="preserve">en concertation entre la Direction, les chefs de groupe, les responsables d’affaires et les responsables de services. </w:t>
      </w:r>
    </w:p>
    <w:p w14:paraId="1886511C" w14:textId="2B3ECFE2" w:rsidP="004C7732" w:rsidR="004C7732" w:rsidRDefault="004C7732">
      <w:r>
        <w:t>Celles-ci répondent aux critères suivants : la performance du collaborateur fournie sur l’année écoulée, le potentiel d’évolution de ce dernier au sein de l’entreprise, mais aussi en fonction de l’équité interne afin d’établir une cohérence salariale et ne pas créer de disparités.</w:t>
      </w:r>
    </w:p>
    <w:p w14:paraId="73E252CB" w14:textId="15FFB98D" w:rsidP="004C7732" w:rsidR="001D30DF" w:rsidRDefault="001D30DF"/>
    <w:p w14:paraId="0E7E0941" w14:textId="5D4AE4B9" w:rsidP="004C7732" w:rsidR="00202006" w:rsidRDefault="00A90BCB" w:rsidRPr="00202006">
      <w:pPr>
        <w:rPr>
          <w:u w:val="single"/>
        </w:rPr>
      </w:pPr>
      <w:r>
        <w:rPr>
          <w:u w:val="single"/>
        </w:rPr>
        <w:t xml:space="preserve">Revendication syndicale F.O </w:t>
      </w:r>
      <w:r w:rsidR="00202006" w:rsidRPr="00202006">
        <w:rPr>
          <w:u w:val="single"/>
        </w:rPr>
        <w:t>:</w:t>
      </w:r>
    </w:p>
    <w:p w14:paraId="56661C22" w14:textId="1B2320E2" w:rsidP="004C7732" w:rsidR="00AA3F58" w:rsidRDefault="004329BA">
      <w:r>
        <w:t>S</w:t>
      </w:r>
      <w:r w:rsidR="00686D81">
        <w:t xml:space="preserve">ouhaite une augmentation de 7.5% pour </w:t>
      </w:r>
      <w:r w:rsidR="00127677">
        <w:t>l’ensemble d</w:t>
      </w:r>
      <w:r w:rsidR="00686D81">
        <w:t xml:space="preserve">es ouvriers (apprentis compris), 7% pour </w:t>
      </w:r>
      <w:r w:rsidR="00127677">
        <w:t>l’ensemble d</w:t>
      </w:r>
      <w:r w:rsidR="00686D81">
        <w:t>es ETAM et pas d’avis pour les Cadres.</w:t>
      </w:r>
    </w:p>
    <w:p w14:paraId="0F7C5CCB" w14:textId="4CF615DB" w:rsidP="004C7732" w:rsidR="00686D81" w:rsidRDefault="00686D81"/>
    <w:p w14:paraId="53113749" w14:textId="6E6999FC" w:rsidP="004C7732" w:rsidR="00E559CD" w:rsidRDefault="00E559CD">
      <w:r>
        <w:t xml:space="preserve">En réponse, la Direction </w:t>
      </w:r>
      <w:r w:rsidR="00155BEA">
        <w:t xml:space="preserve">propose les augmentations </w:t>
      </w:r>
      <w:r w:rsidR="00127677">
        <w:t xml:space="preserve">moyennes </w:t>
      </w:r>
      <w:r w:rsidR="00155BEA">
        <w:t>suivantes :</w:t>
      </w:r>
    </w:p>
    <w:p w14:paraId="4AA1E5D5" w14:textId="3FFAEE0D" w:rsidP="004C7732" w:rsidR="00E559CD" w:rsidRDefault="00E559CD" w:rsidRPr="004C31F9">
      <w:pPr>
        <w:rPr>
          <w:sz w:val="8"/>
          <w:szCs w:val="6"/>
        </w:rPr>
      </w:pPr>
    </w:p>
    <w:tbl>
      <w:tblPr>
        <w:tblStyle w:val="TableauGrille4-Accentuation1"/>
        <w:tblW w:type="dxa" w:w="8784"/>
        <w:tblLook w:firstColumn="1" w:firstRow="1" w:lastColumn="0" w:lastRow="0" w:noHBand="0" w:noVBand="1" w:val="04A0"/>
      </w:tblPr>
      <w:tblGrid>
        <w:gridCol w:w="3256"/>
        <w:gridCol w:w="1842"/>
        <w:gridCol w:w="1843"/>
        <w:gridCol w:w="1843"/>
      </w:tblGrid>
      <w:tr w14:paraId="76A4C2E0" w14:textId="77777777" w:rsidR="00E559CD" w:rsidRPr="00FB1E4F" w:rsidTr="00EC1498">
        <w:trPr>
          <w:cnfStyle w:evenHBand="0" w:evenVBand="0" w:firstColumn="0" w:firstRow="1" w:firstRowFirstColumn="0" w:firstRowLastColumn="0" w:lastColumn="0" w:lastRow="0" w:lastRowFirstColumn="0" w:lastRowLastColumn="0" w:oddHBand="0" w:oddVBand="0" w:val="100000000000"/>
          <w:trHeight w:val="300"/>
        </w:trPr>
        <w:tc>
          <w:tcPr>
            <w:cnfStyle w:evenHBand="0" w:evenVBand="0" w:firstColumn="1" w:firstRow="0" w:firstRowFirstColumn="0" w:firstRowLastColumn="0" w:lastColumn="0" w:lastRow="0" w:lastRowFirstColumn="0" w:lastRowLastColumn="0" w:oddHBand="0" w:oddVBand="0" w:val="001000000000"/>
            <w:tcW w:type="dxa" w:w="3256"/>
            <w:noWrap/>
            <w:hideMark/>
          </w:tcPr>
          <w:p w14:paraId="317420C3" w14:textId="77777777" w:rsidP="00EC1498" w:rsidR="00E559CD" w:rsidRDefault="00E559CD" w:rsidRPr="005C424F">
            <w:pPr>
              <w:rPr>
                <w:rFonts w:cstheme="majorBidi" w:eastAsiaTheme="majorEastAsia"/>
                <w:iCs/>
                <w:caps/>
                <w:szCs w:val="22"/>
                <w:lang w:eastAsia="en-US" w:val="en-US"/>
              </w:rPr>
            </w:pPr>
            <w:r w:rsidRPr="005C424F">
              <w:rPr>
                <w:rFonts w:cstheme="majorBidi" w:eastAsiaTheme="majorEastAsia"/>
                <w:iCs/>
                <w:caps/>
                <w:szCs w:val="22"/>
                <w:lang w:eastAsia="en-US" w:val="en-US"/>
              </w:rPr>
              <w:t>(En %âge)</w:t>
            </w:r>
          </w:p>
        </w:tc>
        <w:tc>
          <w:tcPr>
            <w:tcW w:type="dxa" w:w="1842"/>
            <w:noWrap/>
            <w:hideMark/>
          </w:tcPr>
          <w:p w14:paraId="4F19A497" w14:textId="77777777" w:rsidP="00EC1498" w:rsidR="00E559CD" w:rsidRDefault="00E559CD" w:rsidRPr="005C424F">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5C424F">
              <w:rPr>
                <w:rFonts w:cstheme="majorBidi" w:eastAsiaTheme="majorEastAsia"/>
                <w:iCs/>
                <w:caps/>
                <w:szCs w:val="22"/>
                <w:lang w:eastAsia="en-US" w:val="en-US"/>
              </w:rPr>
              <w:t>Cadres</w:t>
            </w:r>
          </w:p>
        </w:tc>
        <w:tc>
          <w:tcPr>
            <w:tcW w:type="dxa" w:w="1843"/>
            <w:noWrap/>
            <w:hideMark/>
          </w:tcPr>
          <w:p w14:paraId="25CC2733" w14:textId="77777777" w:rsidP="00EC1498" w:rsidR="00E559CD" w:rsidRDefault="00E559CD" w:rsidRPr="005C424F">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5C424F">
              <w:rPr>
                <w:rFonts w:cstheme="majorBidi" w:eastAsiaTheme="majorEastAsia"/>
                <w:iCs/>
                <w:caps/>
                <w:szCs w:val="22"/>
                <w:lang w:eastAsia="en-US" w:val="en-US"/>
              </w:rPr>
              <w:t>ETAM</w:t>
            </w:r>
          </w:p>
        </w:tc>
        <w:tc>
          <w:tcPr>
            <w:tcW w:type="dxa" w:w="1843"/>
            <w:noWrap/>
            <w:hideMark/>
          </w:tcPr>
          <w:p w14:paraId="24088A0C" w14:textId="77777777" w:rsidP="00EC1498" w:rsidR="00E559CD" w:rsidRDefault="00E559CD" w:rsidRPr="005C424F">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5C424F">
              <w:rPr>
                <w:rFonts w:cstheme="majorBidi" w:eastAsiaTheme="majorEastAsia"/>
                <w:iCs/>
                <w:caps/>
                <w:szCs w:val="22"/>
                <w:lang w:eastAsia="en-US" w:val="en-US"/>
              </w:rPr>
              <w:t>Ouvriers</w:t>
            </w:r>
          </w:p>
        </w:tc>
      </w:tr>
      <w:tr w14:paraId="2B8E41CF" w14:textId="77777777" w:rsidR="00E559CD" w:rsidRPr="00FB1E4F" w:rsidTr="00EC1498">
        <w:trPr>
          <w:cnfStyle w:evenHBand="0" w:evenVBand="0" w:firstColumn="0" w:firstRow="0" w:firstRowFirstColumn="0" w:firstRowLastColumn="0" w:lastColumn="0" w:lastRow="0" w:lastRowFirstColumn="0" w:lastRowLastColumn="0" w:oddHBand="1" w:oddVBand="0" w:val="000000100000"/>
          <w:trHeight w:val="455"/>
        </w:trPr>
        <w:tc>
          <w:tcPr>
            <w:cnfStyle w:evenHBand="0" w:evenVBand="0" w:firstColumn="1" w:firstRow="0" w:firstRowFirstColumn="0" w:firstRowLastColumn="0" w:lastColumn="0" w:lastRow="0" w:lastRowFirstColumn="0" w:lastRowLastColumn="0" w:oddHBand="0" w:oddVBand="0" w:val="001000000000"/>
            <w:tcW w:type="dxa" w:w="3256"/>
            <w:vAlign w:val="center"/>
          </w:tcPr>
          <w:p w14:paraId="29D50762" w14:textId="77777777" w:rsidP="00EC1498" w:rsidR="00E559CD" w:rsidRDefault="00E559CD" w:rsidRPr="005C424F">
            <w:pPr>
              <w:jc w:val="left"/>
              <w:rPr>
                <w:rFonts w:cstheme="majorBidi" w:eastAsiaTheme="majorEastAsia"/>
                <w:b w:val="0"/>
                <w:bCs w:val="0"/>
                <w:iCs/>
                <w:caps/>
                <w:color w:themeColor="text1" w:val="000000"/>
                <w:szCs w:val="22"/>
                <w:lang w:eastAsia="en-US" w:val="en-US"/>
              </w:rPr>
            </w:pPr>
            <w:r w:rsidRPr="005C424F">
              <w:rPr>
                <w:rFonts w:cstheme="majorBidi" w:eastAsiaTheme="majorEastAsia"/>
                <w:b w:val="0"/>
                <w:bCs w:val="0"/>
                <w:iCs/>
                <w:caps/>
                <w:color w:themeColor="text1" w:val="000000"/>
                <w:szCs w:val="22"/>
                <w:lang w:eastAsia="en-US" w:val="en-US"/>
              </w:rPr>
              <w:t xml:space="preserve">%age augmentation </w:t>
            </w:r>
          </w:p>
        </w:tc>
        <w:tc>
          <w:tcPr>
            <w:tcW w:type="dxa" w:w="1842"/>
            <w:noWrap/>
            <w:vAlign w:val="center"/>
          </w:tcPr>
          <w:p w14:paraId="6C8905C1" w14:textId="3D36CA55" w:rsidP="00EC1498" w:rsidR="00E559CD" w:rsidRDefault="00E559CD" w:rsidRPr="005C424F">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5.5</w:t>
            </w:r>
            <w:r w:rsidR="004B325A">
              <w:rPr>
                <w:rFonts w:cstheme="majorBidi" w:eastAsiaTheme="majorEastAsia"/>
                <w:b/>
                <w:bCs/>
                <w:iCs/>
                <w:caps/>
                <w:color w:themeColor="text1" w:val="000000"/>
                <w:szCs w:val="22"/>
                <w:lang w:eastAsia="en-US" w:val="en-US"/>
              </w:rPr>
              <w:t xml:space="preserve">6 </w:t>
            </w:r>
            <w:r>
              <w:rPr>
                <w:rFonts w:cstheme="majorBidi" w:eastAsiaTheme="majorEastAsia"/>
                <w:b/>
                <w:bCs/>
                <w:iCs/>
                <w:caps/>
                <w:color w:themeColor="text1" w:val="000000"/>
                <w:szCs w:val="22"/>
                <w:lang w:eastAsia="en-US" w:val="en-US"/>
              </w:rPr>
              <w:t>%</w:t>
            </w:r>
          </w:p>
        </w:tc>
        <w:tc>
          <w:tcPr>
            <w:tcW w:type="dxa" w:w="1843"/>
            <w:noWrap/>
            <w:vAlign w:val="center"/>
          </w:tcPr>
          <w:p w14:paraId="5FAE9E12" w14:textId="285867BC" w:rsidP="00EC1498" w:rsidR="00E559CD" w:rsidRDefault="00E559CD" w:rsidRPr="005C424F">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5.5</w:t>
            </w:r>
            <w:r w:rsidR="004B325A">
              <w:rPr>
                <w:rFonts w:cstheme="majorBidi" w:eastAsiaTheme="majorEastAsia"/>
                <w:b/>
                <w:bCs/>
                <w:iCs/>
                <w:caps/>
                <w:color w:themeColor="text1" w:val="000000"/>
                <w:szCs w:val="22"/>
                <w:lang w:eastAsia="en-US" w:val="en-US"/>
              </w:rPr>
              <w:t xml:space="preserve">1 </w:t>
            </w:r>
            <w:r w:rsidRPr="005C424F">
              <w:rPr>
                <w:rFonts w:cstheme="majorBidi" w:eastAsiaTheme="majorEastAsia"/>
                <w:b/>
                <w:bCs/>
                <w:iCs/>
                <w:caps/>
                <w:color w:themeColor="text1" w:val="000000"/>
                <w:szCs w:val="22"/>
                <w:lang w:eastAsia="en-US" w:val="en-US"/>
              </w:rPr>
              <w:t>%</w:t>
            </w:r>
          </w:p>
        </w:tc>
        <w:tc>
          <w:tcPr>
            <w:tcW w:type="dxa" w:w="1843"/>
            <w:noWrap/>
            <w:vAlign w:val="center"/>
          </w:tcPr>
          <w:p w14:paraId="48F2F42D" w14:textId="244EAC16" w:rsidP="00EC1498" w:rsidR="00E559CD" w:rsidRDefault="00E559CD" w:rsidRPr="005C424F">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val="en-US"/>
              </w:rPr>
            </w:pPr>
            <w:r>
              <w:rPr>
                <w:rFonts w:cstheme="majorBidi" w:eastAsiaTheme="majorEastAsia"/>
                <w:b/>
                <w:bCs/>
                <w:iCs/>
                <w:caps/>
                <w:color w:themeColor="text1" w:val="000000"/>
                <w:szCs w:val="22"/>
                <w:lang w:eastAsia="en-US" w:val="en-US"/>
              </w:rPr>
              <w:t>6</w:t>
            </w:r>
            <w:r w:rsidR="004B325A">
              <w:rPr>
                <w:rFonts w:cstheme="majorBidi" w:eastAsiaTheme="majorEastAsia"/>
                <w:b/>
                <w:bCs/>
                <w:iCs/>
                <w:caps/>
                <w:color w:themeColor="text1" w:val="000000"/>
                <w:szCs w:val="22"/>
                <w:lang w:eastAsia="en-US" w:val="en-US"/>
              </w:rPr>
              <w:t xml:space="preserve">.03 </w:t>
            </w:r>
            <w:r w:rsidRPr="005C424F">
              <w:rPr>
                <w:rFonts w:cstheme="majorBidi" w:eastAsiaTheme="majorEastAsia"/>
                <w:b/>
                <w:bCs/>
                <w:iCs/>
                <w:caps/>
                <w:color w:themeColor="text1" w:val="000000"/>
                <w:szCs w:val="22"/>
                <w:lang w:eastAsia="en-US" w:val="en-US"/>
              </w:rPr>
              <w:t>%</w:t>
            </w:r>
          </w:p>
        </w:tc>
      </w:tr>
    </w:tbl>
    <w:p w14:paraId="188B421D" w14:textId="33D3D65E" w:rsidP="004C7732" w:rsidR="00E559CD" w:rsidRDefault="00E559CD"/>
    <w:p w14:paraId="60D3970F" w14:textId="6091A66B" w:rsidP="004C7732" w:rsidR="007B394D" w:rsidRDefault="007B394D">
      <w:r>
        <w:t>Les salaires des apprentis sont soumis à une règlementation basée sur le SMIC en fonction du niveau d’études, de l’âge de l’apprenti</w:t>
      </w:r>
      <w:r w:rsidR="004C31F9">
        <w:t xml:space="preserve"> et</w:t>
      </w:r>
      <w:r>
        <w:t xml:space="preserve"> de l’ancienneté dans l’entreprise.</w:t>
      </w:r>
    </w:p>
    <w:p w14:paraId="0AC2A43C" w14:textId="77777777" w:rsidP="004C7732" w:rsidR="007B394D" w:rsidRDefault="007B394D" w:rsidRPr="004C31F9">
      <w:pPr>
        <w:rPr>
          <w:sz w:val="4"/>
          <w:szCs w:val="2"/>
        </w:rPr>
      </w:pPr>
    </w:p>
    <w:p w14:paraId="7233A41B" w14:textId="77777777" w:rsidP="00D43310" w:rsidR="00D43310" w:rsidRDefault="00D43310">
      <w:pPr>
        <w:pStyle w:val="Titre2"/>
        <w:ind w:left="1276"/>
      </w:pPr>
      <w:r>
        <w:t>Primes et indemnités liées au travail sur chantier</w:t>
      </w:r>
    </w:p>
    <w:p w14:paraId="422B8B55" w14:textId="77777777" w:rsidP="00D43310" w:rsidR="00D43310" w:rsidRDefault="00D43310" w:rsidRPr="00202006">
      <w:pPr>
        <w:rPr>
          <w:sz w:val="10"/>
          <w:szCs w:val="10"/>
        </w:rPr>
      </w:pPr>
    </w:p>
    <w:p w14:paraId="1B8D0888" w14:textId="76D5BCB6" w:rsidP="00317D97" w:rsidR="00D43310" w:rsidRDefault="00D43310">
      <w:pPr>
        <w:rPr>
          <w:rFonts w:eastAsia="SimSun"/>
          <w:szCs w:val="22"/>
          <w:lang w:eastAsia="en-US"/>
        </w:rPr>
      </w:pPr>
      <w:r w:rsidRPr="006338D4">
        <w:rPr>
          <w:rFonts w:eastAsia="SimSun"/>
          <w:szCs w:val="22"/>
          <w:lang w:eastAsia="en-US"/>
        </w:rPr>
        <w:t xml:space="preserve">Les indemnités de petits déplacements et l’indemnité de repas sont revalorisés chaque année par la </w:t>
      </w:r>
      <w:proofErr w:type="gramStart"/>
      <w:r w:rsidRPr="006338D4">
        <w:rPr>
          <w:rFonts w:eastAsia="SimSun"/>
          <w:szCs w:val="22"/>
          <w:lang w:eastAsia="en-US"/>
        </w:rPr>
        <w:t>convention</w:t>
      </w:r>
      <w:proofErr w:type="gramEnd"/>
      <w:r w:rsidRPr="006338D4">
        <w:rPr>
          <w:rFonts w:eastAsia="SimSun"/>
          <w:szCs w:val="22"/>
          <w:lang w:eastAsia="en-US"/>
        </w:rPr>
        <w:t xml:space="preserve"> des Travaux Publics. </w:t>
      </w:r>
    </w:p>
    <w:p w14:paraId="00B58F54" w14:textId="77777777" w:rsidP="00317D97" w:rsidR="00317D97" w:rsidRDefault="00317D97" w:rsidRPr="00317D97">
      <w:pPr>
        <w:spacing w:line="276" w:lineRule="auto"/>
        <w:rPr>
          <w:rFonts w:eastAsia="SimSun"/>
          <w:sz w:val="10"/>
          <w:szCs w:val="10"/>
          <w:lang w:eastAsia="en-US"/>
        </w:rPr>
      </w:pPr>
    </w:p>
    <w:p w14:paraId="0C8D1C48" w14:textId="1C1206A6" w:rsidP="00317D97" w:rsidR="00D43310" w:rsidRDefault="00D43310">
      <w:pPr>
        <w:rPr>
          <w:rFonts w:eastAsia="SimSun"/>
          <w:szCs w:val="22"/>
          <w:lang w:eastAsia="en-US"/>
        </w:rPr>
      </w:pPr>
      <w:r w:rsidRPr="00533642">
        <w:rPr>
          <w:rFonts w:eastAsia="SimSun"/>
          <w:szCs w:val="22"/>
          <w:lang w:eastAsia="en-US"/>
        </w:rPr>
        <w:t>Au 1</w:t>
      </w:r>
      <w:r w:rsidRPr="00533642">
        <w:rPr>
          <w:rFonts w:eastAsia="SimSun"/>
          <w:szCs w:val="22"/>
          <w:vertAlign w:val="superscript"/>
          <w:lang w:eastAsia="en-US"/>
        </w:rPr>
        <w:t>er</w:t>
      </w:r>
      <w:r w:rsidRPr="00533642">
        <w:rPr>
          <w:rFonts w:eastAsia="SimSun"/>
          <w:szCs w:val="22"/>
          <w:lang w:eastAsia="en-US"/>
        </w:rPr>
        <w:t xml:space="preserve"> janvier 20</w:t>
      </w:r>
      <w:r w:rsidR="00D33C08" w:rsidRPr="00533642">
        <w:rPr>
          <w:rFonts w:eastAsia="SimSun"/>
          <w:szCs w:val="22"/>
          <w:lang w:eastAsia="en-US"/>
        </w:rPr>
        <w:t>2</w:t>
      </w:r>
      <w:r w:rsidR="00752D88">
        <w:rPr>
          <w:rFonts w:eastAsia="SimSun"/>
          <w:szCs w:val="22"/>
          <w:lang w:eastAsia="en-US"/>
        </w:rPr>
        <w:t>3</w:t>
      </w:r>
      <w:r w:rsidRPr="00533642">
        <w:rPr>
          <w:rFonts w:eastAsia="SimSun"/>
          <w:szCs w:val="22"/>
          <w:lang w:eastAsia="en-US"/>
        </w:rPr>
        <w:t xml:space="preserve">, le </w:t>
      </w:r>
      <w:r w:rsidRPr="00533642">
        <w:rPr>
          <w:rFonts w:eastAsia="SimSun"/>
          <w:b/>
          <w:szCs w:val="22"/>
          <w:lang w:eastAsia="en-US"/>
        </w:rPr>
        <w:t>panier repas</w:t>
      </w:r>
      <w:r w:rsidRPr="00533642">
        <w:rPr>
          <w:rFonts w:eastAsia="SimSun"/>
          <w:szCs w:val="22"/>
          <w:lang w:eastAsia="en-US"/>
        </w:rPr>
        <w:t xml:space="preserve"> sera de </w:t>
      </w:r>
      <w:r w:rsidR="004A4831">
        <w:rPr>
          <w:rFonts w:eastAsia="SimSun"/>
          <w:szCs w:val="22"/>
          <w:lang w:eastAsia="en-US"/>
        </w:rPr>
        <w:t>12</w:t>
      </w:r>
      <w:r w:rsidR="00D21EB0">
        <w:rPr>
          <w:rFonts w:eastAsia="SimSun"/>
          <w:szCs w:val="22"/>
          <w:lang w:eastAsia="en-US"/>
        </w:rPr>
        <w:t xml:space="preserve">, </w:t>
      </w:r>
      <w:r w:rsidR="004A4831">
        <w:rPr>
          <w:rFonts w:eastAsia="SimSun"/>
          <w:szCs w:val="22"/>
          <w:lang w:eastAsia="en-US"/>
        </w:rPr>
        <w:t>90</w:t>
      </w:r>
      <w:r w:rsidRPr="00533642">
        <w:rPr>
          <w:rFonts w:eastAsia="SimSun"/>
          <w:szCs w:val="22"/>
          <w:lang w:eastAsia="en-US"/>
        </w:rPr>
        <w:t xml:space="preserve"> € (</w:t>
      </w:r>
      <w:r w:rsidR="004A4831">
        <w:rPr>
          <w:rFonts w:eastAsia="SimSun"/>
          <w:szCs w:val="22"/>
          <w:lang w:eastAsia="en-US"/>
        </w:rPr>
        <w:t>9,90</w:t>
      </w:r>
      <w:r w:rsidRPr="00533642">
        <w:rPr>
          <w:rFonts w:eastAsia="SimSun"/>
          <w:szCs w:val="22"/>
          <w:lang w:eastAsia="en-US"/>
        </w:rPr>
        <w:t xml:space="preserve"> € non soumis et </w:t>
      </w:r>
      <w:r w:rsidR="004A4831">
        <w:rPr>
          <w:rFonts w:eastAsia="SimSun"/>
          <w:szCs w:val="22"/>
          <w:lang w:eastAsia="en-US"/>
        </w:rPr>
        <w:t>3</w:t>
      </w:r>
      <w:r w:rsidRPr="00533642">
        <w:rPr>
          <w:rFonts w:eastAsia="SimSun"/>
          <w:szCs w:val="22"/>
          <w:lang w:eastAsia="en-US"/>
        </w:rPr>
        <w:t xml:space="preserve"> € soumis).</w:t>
      </w:r>
      <w:r w:rsidR="00D92208" w:rsidRPr="00533642">
        <w:rPr>
          <w:rFonts w:eastAsia="SimSun"/>
          <w:szCs w:val="22"/>
          <w:lang w:eastAsia="en-US"/>
        </w:rPr>
        <w:t xml:space="preserve"> </w:t>
      </w:r>
    </w:p>
    <w:p w14:paraId="6F03A82C" w14:textId="77777777" w:rsidP="00317D97" w:rsidR="00317D97" w:rsidRDefault="00317D97" w:rsidRPr="00317D97">
      <w:pPr>
        <w:rPr>
          <w:rFonts w:eastAsia="SimSun"/>
          <w:sz w:val="8"/>
          <w:szCs w:val="8"/>
          <w:lang w:eastAsia="en-US"/>
        </w:rPr>
      </w:pPr>
    </w:p>
    <w:p w14:paraId="1C82A597" w14:textId="2417928B" w:rsidP="00317D97" w:rsidR="00D43310" w:rsidRDefault="00D43310">
      <w:pPr>
        <w:rPr>
          <w:rFonts w:eastAsia="SimSun"/>
          <w:szCs w:val="22"/>
          <w:lang w:eastAsia="en-US"/>
        </w:rPr>
      </w:pPr>
      <w:r w:rsidRPr="00533642">
        <w:rPr>
          <w:rFonts w:eastAsia="SimSun"/>
          <w:szCs w:val="22"/>
          <w:lang w:eastAsia="en-US"/>
        </w:rPr>
        <w:t xml:space="preserve">Les </w:t>
      </w:r>
      <w:r w:rsidRPr="00533642">
        <w:rPr>
          <w:rFonts w:eastAsia="SimSun"/>
          <w:b/>
          <w:szCs w:val="22"/>
          <w:lang w:eastAsia="en-US"/>
        </w:rPr>
        <w:t>indemnités de trajet</w:t>
      </w:r>
      <w:r w:rsidRPr="00533642">
        <w:rPr>
          <w:rFonts w:eastAsia="SimSun"/>
          <w:szCs w:val="22"/>
          <w:lang w:eastAsia="en-US"/>
        </w:rPr>
        <w:t xml:space="preserve"> seront de :</w:t>
      </w:r>
    </w:p>
    <w:p w14:paraId="375DAEE5" w14:textId="77777777" w:rsidP="00317D97" w:rsidR="00317D97" w:rsidRDefault="00317D97" w:rsidRPr="00317D97">
      <w:pPr>
        <w:spacing w:line="276" w:lineRule="auto"/>
        <w:rPr>
          <w:rFonts w:eastAsia="SimSun"/>
          <w:sz w:val="10"/>
          <w:szCs w:val="10"/>
          <w:lang w:eastAsia="en-US"/>
        </w:rPr>
      </w:pPr>
    </w:p>
    <w:p w14:paraId="5B174481" w14:textId="1404C5D1" w:rsidP="00D43310" w:rsidR="00D43310" w:rsidRDefault="00D43310" w:rsidRPr="00533642">
      <w:pPr>
        <w:rPr>
          <w:rFonts w:eastAsia="SimSun"/>
          <w:lang w:eastAsia="en-US"/>
        </w:rPr>
      </w:pPr>
      <w:r w:rsidRPr="00533642">
        <w:rPr>
          <w:rFonts w:eastAsia="SimSun"/>
          <w:lang w:eastAsia="en-US"/>
        </w:rPr>
        <w:t xml:space="preserve">Zone 1 &gt; </w:t>
      </w:r>
      <w:r w:rsidR="00435E2B">
        <w:rPr>
          <w:rFonts w:eastAsia="SimSun"/>
          <w:lang w:eastAsia="en-US"/>
        </w:rPr>
        <w:t>2.38</w:t>
      </w:r>
      <w:r w:rsidRPr="00533642">
        <w:rPr>
          <w:rFonts w:eastAsia="SimSun"/>
          <w:lang w:eastAsia="en-US"/>
        </w:rPr>
        <w:t xml:space="preserve"> €</w:t>
      </w:r>
      <w:r w:rsidRPr="00533642">
        <w:rPr>
          <w:rFonts w:eastAsia="SimSun"/>
          <w:lang w:eastAsia="en-US"/>
        </w:rPr>
        <w:tab/>
      </w:r>
      <w:r w:rsidRPr="00533642">
        <w:rPr>
          <w:rFonts w:eastAsia="SimSun"/>
          <w:lang w:eastAsia="en-US"/>
        </w:rPr>
        <w:tab/>
      </w:r>
      <w:r w:rsidRPr="00533642">
        <w:rPr>
          <w:rFonts w:eastAsia="SimSun"/>
          <w:lang w:eastAsia="en-US"/>
        </w:rPr>
        <w:tab/>
      </w:r>
      <w:r w:rsidRPr="00533642">
        <w:rPr>
          <w:rFonts w:eastAsia="SimSun"/>
          <w:lang w:eastAsia="en-US"/>
        </w:rPr>
        <w:tab/>
      </w:r>
      <w:r w:rsidR="00CD4858" w:rsidRPr="00533642">
        <w:rPr>
          <w:rFonts w:eastAsia="SimSun"/>
          <w:lang w:eastAsia="en-US"/>
        </w:rPr>
        <w:t xml:space="preserve">Zone 3 &gt; </w:t>
      </w:r>
      <w:r w:rsidR="00435E2B">
        <w:rPr>
          <w:rFonts w:eastAsia="SimSun"/>
          <w:lang w:eastAsia="en-US"/>
        </w:rPr>
        <w:t>5.46</w:t>
      </w:r>
      <w:r w:rsidR="00913EFC" w:rsidRPr="00533642">
        <w:rPr>
          <w:rFonts w:eastAsia="SimSun"/>
          <w:lang w:eastAsia="en-US"/>
        </w:rPr>
        <w:t xml:space="preserve"> </w:t>
      </w:r>
      <w:r w:rsidR="00CD4858" w:rsidRPr="00533642">
        <w:rPr>
          <w:rFonts w:eastAsia="SimSun"/>
          <w:lang w:eastAsia="en-US"/>
        </w:rPr>
        <w:t>€</w:t>
      </w:r>
      <w:r w:rsidR="00CD4858" w:rsidRPr="00533642">
        <w:rPr>
          <w:rFonts w:eastAsia="SimSun"/>
          <w:lang w:eastAsia="en-US"/>
        </w:rPr>
        <w:tab/>
      </w:r>
      <w:r w:rsidR="00CD4858" w:rsidRPr="00533642">
        <w:rPr>
          <w:rFonts w:eastAsia="SimSun"/>
          <w:lang w:eastAsia="en-US"/>
        </w:rPr>
        <w:tab/>
      </w:r>
      <w:r w:rsidR="00CD4858" w:rsidRPr="00533642">
        <w:rPr>
          <w:rFonts w:eastAsia="SimSun"/>
          <w:lang w:eastAsia="en-US"/>
        </w:rPr>
        <w:tab/>
      </w:r>
      <w:r w:rsidR="00CD4858" w:rsidRPr="00533642">
        <w:rPr>
          <w:rFonts w:eastAsia="SimSun"/>
          <w:lang w:eastAsia="en-US"/>
        </w:rPr>
        <w:tab/>
        <w:t xml:space="preserve">Zone 5 &gt; </w:t>
      </w:r>
      <w:r w:rsidR="00435E2B">
        <w:rPr>
          <w:rFonts w:eastAsia="SimSun"/>
          <w:lang w:eastAsia="en-US"/>
        </w:rPr>
        <w:t>8.07</w:t>
      </w:r>
      <w:r w:rsidR="00913EFC" w:rsidRPr="00533642">
        <w:rPr>
          <w:rFonts w:eastAsia="SimSun"/>
          <w:lang w:eastAsia="en-US"/>
        </w:rPr>
        <w:t xml:space="preserve"> </w:t>
      </w:r>
      <w:r w:rsidR="00CD4858" w:rsidRPr="00533642">
        <w:rPr>
          <w:rFonts w:eastAsia="SimSun"/>
          <w:lang w:eastAsia="en-US"/>
        </w:rPr>
        <w:t>€</w:t>
      </w:r>
    </w:p>
    <w:p w14:paraId="26AC00FA" w14:textId="0EF3625B" w:rsidP="00D43310" w:rsidR="00D43310" w:rsidRDefault="00D43310" w:rsidRPr="00533642">
      <w:pPr>
        <w:rPr>
          <w:rFonts w:eastAsia="SimSun"/>
          <w:lang w:eastAsia="en-US"/>
        </w:rPr>
      </w:pPr>
      <w:r w:rsidRPr="00533642">
        <w:rPr>
          <w:rFonts w:eastAsia="SimSun"/>
          <w:lang w:eastAsia="en-US"/>
        </w:rPr>
        <w:t xml:space="preserve">Zone 2 &gt; </w:t>
      </w:r>
      <w:r w:rsidR="00435E2B">
        <w:rPr>
          <w:rFonts w:eastAsia="SimSun"/>
          <w:lang w:eastAsia="en-US"/>
        </w:rPr>
        <w:t>3.50</w:t>
      </w:r>
      <w:r w:rsidR="00913EFC" w:rsidRPr="00533642">
        <w:rPr>
          <w:rFonts w:eastAsia="SimSun"/>
          <w:lang w:eastAsia="en-US"/>
        </w:rPr>
        <w:t xml:space="preserve"> </w:t>
      </w:r>
      <w:r w:rsidRPr="00533642">
        <w:rPr>
          <w:rFonts w:eastAsia="SimSun"/>
          <w:lang w:eastAsia="en-US"/>
        </w:rPr>
        <w:t>€</w:t>
      </w:r>
      <w:r w:rsidRPr="00533642">
        <w:rPr>
          <w:rFonts w:eastAsia="SimSun"/>
          <w:lang w:eastAsia="en-US"/>
        </w:rPr>
        <w:tab/>
      </w:r>
      <w:r w:rsidRPr="00533642">
        <w:rPr>
          <w:rFonts w:eastAsia="SimSun"/>
          <w:lang w:eastAsia="en-US"/>
        </w:rPr>
        <w:tab/>
      </w:r>
      <w:r w:rsidRPr="00533642">
        <w:rPr>
          <w:rFonts w:eastAsia="SimSun"/>
          <w:lang w:eastAsia="en-US"/>
        </w:rPr>
        <w:tab/>
      </w:r>
      <w:r w:rsidRPr="00533642">
        <w:rPr>
          <w:rFonts w:eastAsia="SimSun"/>
          <w:lang w:eastAsia="en-US"/>
        </w:rPr>
        <w:tab/>
      </w:r>
      <w:r w:rsidR="00CD4858" w:rsidRPr="00533642">
        <w:rPr>
          <w:rFonts w:eastAsia="SimSun"/>
          <w:lang w:eastAsia="en-US"/>
        </w:rPr>
        <w:t xml:space="preserve">Zone 4 &gt; </w:t>
      </w:r>
      <w:r w:rsidR="00435E2B">
        <w:rPr>
          <w:rFonts w:eastAsia="SimSun"/>
          <w:lang w:eastAsia="en-US"/>
        </w:rPr>
        <w:t>6.57</w:t>
      </w:r>
      <w:r w:rsidR="00913EFC" w:rsidRPr="00533642">
        <w:rPr>
          <w:rFonts w:eastAsia="SimSun"/>
          <w:lang w:eastAsia="en-US"/>
        </w:rPr>
        <w:t xml:space="preserve"> </w:t>
      </w:r>
      <w:r w:rsidR="00CD4858" w:rsidRPr="00533642">
        <w:rPr>
          <w:rFonts w:eastAsia="SimSun"/>
          <w:lang w:eastAsia="en-US"/>
        </w:rPr>
        <w:t>€</w:t>
      </w:r>
      <w:r w:rsidR="00CD4858" w:rsidRPr="00533642">
        <w:rPr>
          <w:rFonts w:eastAsia="SimSun"/>
          <w:lang w:eastAsia="en-US"/>
        </w:rPr>
        <w:tab/>
      </w:r>
    </w:p>
    <w:p w14:paraId="2FAE30D1" w14:textId="4D128C7B" w:rsidP="00317D97" w:rsidR="00D43310" w:rsidRDefault="00D43310">
      <w:pPr>
        <w:rPr>
          <w:rFonts w:eastAsia="SimSun"/>
          <w:lang w:eastAsia="en-US"/>
        </w:rPr>
      </w:pPr>
      <w:r w:rsidRPr="00533642">
        <w:rPr>
          <w:rFonts w:eastAsia="SimSun"/>
          <w:lang w:eastAsia="en-US"/>
        </w:rPr>
        <w:tab/>
      </w:r>
      <w:r w:rsidRPr="00533642">
        <w:rPr>
          <w:rFonts w:eastAsia="SimSun"/>
          <w:lang w:eastAsia="en-US"/>
        </w:rPr>
        <w:tab/>
      </w:r>
    </w:p>
    <w:p w14:paraId="5BA42499" w14:textId="31930AC3" w:rsidP="00317D97" w:rsidR="0018573E" w:rsidRDefault="00932641">
      <w:pPr>
        <w:rPr>
          <w:rFonts w:eastAsia="SimSun"/>
          <w:lang w:eastAsia="en-US"/>
        </w:rPr>
      </w:pPr>
      <w:r>
        <w:rPr>
          <w:rFonts w:eastAsia="SimSun"/>
          <w:lang w:eastAsia="en-US"/>
        </w:rPr>
        <w:t>L’entreprise CLEMANCON prend en charge 100% du NAVIGO (50% soumis à cotisations, 50% non soumis à cotisations), l’augmentation prévue au 1</w:t>
      </w:r>
      <w:r w:rsidRPr="00932641">
        <w:rPr>
          <w:rFonts w:eastAsia="SimSun"/>
          <w:vertAlign w:val="superscript"/>
          <w:lang w:eastAsia="en-US"/>
        </w:rPr>
        <w:t>er</w:t>
      </w:r>
      <w:r>
        <w:rPr>
          <w:rFonts w:eastAsia="SimSun"/>
          <w:lang w:eastAsia="en-US"/>
        </w:rPr>
        <w:t xml:space="preserve"> janvier 2023 sera prise en compte par l’entreprise. </w:t>
      </w:r>
    </w:p>
    <w:p w14:paraId="4303360E" w14:textId="77777777" w:rsidP="00317D97" w:rsidR="006915D9" w:rsidRDefault="006915D9" w:rsidRPr="00533642">
      <w:pPr>
        <w:rPr>
          <w:rFonts w:eastAsia="SimSun"/>
          <w:lang w:eastAsia="en-US"/>
        </w:rPr>
      </w:pPr>
    </w:p>
    <w:p w14:paraId="409B6BB0" w14:textId="77777777" w:rsidR="00A31289" w:rsidRDefault="00A31289">
      <w:pPr>
        <w:jc w:val="left"/>
        <w:rPr>
          <w:rFonts w:eastAsia="SimSun"/>
          <w:szCs w:val="22"/>
          <w:lang w:eastAsia="en-US"/>
        </w:rPr>
      </w:pPr>
      <w:r>
        <w:rPr>
          <w:rFonts w:eastAsia="SimSun"/>
          <w:szCs w:val="22"/>
          <w:lang w:eastAsia="en-US"/>
        </w:rPr>
        <w:br w:type="page"/>
      </w:r>
    </w:p>
    <w:p w14:paraId="181459E6" w14:textId="77777777" w:rsidP="00222817" w:rsidR="00A31289" w:rsidRDefault="00A31289">
      <w:pPr>
        <w:rPr>
          <w:rFonts w:eastAsia="SimSun"/>
          <w:szCs w:val="22"/>
          <w:lang w:eastAsia="en-US"/>
        </w:rPr>
      </w:pPr>
    </w:p>
    <w:p w14:paraId="5F6FDB08" w14:textId="257F19FA" w:rsidP="00222817" w:rsidR="00D43310" w:rsidRDefault="00D43310" w:rsidRPr="009C1B8F">
      <w:pPr>
        <w:rPr>
          <w:rFonts w:eastAsia="SimSun"/>
          <w:szCs w:val="22"/>
          <w:lang w:eastAsia="en-US"/>
        </w:rPr>
      </w:pPr>
      <w:r w:rsidRPr="009C1B8F">
        <w:rPr>
          <w:rFonts w:eastAsia="SimSun"/>
          <w:szCs w:val="22"/>
          <w:lang w:eastAsia="en-US"/>
        </w:rPr>
        <w:t xml:space="preserve">La </w:t>
      </w:r>
      <w:r w:rsidRPr="009C1B8F">
        <w:rPr>
          <w:rFonts w:eastAsia="SimSun"/>
          <w:b/>
          <w:szCs w:val="22"/>
          <w:lang w:eastAsia="en-US"/>
        </w:rPr>
        <w:t>prime d’ancienneté</w:t>
      </w:r>
      <w:r w:rsidRPr="009C1B8F">
        <w:rPr>
          <w:rFonts w:eastAsia="SimSun"/>
          <w:szCs w:val="22"/>
          <w:lang w:eastAsia="en-US"/>
        </w:rPr>
        <w:t>, octroyée au personnel ouvrier présent au moment du versement (et sans procédure de départ en cours), justifiant de 5 ans dans la société, se calcule de la manière suivante :</w:t>
      </w:r>
    </w:p>
    <w:p w14:paraId="36BEB52B" w14:textId="234DF98D" w:rsidP="005C424F" w:rsidR="00B6037E" w:rsidRDefault="00D43310" w:rsidRPr="009C1B8F">
      <w:pPr>
        <w:spacing w:line="360" w:lineRule="auto"/>
        <w:rPr>
          <w:rFonts w:eastAsia="SimSun"/>
          <w:szCs w:val="22"/>
          <w:lang w:eastAsia="en-US"/>
        </w:rPr>
      </w:pPr>
      <w:r w:rsidRPr="009C1B8F">
        <w:rPr>
          <w:rFonts w:eastAsia="SimSun"/>
          <w:szCs w:val="22"/>
          <w:lang w:eastAsia="en-US"/>
        </w:rPr>
        <w:t xml:space="preserve">Salaires bruts de l’année </w:t>
      </w:r>
      <w:r w:rsidR="00D67AF8">
        <w:rPr>
          <w:rFonts w:eastAsia="SimSun"/>
          <w:szCs w:val="22"/>
          <w:lang w:eastAsia="en-US"/>
        </w:rPr>
        <w:t>N-1</w:t>
      </w:r>
      <w:r w:rsidRPr="009C1B8F">
        <w:rPr>
          <w:rFonts w:eastAsia="SimSun"/>
          <w:szCs w:val="22"/>
          <w:lang w:eastAsia="en-US"/>
        </w:rPr>
        <w:t xml:space="preserve"> multipliés par le %</w:t>
      </w:r>
      <w:r w:rsidR="00D33C08" w:rsidRPr="009C1B8F">
        <w:rPr>
          <w:rFonts w:eastAsia="SimSun"/>
          <w:szCs w:val="22"/>
          <w:lang w:eastAsia="en-US"/>
        </w:rPr>
        <w:t>âge</w:t>
      </w:r>
      <w:r w:rsidRPr="009C1B8F">
        <w:rPr>
          <w:rFonts w:eastAsia="SimSun"/>
          <w:szCs w:val="22"/>
          <w:lang w:eastAsia="en-US"/>
        </w:rPr>
        <w:t xml:space="preserve"> lié à l’ancienneté.</w:t>
      </w:r>
    </w:p>
    <w:p w14:paraId="735E1787" w14:textId="5E53CDD8" w:rsidP="00A91F08" w:rsidR="00317D97" w:rsidRDefault="00317D97" w:rsidRPr="005C424F">
      <w:pPr>
        <w:jc w:val="left"/>
        <w:rPr>
          <w:rFonts w:eastAsia="SimSun"/>
          <w:sz w:val="14"/>
          <w:szCs w:val="14"/>
          <w:lang w:eastAsia="en-US"/>
        </w:rPr>
        <w:sectPr w:rsidR="00317D97" w:rsidRPr="005C424F" w:rsidSect="003C1C59">
          <w:headerReference r:id="rId9" w:type="even"/>
          <w:headerReference r:id="rId10" w:type="default"/>
          <w:footerReference r:id="rId11" w:type="default"/>
          <w:headerReference r:id="rId12" w:type="first"/>
          <w:footerReference r:id="rId13" w:type="first"/>
          <w:pgSz w:code="9" w:h="16838" w:w="11906"/>
          <w:pgMar w:bottom="1134" w:footer="340" w:gutter="0" w:header="510" w:left="1418" w:right="1418" w:top="1134"/>
          <w:cols w:space="708"/>
          <w:docGrid w:linePitch="360"/>
        </w:sectPr>
      </w:pPr>
    </w:p>
    <w:tbl>
      <w:tblPr>
        <w:tblStyle w:val="Grilledutableau"/>
        <w:tblW w:type="dxa" w:w="7366"/>
        <w:jc w:val="center"/>
        <w:tblLook w:firstColumn="1" w:firstRow="1" w:lastColumn="0" w:lastRow="0" w:noHBand="0" w:noVBand="1" w:val="04A0"/>
      </w:tblPr>
      <w:tblGrid>
        <w:gridCol w:w="3681"/>
        <w:gridCol w:w="3685"/>
      </w:tblGrid>
      <w:tr w14:paraId="4FE03D32" w14:textId="77777777" w:rsidR="0039344B" w:rsidRPr="0039344B" w:rsidTr="00B6037E">
        <w:trPr>
          <w:trHeight w:val="500"/>
          <w:jc w:val="center"/>
        </w:trPr>
        <w:tc>
          <w:tcPr>
            <w:tcW w:type="dxa" w:w="3681"/>
            <w:vAlign w:val="center"/>
          </w:tcPr>
          <w:p w14:paraId="247EAC7F" w14:textId="799DF3CF" w:rsidP="00B6037E" w:rsidR="0039344B" w:rsidRDefault="0039344B" w:rsidRPr="0039344B">
            <w:pPr>
              <w:spacing w:after="0" w:line="240" w:lineRule="auto"/>
              <w:jc w:val="left"/>
              <w:rPr>
                <w:rFonts w:eastAsia="SimSun"/>
                <w:szCs w:val="22"/>
                <w:lang w:eastAsia="en-US"/>
              </w:rPr>
            </w:pPr>
            <w:r w:rsidRPr="0039344B">
              <w:rPr>
                <w:rFonts w:eastAsia="SimSun"/>
                <w:szCs w:val="22"/>
                <w:lang w:eastAsia="en-US"/>
              </w:rPr>
              <w:t>De 5 ans à 10 ans</w:t>
            </w:r>
            <w:r>
              <w:rPr>
                <w:rFonts w:eastAsia="SimSun"/>
                <w:szCs w:val="22"/>
                <w:lang w:eastAsia="en-US"/>
              </w:rPr>
              <w:t> : 1,00 %</w:t>
            </w:r>
          </w:p>
        </w:tc>
        <w:tc>
          <w:tcPr>
            <w:tcW w:type="dxa" w:w="3685"/>
            <w:vAlign w:val="center"/>
          </w:tcPr>
          <w:p w14:paraId="2AAC433A" w14:textId="7D6B968F" w:rsidP="00B6037E" w:rsidR="0039344B" w:rsidRDefault="0039344B" w:rsidRPr="0039344B">
            <w:pPr>
              <w:spacing w:after="0" w:line="240" w:lineRule="auto"/>
              <w:jc w:val="left"/>
              <w:rPr>
                <w:rFonts w:eastAsia="SimSun"/>
                <w:szCs w:val="22"/>
                <w:lang w:eastAsia="en-US"/>
              </w:rPr>
            </w:pPr>
            <w:r w:rsidRPr="0039344B">
              <w:rPr>
                <w:rFonts w:eastAsia="SimSun"/>
                <w:szCs w:val="22"/>
                <w:lang w:eastAsia="en-US"/>
              </w:rPr>
              <w:t>De 16 ans à 20 ans</w:t>
            </w:r>
            <w:r>
              <w:rPr>
                <w:rFonts w:eastAsia="SimSun"/>
                <w:szCs w:val="22"/>
                <w:lang w:eastAsia="en-US"/>
              </w:rPr>
              <w:t> : 1,50 %</w:t>
            </w:r>
          </w:p>
        </w:tc>
      </w:tr>
      <w:tr w14:paraId="6537E35D" w14:textId="77777777" w:rsidR="0039344B" w:rsidRPr="0039344B" w:rsidTr="00B6037E">
        <w:trPr>
          <w:trHeight w:val="361"/>
          <w:jc w:val="center"/>
        </w:trPr>
        <w:tc>
          <w:tcPr>
            <w:tcW w:type="dxa" w:w="3681"/>
            <w:vAlign w:val="center"/>
          </w:tcPr>
          <w:p w14:paraId="3ED04711" w14:textId="645A9504" w:rsidP="00B6037E" w:rsidR="0039344B" w:rsidRDefault="0039344B" w:rsidRPr="0039344B">
            <w:pPr>
              <w:spacing w:after="0" w:line="240" w:lineRule="auto"/>
              <w:jc w:val="left"/>
              <w:rPr>
                <w:rFonts w:eastAsia="SimSun"/>
                <w:szCs w:val="22"/>
                <w:lang w:eastAsia="en-US"/>
              </w:rPr>
            </w:pPr>
            <w:r w:rsidRPr="0039344B">
              <w:rPr>
                <w:rFonts w:eastAsia="SimSun"/>
                <w:szCs w:val="22"/>
                <w:lang w:eastAsia="en-US"/>
              </w:rPr>
              <w:t>De 11 ans à 15 ans</w:t>
            </w:r>
            <w:r>
              <w:rPr>
                <w:rFonts w:eastAsia="SimSun"/>
                <w:szCs w:val="22"/>
                <w:lang w:eastAsia="en-US"/>
              </w:rPr>
              <w:t> : 1,25 %</w:t>
            </w:r>
          </w:p>
        </w:tc>
        <w:tc>
          <w:tcPr>
            <w:tcW w:type="dxa" w:w="3685"/>
            <w:vAlign w:val="center"/>
          </w:tcPr>
          <w:p w14:paraId="57433FD9" w14:textId="036F0530" w:rsidP="00B6037E" w:rsidR="0039344B" w:rsidRDefault="0039344B" w:rsidRPr="0039344B">
            <w:pPr>
              <w:spacing w:after="0" w:line="240" w:lineRule="auto"/>
              <w:jc w:val="left"/>
              <w:rPr>
                <w:rFonts w:eastAsia="SimSun"/>
                <w:szCs w:val="22"/>
                <w:lang w:eastAsia="en-US"/>
              </w:rPr>
            </w:pPr>
            <w:r w:rsidRPr="0039344B">
              <w:rPr>
                <w:rFonts w:eastAsia="SimSun"/>
                <w:szCs w:val="22"/>
                <w:lang w:eastAsia="en-US"/>
              </w:rPr>
              <w:t>De 21 ans à 30 ans</w:t>
            </w:r>
            <w:r>
              <w:rPr>
                <w:rFonts w:eastAsia="SimSun"/>
                <w:szCs w:val="22"/>
                <w:lang w:eastAsia="en-US"/>
              </w:rPr>
              <w:t> : 2,00 %</w:t>
            </w:r>
          </w:p>
        </w:tc>
      </w:tr>
      <w:tr w14:paraId="72B32D81" w14:textId="77777777" w:rsidR="0039344B" w:rsidRPr="0039344B" w:rsidTr="00B6037E">
        <w:trPr>
          <w:trHeight w:val="507"/>
          <w:jc w:val="center"/>
        </w:trPr>
        <w:tc>
          <w:tcPr>
            <w:tcW w:type="dxa" w:w="7366"/>
            <w:gridSpan w:val="2"/>
            <w:vAlign w:val="center"/>
          </w:tcPr>
          <w:p w14:paraId="525F052F" w14:textId="44DE5AA1" w:rsidP="0039344B" w:rsidR="0039344B" w:rsidRDefault="0039344B" w:rsidRPr="0039344B">
            <w:pPr>
              <w:spacing w:after="0" w:line="240" w:lineRule="auto"/>
              <w:jc w:val="center"/>
              <w:rPr>
                <w:rFonts w:eastAsia="SimSun"/>
                <w:szCs w:val="22"/>
                <w:lang w:eastAsia="en-US"/>
              </w:rPr>
            </w:pPr>
            <w:r w:rsidRPr="0039344B">
              <w:rPr>
                <w:rFonts w:eastAsia="SimSun"/>
                <w:szCs w:val="22"/>
                <w:lang w:eastAsia="en-US"/>
              </w:rPr>
              <w:t>De 31 ans et plus</w:t>
            </w:r>
            <w:r>
              <w:rPr>
                <w:rFonts w:eastAsia="SimSun"/>
                <w:szCs w:val="22"/>
                <w:lang w:eastAsia="en-US"/>
              </w:rPr>
              <w:t> : 2,50 %</w:t>
            </w:r>
          </w:p>
        </w:tc>
      </w:tr>
    </w:tbl>
    <w:p w14:paraId="2E2D0632" w14:textId="77777777" w:rsidP="005C424F" w:rsidR="005C424F" w:rsidRDefault="005C424F">
      <w:pPr>
        <w:tabs>
          <w:tab w:pos="2805" w:val="left"/>
        </w:tabs>
      </w:pPr>
    </w:p>
    <w:p w14:paraId="19D9DFCE" w14:textId="05F81CC2" w:rsidP="005C424F" w:rsidR="00913EFC" w:rsidRDefault="00913EFC" w:rsidRPr="005C424F">
      <w:pPr>
        <w:tabs>
          <w:tab w:pos="2805" w:val="left"/>
        </w:tabs>
        <w:sectPr w:rsidR="00913EFC" w:rsidRPr="005C424F" w:rsidSect="0039344B">
          <w:type w:val="continuous"/>
          <w:pgSz w:code="9" w:h="16838" w:w="11906"/>
          <w:pgMar w:bottom="1134" w:footer="709" w:gutter="0" w:header="709" w:left="1418" w:right="1418" w:top="1134"/>
          <w:cols w:space="708"/>
          <w:docGrid w:linePitch="360"/>
        </w:sectPr>
      </w:pPr>
    </w:p>
    <w:p w14:paraId="17AF8DDA" w14:textId="77777777" w:rsidP="00D43310" w:rsidR="00D43310" w:rsidRDefault="00D43310">
      <w:pPr>
        <w:pStyle w:val="Titre2"/>
        <w:ind w:left="1276"/>
      </w:pPr>
      <w:r>
        <w:t>Epargne salariale</w:t>
      </w:r>
    </w:p>
    <w:p w14:paraId="44E1B006" w14:textId="77777777" w:rsidP="00D43310" w:rsidR="00D43310" w:rsidRDefault="00D43310" w:rsidRPr="00A31289">
      <w:pPr>
        <w:rPr>
          <w:sz w:val="8"/>
          <w:szCs w:val="6"/>
        </w:rPr>
      </w:pPr>
    </w:p>
    <w:p w14:paraId="212AA921" w14:textId="77777777" w:rsidP="00D43310" w:rsidR="00D43310" w:rsidRDefault="00D43310">
      <w:pPr>
        <w:pStyle w:val="Sansinterligne"/>
      </w:pPr>
      <w:r>
        <w:t>Participation &amp; Intéressement</w:t>
      </w:r>
    </w:p>
    <w:p w14:paraId="7CA70D62" w14:textId="77777777" w:rsidP="00D43310" w:rsidR="00D43310" w:rsidRDefault="00D43310" w:rsidRPr="00A31289">
      <w:pPr>
        <w:rPr>
          <w:sz w:val="6"/>
          <w:szCs w:val="6"/>
        </w:rPr>
      </w:pPr>
    </w:p>
    <w:p w14:paraId="503753D1" w14:textId="77777777" w:rsidP="00D43310" w:rsidR="00A31289" w:rsidRDefault="00D43310">
      <w:r>
        <w:t>Un accord de participation est en vigueur.</w:t>
      </w:r>
      <w:r w:rsidR="00A31289">
        <w:t xml:space="preserve"> </w:t>
      </w:r>
    </w:p>
    <w:p w14:paraId="793C81BD" w14:textId="46E81340" w:rsidP="00D43310" w:rsidR="00D777CE" w:rsidRDefault="00D43310">
      <w:r>
        <w:t xml:space="preserve">L’accord d’intéressement a été renégocié en juin </w:t>
      </w:r>
      <w:r w:rsidR="00F151C4">
        <w:t>2021</w:t>
      </w:r>
      <w:r>
        <w:t>, et est applicable pour 3 ans.</w:t>
      </w:r>
      <w:r w:rsidR="00A31289">
        <w:t xml:space="preserve"> </w:t>
      </w:r>
      <w:r w:rsidR="00D777CE">
        <w:t>Les critères qualitatifs sont revus tous les ans.</w:t>
      </w:r>
    </w:p>
    <w:p w14:paraId="171E0A09" w14:textId="77777777" w:rsidP="00D43310" w:rsidR="00913EFC" w:rsidRDefault="00913EFC" w:rsidRPr="00A31289">
      <w:pPr>
        <w:rPr>
          <w:sz w:val="18"/>
          <w:szCs w:val="16"/>
        </w:rPr>
      </w:pPr>
    </w:p>
    <w:p w14:paraId="1B43BB22" w14:textId="19672004" w:rsidP="00202006" w:rsidR="00430436" w:rsidRDefault="00D43310" w:rsidRPr="00430436">
      <w:pPr>
        <w:pStyle w:val="Sansinterligne"/>
        <w:spacing w:line="276" w:lineRule="auto"/>
      </w:pPr>
      <w:r>
        <w:t>Abondement CASTOR</w:t>
      </w:r>
      <w:r w:rsidR="000A0138">
        <w:t xml:space="preserve"> K</w:t>
      </w:r>
      <w:r w:rsidR="00300637">
        <w:t xml:space="preserve"> </w:t>
      </w:r>
      <w:r w:rsidR="000A0138">
        <w:t>€</w:t>
      </w:r>
      <w:r>
        <w:fldChar w:fldCharType="begin"/>
      </w:r>
      <w:r>
        <w:instrText xml:space="preserve"> LINK </w:instrText>
      </w:r>
      <w:r w:rsidR="00923217">
        <w:instrText xml:space="preserve">Excel.Sheet.12 "\\\\S-CZ284305LS-B1.dom1.vinci-energies.net\\Service du personnel\\Accords, RI, contrats CLEMANCON\\NAO\\NAO 2019\\NAO 2019 _ données.xlsx" CASTOR!L2C1:L4C5 </w:instrText>
      </w:r>
      <w:r>
        <w:instrText xml:space="preserve">\a \f 5 \h  \* MERGEFORMAT </w:instrText>
      </w:r>
      <w:r>
        <w:fldChar w:fldCharType="separate"/>
      </w:r>
    </w:p>
    <w:tbl>
      <w:tblPr>
        <w:tblStyle w:val="TableauGrille4-Accentuation1"/>
        <w:tblW w:type="dxa" w:w="3757"/>
        <w:tblLook w:firstColumn="1" w:firstRow="1" w:lastColumn="0" w:lastRow="0" w:noHBand="0" w:noVBand="1" w:val="04A0"/>
      </w:tblPr>
      <w:tblGrid>
        <w:gridCol w:w="2339"/>
        <w:gridCol w:w="1418"/>
      </w:tblGrid>
      <w:tr w14:paraId="05E0F21E" w14:textId="77777777" w:rsidR="00FA2320" w:rsidRPr="000861BD" w:rsidTr="005C424F">
        <w:trPr>
          <w:cnfStyle w:evenHBand="0" w:evenVBand="0" w:firstColumn="0" w:firstRow="1" w:firstRowFirstColumn="0" w:firstRowLastColumn="0" w:lastColumn="0" w:lastRow="0" w:lastRowFirstColumn="0" w:lastRowLastColumn="0" w:oddHBand="0" w:oddVBand="0" w:val="100000000000"/>
          <w:divId w:val="31658665"/>
          <w:trHeight w:val="329"/>
        </w:trPr>
        <w:tc>
          <w:tcPr>
            <w:cnfStyle w:evenHBand="0" w:evenVBand="0" w:firstColumn="1" w:firstRow="0" w:firstRowFirstColumn="0" w:firstRowLastColumn="0" w:lastColumn="0" w:lastRow="0" w:lastRowFirstColumn="0" w:lastRowLastColumn="0" w:oddHBand="0" w:oddVBand="0" w:val="001000000000"/>
            <w:tcW w:type="dxa" w:w="2339"/>
            <w:noWrap/>
            <w:hideMark/>
          </w:tcPr>
          <w:p w14:paraId="106EC6F8" w14:textId="77777777" w:rsidP="00430436" w:rsidR="00FA2320" w:rsidRDefault="00FA2320" w:rsidRPr="00430436">
            <w:pPr>
              <w:rPr>
                <w:b w:val="0"/>
                <w:bCs w:val="0"/>
              </w:rPr>
            </w:pPr>
          </w:p>
        </w:tc>
        <w:tc>
          <w:tcPr>
            <w:tcW w:type="dxa" w:w="1418"/>
            <w:noWrap/>
            <w:hideMark/>
          </w:tcPr>
          <w:p w14:paraId="6E2E6B8D" w14:textId="7C6ECCD2" w:rsidP="00430436" w:rsidR="00FA2320" w:rsidRDefault="005C424F" w:rsidRPr="000861BD">
            <w:pPr>
              <w:jc w:val="center"/>
              <w:cnfStyle w:evenHBand="0" w:evenVBand="0" w:firstColumn="0" w:firstRow="1" w:firstRowFirstColumn="0" w:firstRowLastColumn="0" w:lastColumn="0" w:lastRow="0" w:lastRowFirstColumn="0" w:lastRowLastColumn="0" w:oddHBand="0" w:oddVBand="0" w:val="100000000000"/>
              <w:rPr>
                <w:b w:val="0"/>
                <w:highlight w:val="yellow"/>
              </w:rPr>
            </w:pPr>
            <w:r w:rsidRPr="000861BD">
              <w:t>TOTAL</w:t>
            </w:r>
          </w:p>
        </w:tc>
      </w:tr>
      <w:tr w14:paraId="4F4A4577" w14:textId="77777777" w:rsidR="00FA2320" w:rsidRPr="000861BD" w:rsidTr="005C424F">
        <w:trPr>
          <w:cnfStyle w:evenHBand="0" w:evenVBand="0" w:firstColumn="0" w:firstRow="0" w:firstRowFirstColumn="0" w:firstRowLastColumn="0" w:lastColumn="0" w:lastRow="0" w:lastRowFirstColumn="0" w:lastRowLastColumn="0" w:oddHBand="1" w:oddVBand="0" w:val="000000100000"/>
          <w:divId w:val="31658665"/>
          <w:trHeight w:val="329"/>
        </w:trPr>
        <w:tc>
          <w:tcPr>
            <w:cnfStyle w:evenHBand="0" w:evenVBand="0" w:firstColumn="1" w:firstRow="0" w:firstRowFirstColumn="0" w:firstRowLastColumn="0" w:lastColumn="0" w:lastRow="0" w:lastRowFirstColumn="0" w:lastRowLastColumn="0" w:oddHBand="0" w:oddVBand="0" w:val="001000000000"/>
            <w:tcW w:type="dxa" w:w="2339"/>
            <w:noWrap/>
            <w:hideMark/>
          </w:tcPr>
          <w:p w14:paraId="21B51FF9" w14:textId="2BDD7E93" w:rsidP="00430436" w:rsidR="00FA2320" w:rsidRDefault="00FA2320" w:rsidRPr="003C3E9B">
            <w:pPr>
              <w:rPr>
                <w:b w:val="0"/>
                <w:bCs w:val="0"/>
              </w:rPr>
            </w:pPr>
            <w:r w:rsidRPr="003C3E9B">
              <w:rPr>
                <w:b w:val="0"/>
                <w:bCs w:val="0"/>
              </w:rPr>
              <w:t>Abondement PEG</w:t>
            </w:r>
          </w:p>
        </w:tc>
        <w:tc>
          <w:tcPr>
            <w:tcW w:type="dxa" w:w="1418"/>
            <w:noWrap/>
          </w:tcPr>
          <w:p w14:paraId="7DC37AC8" w14:textId="55F91A8D" w:rsidP="00430436" w:rsidR="00FA2320" w:rsidRDefault="003D22F4" w:rsidRPr="003C3E9B">
            <w:pPr>
              <w:jc w:val="center"/>
              <w:cnfStyle w:evenHBand="0" w:evenVBand="0" w:firstColumn="0" w:firstRow="0" w:firstRowFirstColumn="0" w:firstRowLastColumn="0" w:lastColumn="0" w:lastRow="0" w:lastRowFirstColumn="0" w:lastRowLastColumn="0" w:oddHBand="1" w:oddVBand="0" w:val="000000100000"/>
            </w:pPr>
            <w:r w:rsidRPr="003C3E9B">
              <w:t>155</w:t>
            </w:r>
          </w:p>
        </w:tc>
      </w:tr>
      <w:tr w14:paraId="2C61AFAA" w14:textId="77777777" w:rsidR="00FA2320" w:rsidRPr="00430436" w:rsidTr="005C424F">
        <w:trPr>
          <w:divId w:val="31658665"/>
          <w:trHeight w:val="329"/>
        </w:trPr>
        <w:tc>
          <w:tcPr>
            <w:cnfStyle w:evenHBand="0" w:evenVBand="0" w:firstColumn="1" w:firstRow="0" w:firstRowFirstColumn="0" w:firstRowLastColumn="0" w:lastColumn="0" w:lastRow="0" w:lastRowFirstColumn="0" w:lastRowLastColumn="0" w:oddHBand="0" w:oddVBand="0" w:val="001000000000"/>
            <w:tcW w:type="dxa" w:w="2339"/>
            <w:noWrap/>
            <w:hideMark/>
          </w:tcPr>
          <w:p w14:paraId="6F57B4FA" w14:textId="1CD969EA" w:rsidP="00430436" w:rsidR="00FA2320" w:rsidRDefault="00FA2320" w:rsidRPr="003C3E9B">
            <w:pPr>
              <w:rPr>
                <w:b w:val="0"/>
                <w:bCs w:val="0"/>
              </w:rPr>
            </w:pPr>
            <w:r w:rsidRPr="003C3E9B">
              <w:rPr>
                <w:b w:val="0"/>
                <w:bCs w:val="0"/>
              </w:rPr>
              <w:t>Abondement PERCO</w:t>
            </w:r>
          </w:p>
        </w:tc>
        <w:tc>
          <w:tcPr>
            <w:tcW w:type="dxa" w:w="1418"/>
            <w:noWrap/>
          </w:tcPr>
          <w:p w14:paraId="180FACB7" w14:textId="54450462" w:rsidP="00430436" w:rsidR="00FA2320" w:rsidRDefault="003D22F4" w:rsidRPr="003C3E9B">
            <w:pPr>
              <w:jc w:val="center"/>
              <w:cnfStyle w:evenHBand="0" w:evenVBand="0" w:firstColumn="0" w:firstRow="0" w:firstRowFirstColumn="0" w:firstRowLastColumn="0" w:lastColumn="0" w:lastRow="0" w:lastRowFirstColumn="0" w:lastRowLastColumn="0" w:oddHBand="0" w:oddVBand="0" w:val="000000000000"/>
            </w:pPr>
            <w:r w:rsidRPr="003C3E9B">
              <w:t>7</w:t>
            </w:r>
          </w:p>
        </w:tc>
      </w:tr>
    </w:tbl>
    <w:p w14:paraId="2DBDAA7C" w14:textId="7053355F" w:rsidP="00D43310" w:rsidR="00D43310" w:rsidRDefault="00D43310" w:rsidRPr="00A31289">
      <w:pPr>
        <w:rPr>
          <w:sz w:val="12"/>
          <w:szCs w:val="10"/>
        </w:rPr>
      </w:pPr>
      <w:r>
        <w:fldChar w:fldCharType="end"/>
      </w:r>
    </w:p>
    <w:p w14:paraId="604214B6" w14:textId="7D4941CE" w:rsidP="00D43310" w:rsidR="00D43310" w:rsidRDefault="00D43310">
      <w:r>
        <w:t xml:space="preserve">Abondement PEG = </w:t>
      </w:r>
      <w:r w:rsidR="00F7602B">
        <w:t>157</w:t>
      </w:r>
      <w:r w:rsidR="000832FC">
        <w:t xml:space="preserve"> K</w:t>
      </w:r>
      <w:r>
        <w:t>€ en 20</w:t>
      </w:r>
      <w:r w:rsidR="00D7615F">
        <w:t>2</w:t>
      </w:r>
      <w:r w:rsidR="00F7602B">
        <w:t>1</w:t>
      </w:r>
      <w:r>
        <w:t xml:space="preserve"> ; Abondement PERCO = </w:t>
      </w:r>
      <w:r w:rsidR="00F7602B">
        <w:t>5</w:t>
      </w:r>
      <w:r w:rsidR="000832FC">
        <w:t xml:space="preserve"> </w:t>
      </w:r>
      <w:r>
        <w:t>K€ en 20</w:t>
      </w:r>
      <w:r w:rsidR="00D7615F">
        <w:t>2</w:t>
      </w:r>
      <w:r w:rsidR="00F7602B">
        <w:t>1</w:t>
      </w:r>
      <w:r>
        <w:t>.</w:t>
      </w:r>
    </w:p>
    <w:p w14:paraId="1EDF1CFD" w14:textId="5963641A" w:rsidP="00D43310" w:rsidR="002637A0" w:rsidRDefault="002637A0" w:rsidRPr="000A1E84">
      <w:pPr>
        <w:rPr>
          <w:sz w:val="16"/>
          <w:szCs w:val="14"/>
        </w:rPr>
      </w:pPr>
    </w:p>
    <w:p w14:paraId="395EAD1C" w14:textId="04032754" w:rsidP="002637A0" w:rsidR="002637A0" w:rsidRDefault="002637A0">
      <w:pPr>
        <w:pStyle w:val="Sansinterligne"/>
      </w:pPr>
      <w:r>
        <w:t xml:space="preserve">Prime Exceptionnelle pour le pouvoir d’achat </w:t>
      </w:r>
    </w:p>
    <w:p w14:paraId="55040F63" w14:textId="4CE50B31" w:rsidP="00D43310" w:rsidR="002637A0" w:rsidRDefault="002637A0" w:rsidRPr="00A31289">
      <w:pPr>
        <w:rPr>
          <w:sz w:val="6"/>
          <w:szCs w:val="6"/>
        </w:rPr>
      </w:pPr>
    </w:p>
    <w:p w14:paraId="7D201CC6" w14:textId="560F745E" w:rsidP="00F7602B" w:rsidR="00F7602B" w:rsidRDefault="00F7602B">
      <w:r>
        <w:t xml:space="preserve">En janvier 2022, l’indemnité d’inflation </w:t>
      </w:r>
      <w:r w:rsidR="00A40B9B">
        <w:t>a été</w:t>
      </w:r>
      <w:r>
        <w:t xml:space="preserve"> distribuée à tous les collaborateurs ayant une rémunération inférieure à 26 000 € brut sur la période du 1</w:t>
      </w:r>
      <w:r w:rsidRPr="00202006">
        <w:rPr>
          <w:vertAlign w:val="superscript"/>
        </w:rPr>
        <w:t>er</w:t>
      </w:r>
      <w:r>
        <w:t xml:space="preserve"> janvier au 31 octobre 2021 et répondant aux différents critères d’attribution. </w:t>
      </w:r>
    </w:p>
    <w:p w14:paraId="2538EAE5" w14:textId="77777777" w:rsidP="00F7602B" w:rsidR="00F7602B" w:rsidRDefault="00F7602B" w:rsidRPr="00A31289">
      <w:pPr>
        <w:rPr>
          <w:sz w:val="10"/>
          <w:szCs w:val="8"/>
        </w:rPr>
      </w:pPr>
    </w:p>
    <w:p w14:paraId="09EB3CDB" w14:textId="4E6ED7B9" w:rsidP="00D43310" w:rsidR="00440FD8" w:rsidRDefault="00440FD8">
      <w:r>
        <w:t xml:space="preserve">En </w:t>
      </w:r>
      <w:r w:rsidR="00F7602B">
        <w:t>juillet 2022</w:t>
      </w:r>
      <w:r>
        <w:t xml:space="preserve">, la société Clemançon s’est engagée à verser dans une mesure équitable et solidaire en faveur du pouvoir d’achat, une prime exceptionnelle </w:t>
      </w:r>
      <w:r w:rsidR="00176B53">
        <w:t xml:space="preserve">de 600€ </w:t>
      </w:r>
      <w:r w:rsidR="00F7602B">
        <w:t xml:space="preserve">nets de charges sociales </w:t>
      </w:r>
      <w:r>
        <w:t xml:space="preserve">pour les salariés </w:t>
      </w:r>
      <w:r w:rsidR="00F7602B">
        <w:t xml:space="preserve">en CDI au 30/06/2022 </w:t>
      </w:r>
      <w:r>
        <w:t xml:space="preserve">dont le salaire annuel brut de base était inférieur à un plafond de </w:t>
      </w:r>
      <w:r w:rsidR="00F7602B">
        <w:t>5</w:t>
      </w:r>
      <w:r>
        <w:t>0 000 €.</w:t>
      </w:r>
    </w:p>
    <w:p w14:paraId="173A5D25" w14:textId="35141CD3" w:rsidP="00D43310" w:rsidR="00440FD8" w:rsidRDefault="00440FD8" w:rsidRPr="00A31289">
      <w:pPr>
        <w:rPr>
          <w:sz w:val="8"/>
          <w:szCs w:val="6"/>
        </w:rPr>
      </w:pPr>
    </w:p>
    <w:p w14:paraId="5FA28FF6" w14:textId="425BD4D1" w:rsidP="00D43310" w:rsidR="00440FD8" w:rsidRDefault="00440FD8">
      <w:r>
        <w:t xml:space="preserve">Le versement de </w:t>
      </w:r>
      <w:r w:rsidR="00A40B9B">
        <w:t>ces</w:t>
      </w:r>
      <w:r>
        <w:t xml:space="preserve"> prime</w:t>
      </w:r>
      <w:r w:rsidR="00A40B9B">
        <w:t>s</w:t>
      </w:r>
      <w:r>
        <w:t xml:space="preserve"> n’interfère</w:t>
      </w:r>
      <w:r w:rsidR="00A40B9B">
        <w:t>nt</w:t>
      </w:r>
      <w:r>
        <w:t xml:space="preserve"> pas dans la Négociation Annuelle Obligatoire. </w:t>
      </w:r>
    </w:p>
    <w:p w14:paraId="60EABEFA" w14:textId="5A2AE46D" w:rsidP="00D43310" w:rsidR="00F7602B" w:rsidRDefault="00F7602B" w:rsidRPr="00A31289">
      <w:pPr>
        <w:rPr>
          <w:sz w:val="18"/>
          <w:szCs w:val="16"/>
        </w:rPr>
      </w:pPr>
    </w:p>
    <w:p w14:paraId="63F1329A" w14:textId="77777777" w:rsidP="00031CCE" w:rsidR="00031CCE" w:rsidRDefault="00031CCE" w:rsidRPr="00850450">
      <w:pPr>
        <w:rPr>
          <w:u w:val="single"/>
        </w:rPr>
      </w:pPr>
      <w:r>
        <w:rPr>
          <w:u w:val="single"/>
        </w:rPr>
        <w:t xml:space="preserve">Revendication syndicale F.O </w:t>
      </w:r>
      <w:r w:rsidRPr="00850450">
        <w:rPr>
          <w:u w:val="single"/>
        </w:rPr>
        <w:t>:</w:t>
      </w:r>
    </w:p>
    <w:p w14:paraId="3A8A1E56" w14:textId="419AACA0" w:rsidP="00D43310" w:rsidR="00031CCE" w:rsidRDefault="004329BA">
      <w:r>
        <w:t>S</w:t>
      </w:r>
      <w:r w:rsidR="00031CCE">
        <w:t>ouhaite voir apparaitre les primes versées par</w:t>
      </w:r>
      <w:r w:rsidR="00143D92">
        <w:t xml:space="preserve"> </w:t>
      </w:r>
      <w:r w:rsidR="00031CCE">
        <w:t>CSP.</w:t>
      </w:r>
    </w:p>
    <w:p w14:paraId="0316E13A" w14:textId="5D2680A1" w:rsidP="00D43310" w:rsidR="00143D92" w:rsidRDefault="00143D92"/>
    <w:p w14:paraId="292189B0" w14:textId="345A25A5" w:rsidP="00D43310" w:rsidR="000A1E84" w:rsidRDefault="000A1E84">
      <w:r>
        <w:t>La Direction répond à la revendication avec le tableau ci-dessous :</w:t>
      </w:r>
    </w:p>
    <w:tbl>
      <w:tblPr>
        <w:tblStyle w:val="TableauGrille4-Accentuation1"/>
        <w:tblW w:type="dxa" w:w="8789"/>
        <w:tblLook w:firstColumn="1" w:firstRow="1" w:lastColumn="0" w:lastRow="0" w:noHBand="0" w:noVBand="1" w:val="04A0"/>
      </w:tblPr>
      <w:tblGrid>
        <w:gridCol w:w="2835"/>
        <w:gridCol w:w="1701"/>
        <w:gridCol w:w="1276"/>
        <w:gridCol w:w="1418"/>
        <w:gridCol w:w="1559"/>
      </w:tblGrid>
      <w:tr w14:paraId="776C65AC" w14:textId="77777777" w:rsidR="007B394D" w:rsidRPr="00D33C08" w:rsidTr="00EC1498">
        <w:trPr>
          <w:cnfStyle w:evenHBand="0" w:evenVBand="0" w:firstColumn="0" w:firstRow="1" w:firstRowFirstColumn="0" w:firstRowLastColumn="0" w:lastColumn="0" w:lastRow="0" w:lastRowFirstColumn="0" w:lastRowLastColumn="0" w:oddHBand="0" w:oddVBand="0" w:val="100000000000"/>
          <w:trHeight w:val="305"/>
        </w:trPr>
        <w:tc>
          <w:tcPr>
            <w:cnfStyle w:evenHBand="0" w:evenVBand="0" w:firstColumn="1" w:firstRow="0" w:firstRowFirstColumn="0" w:firstRowLastColumn="0" w:lastColumn="0" w:lastRow="0" w:lastRowFirstColumn="0" w:lastRowLastColumn="0" w:oddHBand="0" w:oddVBand="0" w:val="001000000000"/>
            <w:tcW w:type="dxa" w:w="2835"/>
            <w:noWrap/>
            <w:hideMark/>
          </w:tcPr>
          <w:p w14:paraId="2848F171" w14:textId="484E1139" w:rsidP="00EC1498" w:rsidR="007B394D" w:rsidRDefault="007B394D" w:rsidRPr="004B325A">
            <w:pPr>
              <w:jc w:val="center"/>
              <w:rPr>
                <w:rFonts w:cstheme="majorBidi" w:eastAsiaTheme="majorEastAsia"/>
                <w:iCs/>
                <w:caps/>
                <w:szCs w:val="22"/>
                <w:lang w:eastAsia="en-US"/>
              </w:rPr>
            </w:pPr>
          </w:p>
        </w:tc>
        <w:tc>
          <w:tcPr>
            <w:tcW w:type="dxa" w:w="1701"/>
            <w:noWrap/>
            <w:hideMark/>
          </w:tcPr>
          <w:p w14:paraId="1163408A" w14:textId="77777777" w:rsidP="00EC1498" w:rsidR="007B394D" w:rsidRDefault="007B394D"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Cadres</w:t>
            </w:r>
          </w:p>
        </w:tc>
        <w:tc>
          <w:tcPr>
            <w:tcW w:type="dxa" w:w="1276"/>
            <w:noWrap/>
            <w:hideMark/>
          </w:tcPr>
          <w:p w14:paraId="27AFA25C" w14:textId="77777777" w:rsidP="00EC1498" w:rsidR="007B394D" w:rsidRDefault="007B394D"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ETAM</w:t>
            </w:r>
          </w:p>
        </w:tc>
        <w:tc>
          <w:tcPr>
            <w:tcW w:type="dxa" w:w="1418"/>
            <w:noWrap/>
            <w:hideMark/>
          </w:tcPr>
          <w:p w14:paraId="17F46E0E" w14:textId="77777777" w:rsidP="00EC1498" w:rsidR="007B394D" w:rsidRDefault="007B394D"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Ouvriers</w:t>
            </w:r>
          </w:p>
        </w:tc>
        <w:tc>
          <w:tcPr>
            <w:tcW w:type="dxa" w:w="1559"/>
            <w:noWrap/>
            <w:hideMark/>
          </w:tcPr>
          <w:p w14:paraId="172EBF45" w14:textId="77777777" w:rsidP="00EC1498" w:rsidR="007B394D" w:rsidRDefault="007B394D" w:rsidRPr="001D4CBE">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iCs/>
                <w:caps/>
                <w:szCs w:val="22"/>
                <w:lang w:eastAsia="en-US" w:val="en-US"/>
              </w:rPr>
            </w:pPr>
            <w:r w:rsidRPr="001D4CBE">
              <w:rPr>
                <w:rFonts w:cstheme="majorBidi" w:eastAsiaTheme="majorEastAsia"/>
                <w:iCs/>
                <w:caps/>
                <w:szCs w:val="22"/>
                <w:lang w:eastAsia="en-US" w:val="en-US"/>
              </w:rPr>
              <w:t>Total</w:t>
            </w:r>
          </w:p>
        </w:tc>
      </w:tr>
      <w:tr w14:paraId="26BFB21F" w14:textId="77777777" w:rsidR="007B394D" w:rsidRPr="00D33C08" w:rsidTr="00672E59">
        <w:trPr>
          <w:cnfStyle w:evenHBand="0" w:evenVBand="0" w:firstColumn="0" w:firstRow="0" w:firstRowFirstColumn="0" w:firstRowLastColumn="0" w:lastColumn="0" w:lastRow="0" w:lastRowFirstColumn="0" w:lastRowLastColumn="0" w:oddHBand="1" w:oddVBand="0" w:val="000000100000"/>
          <w:trHeight w:val="305"/>
        </w:trPr>
        <w:tc>
          <w:tcPr>
            <w:cnfStyle w:evenHBand="0" w:evenVBand="0" w:firstColumn="1" w:firstRow="0" w:firstRowFirstColumn="0" w:firstRowLastColumn="0" w:lastColumn="0" w:lastRow="0" w:lastRowFirstColumn="0" w:lastRowLastColumn="0" w:oddHBand="0" w:oddVBand="0" w:val="001000000000"/>
            <w:tcW w:type="dxa" w:w="2835"/>
            <w:hideMark/>
          </w:tcPr>
          <w:p w14:paraId="14856CC0" w14:textId="7B9A383B" w:rsidP="00EC1498" w:rsidR="007B394D" w:rsidRDefault="007B394D" w:rsidRPr="00435E2B">
            <w:pPr>
              <w:rPr>
                <w:rFonts w:cstheme="majorBidi" w:eastAsiaTheme="majorEastAsia"/>
                <w:b w:val="0"/>
                <w:bCs w:val="0"/>
                <w:iCs/>
                <w:caps/>
                <w:color w:themeColor="text1" w:val="000000"/>
                <w:szCs w:val="22"/>
                <w:lang w:eastAsia="en-US"/>
              </w:rPr>
            </w:pPr>
            <w:r w:rsidRPr="00435E2B">
              <w:rPr>
                <w:rFonts w:cstheme="majorBidi" w:eastAsiaTheme="majorEastAsia"/>
                <w:b w:val="0"/>
                <w:bCs w:val="0"/>
                <w:iCs/>
                <w:caps/>
                <w:color w:themeColor="text1" w:val="000000"/>
                <w:szCs w:val="22"/>
                <w:lang w:eastAsia="en-US"/>
              </w:rPr>
              <w:t xml:space="preserve">Primes </w:t>
            </w:r>
            <w:r w:rsidR="00435E2B" w:rsidRPr="00435E2B">
              <w:rPr>
                <w:rFonts w:cstheme="majorBidi" w:eastAsiaTheme="majorEastAsia"/>
                <w:b w:val="0"/>
                <w:bCs w:val="0"/>
                <w:iCs/>
                <w:color w:themeColor="text1" w:val="000000"/>
                <w:sz w:val="18"/>
                <w:szCs w:val="18"/>
                <w:lang w:eastAsia="en-US"/>
              </w:rPr>
              <w:t>(exceptionnelles, heures supplémentaires, heures de nuit, modulations)</w:t>
            </w:r>
          </w:p>
        </w:tc>
        <w:tc>
          <w:tcPr>
            <w:tcW w:type="dxa" w:w="1701"/>
            <w:noWrap/>
            <w:vAlign w:val="center"/>
          </w:tcPr>
          <w:p w14:paraId="5DA9BF90" w14:textId="714953E4" w:rsidP="00672E59" w:rsidR="007B394D" w:rsidRDefault="00672E59" w:rsidRPr="00435E2B">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rPr>
            </w:pPr>
            <w:r>
              <w:rPr>
                <w:rFonts w:cstheme="majorBidi" w:eastAsiaTheme="majorEastAsia"/>
                <w:b/>
                <w:bCs/>
                <w:iCs/>
                <w:caps/>
                <w:color w:themeColor="text1" w:val="000000"/>
                <w:szCs w:val="22"/>
                <w:lang w:eastAsia="en-US"/>
              </w:rPr>
              <w:t>73</w:t>
            </w:r>
            <w:r w:rsidR="004A4831">
              <w:rPr>
                <w:rFonts w:cstheme="majorBidi" w:eastAsiaTheme="majorEastAsia"/>
                <w:b/>
                <w:bCs/>
                <w:iCs/>
                <w:caps/>
                <w:color w:themeColor="text1" w:val="000000"/>
                <w:szCs w:val="22"/>
                <w:lang w:eastAsia="en-US"/>
              </w:rPr>
              <w:t xml:space="preserve"> K€</w:t>
            </w:r>
          </w:p>
        </w:tc>
        <w:tc>
          <w:tcPr>
            <w:tcW w:type="dxa" w:w="1276"/>
            <w:noWrap/>
            <w:vAlign w:val="center"/>
          </w:tcPr>
          <w:p w14:paraId="5426F1E5" w14:textId="5F11B640" w:rsidP="00672E59" w:rsidR="007B394D" w:rsidRDefault="00672E59" w:rsidRPr="00435E2B">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rPr>
            </w:pPr>
            <w:r>
              <w:rPr>
                <w:rFonts w:cstheme="majorBidi" w:eastAsiaTheme="majorEastAsia"/>
                <w:b/>
                <w:bCs/>
                <w:iCs/>
                <w:caps/>
                <w:color w:themeColor="text1" w:val="000000"/>
                <w:szCs w:val="22"/>
                <w:lang w:eastAsia="en-US"/>
              </w:rPr>
              <w:t>56</w:t>
            </w:r>
            <w:r w:rsidR="004A4831">
              <w:rPr>
                <w:rFonts w:cstheme="majorBidi" w:eastAsiaTheme="majorEastAsia"/>
                <w:b/>
                <w:bCs/>
                <w:iCs/>
                <w:caps/>
                <w:color w:themeColor="text1" w:val="000000"/>
                <w:szCs w:val="22"/>
                <w:lang w:eastAsia="en-US"/>
              </w:rPr>
              <w:t xml:space="preserve"> K€</w:t>
            </w:r>
          </w:p>
        </w:tc>
        <w:tc>
          <w:tcPr>
            <w:tcW w:type="dxa" w:w="1418"/>
            <w:noWrap/>
            <w:vAlign w:val="center"/>
          </w:tcPr>
          <w:p w14:paraId="751ABE52" w14:textId="4B70DDF0" w:rsidP="00672E59" w:rsidR="007B394D" w:rsidRDefault="00672E59" w:rsidRPr="00435E2B">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rPr>
            </w:pPr>
            <w:r>
              <w:rPr>
                <w:rFonts w:cstheme="majorBidi" w:eastAsiaTheme="majorEastAsia"/>
                <w:b/>
                <w:bCs/>
                <w:iCs/>
                <w:caps/>
                <w:color w:themeColor="text1" w:val="000000"/>
                <w:szCs w:val="22"/>
                <w:lang w:eastAsia="en-US"/>
              </w:rPr>
              <w:t>68</w:t>
            </w:r>
            <w:r w:rsidR="004A4831">
              <w:rPr>
                <w:rFonts w:cstheme="majorBidi" w:eastAsiaTheme="majorEastAsia"/>
                <w:b/>
                <w:bCs/>
                <w:iCs/>
                <w:caps/>
                <w:color w:themeColor="text1" w:val="000000"/>
                <w:szCs w:val="22"/>
                <w:lang w:eastAsia="en-US"/>
              </w:rPr>
              <w:t xml:space="preserve"> K€</w:t>
            </w:r>
          </w:p>
        </w:tc>
        <w:tc>
          <w:tcPr>
            <w:tcW w:type="dxa" w:w="1559"/>
            <w:noWrap/>
            <w:vAlign w:val="center"/>
          </w:tcPr>
          <w:p w14:paraId="1E0451B8" w14:textId="2D70C663" w:rsidP="00672E59" w:rsidR="007B394D" w:rsidRDefault="00672E59" w:rsidRPr="00435E2B">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iCs/>
                <w:caps/>
                <w:color w:themeColor="text1" w:val="000000"/>
                <w:szCs w:val="22"/>
                <w:lang w:eastAsia="en-US"/>
              </w:rPr>
            </w:pPr>
            <w:r>
              <w:rPr>
                <w:rFonts w:cstheme="majorBidi" w:eastAsiaTheme="majorEastAsia"/>
                <w:b/>
                <w:bCs/>
                <w:iCs/>
                <w:caps/>
                <w:color w:themeColor="text1" w:val="000000"/>
                <w:szCs w:val="22"/>
                <w:lang w:eastAsia="en-US"/>
              </w:rPr>
              <w:t>198</w:t>
            </w:r>
            <w:r w:rsidR="004A4831">
              <w:rPr>
                <w:rFonts w:cstheme="majorBidi" w:eastAsiaTheme="majorEastAsia"/>
                <w:b/>
                <w:bCs/>
                <w:iCs/>
                <w:caps/>
                <w:color w:themeColor="text1" w:val="000000"/>
                <w:szCs w:val="22"/>
                <w:lang w:eastAsia="en-US"/>
              </w:rPr>
              <w:t xml:space="preserve"> K€</w:t>
            </w:r>
          </w:p>
        </w:tc>
      </w:tr>
      <w:tr w14:paraId="068C28C9" w14:textId="77777777" w:rsidR="00435E2B" w:rsidRPr="00D33C08" w:rsidTr="00EC1498">
        <w:trPr>
          <w:trHeight w:val="305"/>
        </w:trPr>
        <w:tc>
          <w:tcPr>
            <w:cnfStyle w:evenHBand="0" w:evenVBand="0" w:firstColumn="1" w:firstRow="0" w:firstRowFirstColumn="0" w:firstRowLastColumn="0" w:lastColumn="0" w:lastRow="0" w:lastRowFirstColumn="0" w:lastRowLastColumn="0" w:oddHBand="0" w:oddVBand="0" w:val="001000000000"/>
            <w:tcW w:type="dxa" w:w="2835"/>
          </w:tcPr>
          <w:p w14:paraId="23212488" w14:textId="77777777" w:rsidP="00EC1498" w:rsidR="007B394D" w:rsidRDefault="007B394D" w:rsidRPr="001D4CBE">
            <w:pPr>
              <w:rPr>
                <w:rFonts w:cstheme="majorBidi" w:eastAsiaTheme="majorEastAsia"/>
                <w:b w:val="0"/>
                <w:bCs w:val="0"/>
                <w:iCs/>
                <w:caps/>
                <w:color w:themeColor="text1" w:val="000000"/>
                <w:sz w:val="20"/>
                <w:lang w:eastAsia="en-US" w:val="en-US"/>
              </w:rPr>
            </w:pPr>
            <w:r w:rsidRPr="001D4CBE">
              <w:rPr>
                <w:rFonts w:cstheme="majorBidi" w:eastAsiaTheme="majorEastAsia"/>
                <w:b w:val="0"/>
                <w:bCs w:val="0"/>
                <w:iCs/>
                <w:caps/>
                <w:color w:themeColor="text1" w:val="000000"/>
                <w:sz w:val="20"/>
                <w:lang w:eastAsia="en-US" w:val="en-US"/>
              </w:rPr>
              <w:t>EFFECTIFS PRESENT / PRESENT</w:t>
            </w:r>
          </w:p>
        </w:tc>
        <w:tc>
          <w:tcPr>
            <w:tcW w:type="dxa" w:w="1701"/>
            <w:noWrap/>
          </w:tcPr>
          <w:p w14:paraId="49834401" w14:textId="77777777" w:rsidP="00EC1498" w:rsidR="007B394D" w:rsidRDefault="007B394D"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20</w:t>
            </w:r>
          </w:p>
        </w:tc>
        <w:tc>
          <w:tcPr>
            <w:tcW w:type="dxa" w:w="1276"/>
            <w:noWrap/>
          </w:tcPr>
          <w:p w14:paraId="4BD4C8F5" w14:textId="77777777" w:rsidP="00EC1498" w:rsidR="007B394D" w:rsidRDefault="007B394D"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22</w:t>
            </w:r>
          </w:p>
        </w:tc>
        <w:tc>
          <w:tcPr>
            <w:tcW w:type="dxa" w:w="1418"/>
            <w:noWrap/>
          </w:tcPr>
          <w:p w14:paraId="3D2E3CBD" w14:textId="77777777" w:rsidP="00EC1498" w:rsidR="007B394D" w:rsidRDefault="007B394D"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25</w:t>
            </w:r>
          </w:p>
        </w:tc>
        <w:tc>
          <w:tcPr>
            <w:tcW w:type="dxa" w:w="1559"/>
            <w:noWrap/>
          </w:tcPr>
          <w:p w14:paraId="31DD016B" w14:textId="77777777" w:rsidP="00EC1498" w:rsidR="007B394D" w:rsidRDefault="007B394D" w:rsidRPr="001D4CBE">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iCs/>
                <w:caps/>
                <w:color w:themeColor="text1" w:val="000000"/>
                <w:sz w:val="20"/>
                <w:lang w:eastAsia="en-US" w:val="en-US"/>
              </w:rPr>
            </w:pPr>
            <w:r>
              <w:rPr>
                <w:rFonts w:cstheme="majorBidi" w:eastAsiaTheme="majorEastAsia"/>
                <w:b/>
                <w:bCs/>
                <w:iCs/>
                <w:caps/>
                <w:color w:themeColor="text1" w:val="000000"/>
                <w:sz w:val="20"/>
                <w:lang w:eastAsia="en-US" w:val="en-US"/>
              </w:rPr>
              <w:t>67</w:t>
            </w:r>
          </w:p>
        </w:tc>
      </w:tr>
    </w:tbl>
    <w:p w14:paraId="0A66E417" w14:textId="77777777" w:rsidP="00D43310" w:rsidR="007B394D" w:rsidRDefault="007B394D" w:rsidRPr="000A1E84">
      <w:pPr>
        <w:rPr>
          <w:sz w:val="10"/>
          <w:szCs w:val="8"/>
        </w:rPr>
      </w:pPr>
    </w:p>
    <w:p w14:paraId="04ACBBCC" w14:textId="77777777" w:rsidP="005D0341" w:rsidR="00EE23EC" w:rsidRDefault="00EE23EC">
      <w:pPr>
        <w:pStyle w:val="Titre2"/>
        <w:ind w:left="1276"/>
      </w:pPr>
      <w:r>
        <w:t>La durée effective et l’organisation du temps de travail</w:t>
      </w:r>
    </w:p>
    <w:p w14:paraId="71AD3A47" w14:textId="77777777" w:rsidP="000736A8" w:rsidR="00EE23EC" w:rsidRDefault="00EE23EC" w:rsidRPr="00202006">
      <w:pPr>
        <w:rPr>
          <w:sz w:val="10"/>
          <w:szCs w:val="10"/>
        </w:rPr>
      </w:pPr>
    </w:p>
    <w:p w14:paraId="1DA1A656" w14:textId="77777777" w:rsidP="000736A8" w:rsidR="00EE23EC" w:rsidRDefault="00EE23EC">
      <w:r w:rsidRPr="008339B4">
        <w:t>La durée et l’organisation du temps de travail sont celles mises en place au moment de la signature des accords relatifs à la réduction du temps de travail</w:t>
      </w:r>
      <w:r>
        <w:t xml:space="preserve"> </w:t>
      </w:r>
      <w:r w:rsidRPr="008339B4">
        <w:t>(Accord 35 H).</w:t>
      </w:r>
    </w:p>
    <w:p w14:paraId="5D77047C" w14:textId="77777777" w:rsidP="000736A8" w:rsidR="00EE23EC" w:rsidRDefault="00EE23EC" w:rsidRPr="00B84AF9">
      <w:pPr>
        <w:rPr>
          <w:sz w:val="14"/>
          <w:szCs w:val="12"/>
        </w:rPr>
      </w:pPr>
    </w:p>
    <w:p w14:paraId="39F401AF" w14:textId="77777777" w:rsidP="000736A8" w:rsidR="00EE23EC" w:rsidRDefault="00EE23EC">
      <w:r w:rsidRPr="008339B4">
        <w:t>Le personnel « ETAM et OUVRIER » est soumis à un horaire hebdomadaire de 37 heures, qui ouvre droit à des jours de RTT.</w:t>
      </w:r>
    </w:p>
    <w:p w14:paraId="60F15AFB" w14:textId="77777777" w:rsidP="000736A8" w:rsidR="00EE23EC" w:rsidRDefault="00EE23EC" w:rsidRPr="008339B4"/>
    <w:p w14:paraId="4BD87F90" w14:textId="77777777" w:rsidR="000A1E84" w:rsidRDefault="000A1E84">
      <w:pPr>
        <w:jc w:val="left"/>
      </w:pPr>
      <w:r>
        <w:br w:type="page"/>
      </w:r>
    </w:p>
    <w:p w14:paraId="3A141ADC" w14:textId="77777777" w:rsidP="000736A8" w:rsidR="000A1E84" w:rsidRDefault="000A1E84"/>
    <w:p w14:paraId="263C492B" w14:textId="4BA2A801" w:rsidP="000736A8" w:rsidR="00EE23EC" w:rsidRDefault="00EE23EC">
      <w:r w:rsidRPr="008339B4">
        <w:t>En 20</w:t>
      </w:r>
      <w:r w:rsidR="00CA0E28">
        <w:t>2</w:t>
      </w:r>
      <w:r w:rsidR="00F7602B">
        <w:t>3</w:t>
      </w:r>
      <w:r w:rsidRPr="008339B4">
        <w:t xml:space="preserve">, il y a </w:t>
      </w:r>
      <w:r w:rsidR="0094625F">
        <w:t>9</w:t>
      </w:r>
      <w:r w:rsidRPr="008339B4">
        <w:t xml:space="preserve"> jours de RTT dont </w:t>
      </w:r>
      <w:r w:rsidR="0094625F">
        <w:t>1</w:t>
      </w:r>
      <w:r w:rsidRPr="008339B4">
        <w:t xml:space="preserve"> jour imposé (sauf impératif chantier) :</w:t>
      </w:r>
    </w:p>
    <w:p w14:paraId="4DE5C5B7" w14:textId="234236F7" w:rsidP="000A1E84" w:rsidR="00EF46D6" w:rsidRDefault="0094625F" w:rsidRPr="00176B53">
      <w:pPr>
        <w:pStyle w:val="Paragraphedeliste"/>
        <w:numPr>
          <w:ilvl w:val="0"/>
          <w:numId w:val="4"/>
        </w:numPr>
        <w:spacing w:before="80"/>
        <w:ind w:hanging="357" w:left="714"/>
      </w:pPr>
      <w:r>
        <w:t xml:space="preserve">Lundi 29 </w:t>
      </w:r>
      <w:r w:rsidR="003F49DC">
        <w:t>mai</w:t>
      </w:r>
      <w:r>
        <w:t xml:space="preserve"> 2023 (Lundi de la Pentecôte)</w:t>
      </w:r>
    </w:p>
    <w:p w14:paraId="7491BD9E" w14:textId="40F03F03" w:rsidP="0039344B" w:rsidR="00176B53" w:rsidRDefault="00176B53" w:rsidRPr="000A1E84">
      <w:pPr>
        <w:rPr>
          <w:sz w:val="14"/>
          <w:szCs w:val="12"/>
        </w:rPr>
      </w:pPr>
    </w:p>
    <w:p w14:paraId="092D4A35" w14:textId="77777777" w:rsidP="000736A8" w:rsidR="00EE23EC" w:rsidRDefault="00EE23EC">
      <w:r w:rsidRPr="008339B4">
        <w:t>Le personnel « CADRE » soumis au forfait jours, bénéficie des mêmes droits et du même nombre de jours de RTT.</w:t>
      </w:r>
    </w:p>
    <w:p w14:paraId="29848C80" w14:textId="77777777" w:rsidP="000736A8" w:rsidR="00EE23EC" w:rsidRDefault="00EE23EC" w:rsidRPr="000A1E84">
      <w:pPr>
        <w:rPr>
          <w:sz w:val="12"/>
          <w:szCs w:val="10"/>
        </w:rPr>
      </w:pPr>
    </w:p>
    <w:p w14:paraId="5D0EDBA5" w14:textId="77777777" w:rsidP="000736A8" w:rsidR="00EE23EC" w:rsidRDefault="00EE23EC">
      <w:r w:rsidRPr="008339B4">
        <w:t xml:space="preserve">Les heures de modulation non prises (concerne le personnel chantiers ETAM et OUVRIERS) sont payées sur le bulletin de paie de décembre, conformément à l’accord.  </w:t>
      </w:r>
    </w:p>
    <w:p w14:paraId="1E0D3E48" w14:textId="77777777" w:rsidP="000736A8" w:rsidR="00EE23EC" w:rsidRDefault="00EE23EC" w:rsidRPr="000A1E84">
      <w:pPr>
        <w:rPr>
          <w:sz w:val="12"/>
          <w:szCs w:val="10"/>
        </w:rPr>
      </w:pPr>
    </w:p>
    <w:p w14:paraId="7D1B14DD" w14:textId="77777777" w:rsidP="000736A8" w:rsidR="00EE23EC" w:rsidRDefault="00EE23EC">
      <w:r w:rsidRPr="008339B4">
        <w:t xml:space="preserve">L’entreprise étudie les demandes de travail à temps partiel, en tenant compte du poste, des responsabilités et du souhait du collaborateur d’articuler vie professionnelle et vie familiale. </w:t>
      </w:r>
    </w:p>
    <w:p w14:paraId="20495BE2" w14:textId="77777777" w:rsidR="00F7602B" w:rsidRDefault="00F7602B" w:rsidRPr="000A1E84">
      <w:pPr>
        <w:jc w:val="left"/>
        <w:rPr>
          <w:sz w:val="8"/>
          <w:szCs w:val="6"/>
        </w:rPr>
      </w:pPr>
    </w:p>
    <w:p w14:paraId="6FA0EC66" w14:textId="77777777" w:rsidP="005D0341" w:rsidR="00EE23EC" w:rsidRDefault="00EE23EC">
      <w:pPr>
        <w:pStyle w:val="Titre2"/>
        <w:ind w:left="1276"/>
      </w:pPr>
      <w:r>
        <w:t>Egalité professionnelle Hommes/Femmes</w:t>
      </w:r>
    </w:p>
    <w:p w14:paraId="0B99F2FA" w14:textId="77777777" w:rsidP="000736A8" w:rsidR="00EE23EC" w:rsidRDefault="00EE23EC" w:rsidRPr="00202006">
      <w:pPr>
        <w:rPr>
          <w:sz w:val="10"/>
          <w:szCs w:val="10"/>
        </w:rPr>
      </w:pPr>
    </w:p>
    <w:p w14:paraId="2C0B2648" w14:textId="70FAB6B2" w:rsidP="000736A8" w:rsidR="00552DDB" w:rsidRDefault="00552DDB">
      <w:r w:rsidRPr="00552DDB">
        <w:t xml:space="preserve">L’effectif de </w:t>
      </w:r>
      <w:r w:rsidR="002C04C1">
        <w:t>Clémançon</w:t>
      </w:r>
      <w:r w:rsidRPr="00552DDB">
        <w:t xml:space="preserve"> au 31/12/20</w:t>
      </w:r>
      <w:r w:rsidR="00D92208">
        <w:t>2</w:t>
      </w:r>
      <w:r w:rsidR="00F7602B">
        <w:t>2</w:t>
      </w:r>
      <w:r w:rsidRPr="00552DDB">
        <w:t xml:space="preserve"> est de </w:t>
      </w:r>
      <w:r w:rsidR="00D70CBB">
        <w:t>7</w:t>
      </w:r>
      <w:r w:rsidR="000861BD">
        <w:t>8</w:t>
      </w:r>
      <w:r w:rsidRPr="00552DDB">
        <w:t xml:space="preserve"> salariés, répartis dans les catégories suivantes :</w:t>
      </w:r>
    </w:p>
    <w:p w14:paraId="42C85A3E" w14:textId="01528CF5" w:rsidP="000F7AED" w:rsidR="00552DDB" w:rsidRDefault="00F7602B">
      <w:pPr>
        <w:pStyle w:val="Paragraphedeliste"/>
        <w:numPr>
          <w:ilvl w:val="0"/>
          <w:numId w:val="5"/>
        </w:numPr>
      </w:pPr>
      <w:r>
        <w:t>7</w:t>
      </w:r>
      <w:r w:rsidR="002C04C1">
        <w:t xml:space="preserve"> Femmes </w:t>
      </w:r>
      <w:r w:rsidR="002C04C1">
        <w:tab/>
      </w:r>
      <w:r w:rsidR="002C04C1">
        <w:tab/>
      </w:r>
      <w:r>
        <w:t>2</w:t>
      </w:r>
      <w:r w:rsidR="00B546C5">
        <w:t xml:space="preserve"> Cadre</w:t>
      </w:r>
      <w:r>
        <w:t>s</w:t>
      </w:r>
      <w:r w:rsidR="00B546C5">
        <w:t xml:space="preserve"> et </w:t>
      </w:r>
      <w:r w:rsidR="004E78F5">
        <w:t>5</w:t>
      </w:r>
      <w:r w:rsidR="002C04C1">
        <w:t xml:space="preserve"> ETAM</w:t>
      </w:r>
      <w:r w:rsidR="00A4041D">
        <w:t xml:space="preserve"> (</w:t>
      </w:r>
      <w:r>
        <w:t>6</w:t>
      </w:r>
      <w:r w:rsidR="00A4041D">
        <w:t xml:space="preserve"> femmes en 20</w:t>
      </w:r>
      <w:r w:rsidR="004E78F5">
        <w:t>2</w:t>
      </w:r>
      <w:r>
        <w:t>1</w:t>
      </w:r>
      <w:r w:rsidR="00A4041D">
        <w:t>)</w:t>
      </w:r>
    </w:p>
    <w:p w14:paraId="1B3ADE4F" w14:textId="5D077115" w:rsidP="000F7AED" w:rsidR="002C04C1" w:rsidRDefault="00F7602B" w:rsidRPr="00552DDB">
      <w:pPr>
        <w:pStyle w:val="Paragraphedeliste"/>
        <w:numPr>
          <w:ilvl w:val="0"/>
          <w:numId w:val="5"/>
        </w:numPr>
      </w:pPr>
      <w:r>
        <w:t>71</w:t>
      </w:r>
      <w:r w:rsidR="002C04C1">
        <w:t xml:space="preserve"> Hommes</w:t>
      </w:r>
      <w:r w:rsidR="002C04C1">
        <w:tab/>
      </w:r>
      <w:r w:rsidR="002C04C1">
        <w:tab/>
      </w:r>
      <w:r>
        <w:t>21</w:t>
      </w:r>
      <w:r w:rsidR="002C04C1">
        <w:t xml:space="preserve"> Cadres, </w:t>
      </w:r>
      <w:r>
        <w:t>19</w:t>
      </w:r>
      <w:r w:rsidR="002C04C1">
        <w:t xml:space="preserve"> ETAM et </w:t>
      </w:r>
      <w:r>
        <w:t>31</w:t>
      </w:r>
      <w:r w:rsidR="002C04C1">
        <w:t xml:space="preserve"> Ouvriers,</w:t>
      </w:r>
      <w:r w:rsidR="00A4041D">
        <w:t xml:space="preserve"> (</w:t>
      </w:r>
      <w:r w:rsidR="00016DC3">
        <w:t>68</w:t>
      </w:r>
      <w:r w:rsidR="00A4041D">
        <w:t xml:space="preserve"> hommes en 20</w:t>
      </w:r>
      <w:r w:rsidR="004E78F5">
        <w:t>2</w:t>
      </w:r>
      <w:r w:rsidR="00016DC3">
        <w:t>1</w:t>
      </w:r>
      <w:r w:rsidR="00A4041D">
        <w:t>)</w:t>
      </w:r>
    </w:p>
    <w:p w14:paraId="3C6F31C0" w14:textId="77777777" w:rsidP="000736A8" w:rsidR="00552DDB" w:rsidRDefault="00552DDB" w:rsidRPr="000A1E84">
      <w:pPr>
        <w:rPr>
          <w:sz w:val="16"/>
          <w:szCs w:val="14"/>
        </w:rPr>
      </w:pPr>
    </w:p>
    <w:p w14:paraId="10D45D4F" w14:textId="6B57DA38" w:rsidP="000A0138" w:rsidR="00552DDB" w:rsidRDefault="00552DDB">
      <w:pPr>
        <w:spacing w:after="240"/>
      </w:pPr>
      <w:r>
        <w:t>A</w:t>
      </w:r>
      <w:r w:rsidR="009840D7">
        <w:t xml:space="preserve"> l’embauche, l</w:t>
      </w:r>
      <w:r w:rsidRPr="00552DDB">
        <w:t>es salaires des O</w:t>
      </w:r>
      <w:r w:rsidR="009840D7">
        <w:t>uvriers</w:t>
      </w:r>
      <w:r w:rsidRPr="00552DDB">
        <w:t>, des C</w:t>
      </w:r>
      <w:r w:rsidR="009840D7">
        <w:t>adres</w:t>
      </w:r>
      <w:r w:rsidRPr="00552DDB">
        <w:t xml:space="preserve"> et des ETAM sont définis sur la base des salaires conventionnels des « Travaux Public » et négociés en fonction de l’expérience du candidat, de sa capacité à manager et à gérer une équipe et/ou un volume d’affaires et cela sans distinction de sexe.</w:t>
      </w:r>
      <w:r w:rsidR="000D7EA4">
        <w:t xml:space="preserve"> </w:t>
      </w:r>
      <w:r w:rsidRPr="00552DDB">
        <w:t>A fonction égale, pas de différence de traitement entre les hommes et les femmes.</w:t>
      </w:r>
    </w:p>
    <w:p w14:paraId="245B761B" w14:textId="7DE1D9D0" w:rsidP="000736A8" w:rsidR="00D70CBB" w:rsidRDefault="00D70CBB">
      <w:r>
        <w:t xml:space="preserve">Un accord a été signé le 29 octobre 2019, avec 3 actions majeures : </w:t>
      </w:r>
    </w:p>
    <w:p w14:paraId="5C6DF4A0" w14:textId="36C6E593" w:rsidP="000F7AED" w:rsidR="00F837DE" w:rsidRDefault="00F837DE">
      <w:pPr>
        <w:pStyle w:val="Paragraphedeliste"/>
        <w:numPr>
          <w:ilvl w:val="0"/>
          <w:numId w:val="6"/>
        </w:numPr>
      </w:pPr>
      <w:r>
        <w:t>Vérifier les équivalences de diplômes et d’expériences pour le calcul de la rémunération avec une évolution salariale de même niveau homme et femme à compétences et diplômes équivalentes</w:t>
      </w:r>
    </w:p>
    <w:p w14:paraId="41F93799" w14:textId="0761FFF6" w:rsidP="000F7AED" w:rsidR="00F837DE" w:rsidRDefault="00F837DE">
      <w:pPr>
        <w:pStyle w:val="Paragraphedeliste"/>
        <w:numPr>
          <w:ilvl w:val="0"/>
          <w:numId w:val="6"/>
        </w:numPr>
      </w:pPr>
      <w:r>
        <w:t>Favoriser l’accès à la formation tous les 2 ans</w:t>
      </w:r>
    </w:p>
    <w:p w14:paraId="55A545C0" w14:textId="4A3AC8FA" w:rsidP="000F7AED" w:rsidR="00F837DE" w:rsidRDefault="00F837DE">
      <w:pPr>
        <w:pStyle w:val="Paragraphedeliste"/>
        <w:numPr>
          <w:ilvl w:val="0"/>
          <w:numId w:val="6"/>
        </w:numPr>
      </w:pPr>
      <w:r>
        <w:t>Améliorer le taux de féminisation et une plus grande mixité dans les métiers</w:t>
      </w:r>
    </w:p>
    <w:p w14:paraId="3E0C48E9" w14:textId="77777777" w:rsidP="000736A8" w:rsidR="00552DDB" w:rsidRDefault="00552DDB" w:rsidRPr="00423390">
      <w:pPr>
        <w:rPr>
          <w:sz w:val="16"/>
          <w:szCs w:val="14"/>
        </w:rPr>
      </w:pPr>
    </w:p>
    <w:p w14:paraId="7855E8BC" w14:textId="77777777" w:rsidP="000736A8" w:rsidR="00552DDB" w:rsidRDefault="00552DDB" w:rsidRPr="00552DDB">
      <w:r w:rsidRPr="00552DDB">
        <w:t>C</w:t>
      </w:r>
      <w:r>
        <w:t>lémançon</w:t>
      </w:r>
      <w:r w:rsidRPr="00552DDB">
        <w:t xml:space="preserve"> a pour objectif d’augmenter le taux de féminisation des postes et pour cela</w:t>
      </w:r>
      <w:r>
        <w:t xml:space="preserve">, elle </w:t>
      </w:r>
      <w:r w:rsidR="00BE4072">
        <w:t xml:space="preserve">veille </w:t>
      </w:r>
      <w:r>
        <w:t>à</w:t>
      </w:r>
      <w:r w:rsidRPr="00552DDB">
        <w:t> :</w:t>
      </w:r>
    </w:p>
    <w:p w14:paraId="12CE6930" w14:textId="77777777" w:rsidP="000F7AED" w:rsidR="00552DDB" w:rsidRDefault="00552DDB">
      <w:pPr>
        <w:pStyle w:val="Paragraphedeliste"/>
        <w:numPr>
          <w:ilvl w:val="0"/>
          <w:numId w:val="5"/>
        </w:numPr>
      </w:pPr>
      <w:r>
        <w:t>Garantir l’accessibilité à</w:t>
      </w:r>
      <w:r w:rsidRPr="00552DDB">
        <w:t xml:space="preserve"> toutes les propositions d’offres d’emplois aux hommes et aux femmes </w:t>
      </w:r>
    </w:p>
    <w:p w14:paraId="13A617B4" w14:textId="77777777" w:rsidP="000F7AED" w:rsidR="00552DDB" w:rsidRDefault="00552DDB">
      <w:pPr>
        <w:pStyle w:val="Paragraphedeliste"/>
        <w:numPr>
          <w:ilvl w:val="0"/>
          <w:numId w:val="5"/>
        </w:numPr>
      </w:pPr>
      <w:r>
        <w:t xml:space="preserve">Garantir un </w:t>
      </w:r>
      <w:r w:rsidRPr="00552DDB">
        <w:t>salaire d’embauche égal à celui d’</w:t>
      </w:r>
      <w:r>
        <w:t>un homme, à qualification égale,</w:t>
      </w:r>
    </w:p>
    <w:p w14:paraId="65E80FE2" w14:textId="77777777" w:rsidP="000F7AED" w:rsidR="00552DDB" w:rsidRDefault="00552DDB">
      <w:pPr>
        <w:pStyle w:val="Paragraphedeliste"/>
        <w:numPr>
          <w:ilvl w:val="0"/>
          <w:numId w:val="5"/>
        </w:numPr>
      </w:pPr>
      <w:r>
        <w:t>A</w:t>
      </w:r>
      <w:r w:rsidRPr="00552DDB">
        <w:t xml:space="preserve"> développer la communication auprès des écoles d’ingénieurs</w:t>
      </w:r>
      <w:r>
        <w:t>,</w:t>
      </w:r>
    </w:p>
    <w:p w14:paraId="12B6337C" w14:textId="338A8FAA" w:rsidP="000F7AED" w:rsidR="00552DDB" w:rsidRDefault="00552DDB">
      <w:pPr>
        <w:pStyle w:val="Paragraphedeliste"/>
        <w:numPr>
          <w:ilvl w:val="0"/>
          <w:numId w:val="5"/>
        </w:numPr>
      </w:pPr>
      <w:r w:rsidRPr="00552DDB">
        <w:t>A accueillir régulièrement des étudiantes et des stagiaires pour faire découvrir les métiers et les possibilités de carrières offertes aux femmes</w:t>
      </w:r>
    </w:p>
    <w:p w14:paraId="33F03C37" w14:textId="68C0F4B1" w:rsidP="000736A8" w:rsidR="00D95983" w:rsidRDefault="00D95983" w:rsidRPr="000A1E84">
      <w:pPr>
        <w:rPr>
          <w:sz w:val="14"/>
          <w:szCs w:val="12"/>
        </w:rPr>
      </w:pPr>
    </w:p>
    <w:p w14:paraId="2DE71180" w14:textId="5482CF05" w:rsidP="000A1E84" w:rsidR="00FB1E4F" w:rsidRDefault="003D70D4" w:rsidRPr="00FB1E4F">
      <w:pPr>
        <w:spacing w:after="60"/>
        <w:rPr>
          <w:rFonts w:ascii="Times New Roman" w:hAnsi="Times New Roman"/>
          <w:sz w:val="20"/>
          <w:lang w:eastAsia="en-US"/>
        </w:rPr>
      </w:pPr>
      <w:r>
        <w:t>En 202</w:t>
      </w:r>
      <w:r w:rsidR="00C52386">
        <w:t>2</w:t>
      </w:r>
      <w:r>
        <w:t xml:space="preserve">, nous avons accueilli </w:t>
      </w:r>
      <w:r w:rsidR="00E74577">
        <w:t>8</w:t>
      </w:r>
      <w:r w:rsidR="00552DDB" w:rsidRPr="00D95983">
        <w:t xml:space="preserve"> stagiaires dont </w:t>
      </w:r>
      <w:r w:rsidR="00E74577">
        <w:t>4</w:t>
      </w:r>
      <w:r w:rsidR="00552DDB" w:rsidRPr="00D95983">
        <w:t xml:space="preserve"> femme</w:t>
      </w:r>
      <w:r w:rsidR="002637A0">
        <w:t>s</w:t>
      </w:r>
      <w:r w:rsidR="00552DDB" w:rsidRPr="00D95983">
        <w:t>.</w:t>
      </w:r>
      <w:r w:rsidR="000A1E84">
        <w:t xml:space="preserve"> </w:t>
      </w:r>
      <w:r w:rsidR="00C7232E">
        <w:fldChar w:fldCharType="begin"/>
      </w:r>
      <w:r w:rsidR="00C7232E">
        <w:instrText xml:space="preserve"> LINK </w:instrText>
      </w:r>
      <w:r w:rsidR="00923217">
        <w:instrText xml:space="preserve">Excel.Sheet.8 "\\\\S-CZ284305LS-B1.dom1.vinci-energies.net\\Service du personnel\\Administration du personnel\\Stagiaires\\2018 Stagiaires.xls" "TCD STG!L4C1:L9C4" </w:instrText>
      </w:r>
      <w:r w:rsidR="00C7232E">
        <w:instrText xml:space="preserve">\a \f 4 \h  \* MERGEFORMAT </w:instrText>
      </w:r>
      <w:r w:rsidR="00C7232E">
        <w:fldChar w:fldCharType="separate"/>
      </w:r>
    </w:p>
    <w:tbl>
      <w:tblPr>
        <w:tblStyle w:val="TableauGrille4-Accentuation1"/>
        <w:tblW w:type="dxa" w:w="6804"/>
        <w:tblLook w:firstColumn="1" w:firstRow="1" w:lastColumn="0" w:lastRow="0" w:noHBand="0" w:noVBand="1" w:val="04A0"/>
      </w:tblPr>
      <w:tblGrid>
        <w:gridCol w:w="3680"/>
        <w:gridCol w:w="800"/>
        <w:gridCol w:w="800"/>
        <w:gridCol w:w="1524"/>
      </w:tblGrid>
      <w:tr w14:paraId="2564B5DA" w14:textId="77777777" w:rsidR="00FB1E4F" w:rsidRPr="003372A2" w:rsidTr="00BD49B9">
        <w:trPr>
          <w:cnfStyle w:evenHBand="0" w:evenVBand="0" w:firstColumn="0" w:firstRow="1" w:firstRowFirstColumn="0" w:firstRowLastColumn="0" w:lastColumn="0" w:lastRow="0" w:lastRowFirstColumn="0" w:lastRowLastColumn="0" w:oddHBand="0" w:oddVBand="0" w:val="100000000000"/>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hideMark/>
          </w:tcPr>
          <w:p w14:paraId="14971C64" w14:textId="77777777" w:rsidP="00FB1E4F" w:rsidR="00FB1E4F" w:rsidRDefault="00FB1E4F" w:rsidRPr="003372A2">
            <w:pPr>
              <w:rPr>
                <w:rFonts w:cstheme="majorBidi" w:eastAsiaTheme="majorEastAsia"/>
                <w:b w:val="0"/>
                <w:caps/>
              </w:rPr>
            </w:pPr>
            <w:r w:rsidRPr="003372A2">
              <w:rPr>
                <w:rFonts w:cstheme="majorBidi" w:eastAsiaTheme="majorEastAsia"/>
                <w:b w:val="0"/>
              </w:rPr>
              <w:t>Diplôme préparé ou année d'étude</w:t>
            </w:r>
          </w:p>
        </w:tc>
        <w:tc>
          <w:tcPr>
            <w:tcW w:type="dxa" w:w="800"/>
            <w:noWrap/>
            <w:hideMark/>
          </w:tcPr>
          <w:p w14:paraId="0428E759" w14:textId="77777777" w:rsidP="00171FE6" w:rsidR="00FB1E4F" w:rsidRDefault="00FB1E4F" w:rsidRPr="003372A2">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Cs w:val="0"/>
                <w:caps/>
              </w:rPr>
            </w:pPr>
            <w:r w:rsidRPr="003372A2">
              <w:rPr>
                <w:rFonts w:cstheme="majorBidi" w:eastAsiaTheme="majorEastAsia"/>
                <w:bCs w:val="0"/>
              </w:rPr>
              <w:t>F</w:t>
            </w:r>
          </w:p>
        </w:tc>
        <w:tc>
          <w:tcPr>
            <w:tcW w:type="dxa" w:w="800"/>
            <w:noWrap/>
            <w:hideMark/>
          </w:tcPr>
          <w:p w14:paraId="303FEB98" w14:textId="77777777" w:rsidP="00171FE6" w:rsidR="00FB1E4F" w:rsidRDefault="00FB1E4F" w:rsidRPr="003372A2">
            <w:pPr>
              <w:jc w:val="center"/>
              <w:cnfStyle w:evenHBand="0" w:evenVBand="0" w:firstColumn="0" w:firstRow="1" w:firstRowFirstColumn="0" w:firstRowLastColumn="0" w:lastColumn="0" w:lastRow="0" w:lastRowFirstColumn="0" w:lastRowLastColumn="0" w:oddHBand="0" w:oddVBand="0" w:val="100000000000"/>
              <w:rPr>
                <w:rFonts w:cstheme="majorBidi" w:eastAsiaTheme="majorEastAsia"/>
                <w:bCs w:val="0"/>
                <w:caps/>
              </w:rPr>
            </w:pPr>
            <w:r w:rsidRPr="003372A2">
              <w:rPr>
                <w:rFonts w:cstheme="majorBidi" w:eastAsiaTheme="majorEastAsia"/>
                <w:bCs w:val="0"/>
              </w:rPr>
              <w:t>M</w:t>
            </w:r>
          </w:p>
        </w:tc>
        <w:tc>
          <w:tcPr>
            <w:tcW w:type="dxa" w:w="1524"/>
            <w:noWrap/>
            <w:hideMark/>
          </w:tcPr>
          <w:p w14:paraId="1F3DEAC8" w14:textId="77777777" w:rsidP="00FB1E4F" w:rsidR="00FB1E4F" w:rsidRDefault="00FB1E4F" w:rsidRPr="003372A2">
            <w:pPr>
              <w:cnfStyle w:evenHBand="0" w:evenVBand="0" w:firstColumn="0" w:firstRow="1" w:firstRowFirstColumn="0" w:firstRowLastColumn="0" w:lastColumn="0" w:lastRow="0" w:lastRowFirstColumn="0" w:lastRowLastColumn="0" w:oddHBand="0" w:oddVBand="0" w:val="100000000000"/>
              <w:rPr>
                <w:rFonts w:cstheme="majorBidi" w:eastAsiaTheme="majorEastAsia"/>
                <w:bCs w:val="0"/>
                <w:caps/>
              </w:rPr>
            </w:pPr>
            <w:r w:rsidRPr="003372A2">
              <w:rPr>
                <w:rFonts w:cstheme="majorBidi" w:eastAsiaTheme="majorEastAsia"/>
                <w:bCs w:val="0"/>
              </w:rPr>
              <w:t>Total général</w:t>
            </w:r>
          </w:p>
        </w:tc>
      </w:tr>
      <w:tr w14:paraId="09B5EDB8" w14:textId="77777777" w:rsidR="00FB1E4F" w:rsidRPr="003372A2" w:rsidTr="004E78F5">
        <w:trPr>
          <w:cnfStyle w:evenHBand="0" w:evenVBand="0" w:firstColumn="0" w:firstRow="0" w:firstRowFirstColumn="0" w:firstRowLastColumn="0" w:lastColumn="0" w:lastRow="0" w:lastRowFirstColumn="0" w:lastRowLastColumn="0" w:oddHBand="1" w:oddVBand="0" w:val="000000100000"/>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hideMark/>
          </w:tcPr>
          <w:p w14:paraId="23A132B4" w14:textId="77777777" w:rsidP="00FB1E4F" w:rsidR="00FB1E4F" w:rsidRDefault="00FB1E4F" w:rsidRPr="003372A2">
            <w:pPr>
              <w:rPr>
                <w:rFonts w:cstheme="majorBidi" w:eastAsiaTheme="majorEastAsia"/>
                <w:b w:val="0"/>
                <w:bCs w:val="0"/>
                <w:caps/>
              </w:rPr>
            </w:pPr>
            <w:r w:rsidRPr="003372A2">
              <w:rPr>
                <w:rFonts w:cstheme="majorBidi" w:eastAsiaTheme="majorEastAsia"/>
                <w:b w:val="0"/>
                <w:bCs w:val="0"/>
              </w:rPr>
              <w:t>3ème</w:t>
            </w:r>
          </w:p>
        </w:tc>
        <w:tc>
          <w:tcPr>
            <w:tcW w:type="dxa" w:w="800"/>
            <w:noWrap/>
            <w:hideMark/>
          </w:tcPr>
          <w:p w14:paraId="7A22FA4E" w14:textId="72189087" w:rsidP="00171FE6" w:rsidR="00FB1E4F" w:rsidRDefault="00FB1E4F"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b/>
                <w:bCs/>
                <w:caps/>
              </w:rPr>
            </w:pPr>
          </w:p>
        </w:tc>
        <w:tc>
          <w:tcPr>
            <w:tcW w:type="dxa" w:w="800"/>
            <w:noWrap/>
          </w:tcPr>
          <w:p w14:paraId="2AE97727" w14:textId="5A42B91C" w:rsidP="00171FE6" w:rsidR="00FB1E4F"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1</w:t>
            </w:r>
          </w:p>
        </w:tc>
        <w:tc>
          <w:tcPr>
            <w:tcW w:type="dxa" w:w="1524"/>
            <w:noWrap/>
          </w:tcPr>
          <w:p w14:paraId="598CCD89" w14:textId="217A50B1" w:rsidP="00171FE6" w:rsidR="00FB1E4F"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1</w:t>
            </w:r>
          </w:p>
        </w:tc>
      </w:tr>
      <w:tr w14:paraId="388E3518" w14:textId="77777777" w:rsidR="00BD49B9" w:rsidRPr="003372A2" w:rsidTr="00BD49B9">
        <w:trPr>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tcPr>
          <w:p w14:paraId="60EA60F8" w14:textId="653E1D7E" w:rsidP="00FB1E4F" w:rsidR="00BD49B9" w:rsidRDefault="00BD49B9" w:rsidRPr="003372A2">
            <w:pPr>
              <w:rPr>
                <w:rFonts w:cstheme="majorBidi" w:eastAsiaTheme="majorEastAsia"/>
                <w:b w:val="0"/>
                <w:bCs w:val="0"/>
              </w:rPr>
            </w:pPr>
            <w:r w:rsidRPr="003372A2">
              <w:rPr>
                <w:rFonts w:cstheme="majorBidi" w:eastAsiaTheme="majorEastAsia"/>
                <w:b w:val="0"/>
                <w:bCs w:val="0"/>
              </w:rPr>
              <w:t>2</w:t>
            </w:r>
            <w:r w:rsidRPr="003372A2">
              <w:rPr>
                <w:rFonts w:cstheme="majorBidi" w:eastAsiaTheme="majorEastAsia"/>
                <w:b w:val="0"/>
                <w:bCs w:val="0"/>
                <w:vertAlign w:val="superscript"/>
              </w:rPr>
              <w:t>nd</w:t>
            </w:r>
          </w:p>
        </w:tc>
        <w:tc>
          <w:tcPr>
            <w:tcW w:type="dxa" w:w="800"/>
            <w:noWrap/>
          </w:tcPr>
          <w:p w14:paraId="1A96F4DF" w14:textId="77777777" w:rsidP="00171FE6" w:rsidR="00BD49B9" w:rsidRDefault="00BD49B9"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b/>
                <w:bCs/>
                <w:caps/>
              </w:rPr>
            </w:pPr>
          </w:p>
        </w:tc>
        <w:tc>
          <w:tcPr>
            <w:tcW w:type="dxa" w:w="800"/>
            <w:noWrap/>
          </w:tcPr>
          <w:p w14:paraId="2C3CBC45" w14:textId="4CC44AE7" w:rsidP="00171FE6" w:rsidR="00BD49B9" w:rsidRDefault="007C4D6E"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r w:rsidRPr="003372A2">
              <w:rPr>
                <w:rFonts w:cstheme="majorBidi" w:eastAsiaTheme="majorEastAsia"/>
                <w:caps/>
              </w:rPr>
              <w:t>1</w:t>
            </w:r>
          </w:p>
        </w:tc>
        <w:tc>
          <w:tcPr>
            <w:tcW w:type="dxa" w:w="1524"/>
            <w:noWrap/>
          </w:tcPr>
          <w:p w14:paraId="310F71D1" w14:textId="6C7668CB" w:rsidP="00171FE6" w:rsidR="00BD49B9" w:rsidRDefault="007C4D6E"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r w:rsidRPr="003372A2">
              <w:rPr>
                <w:rFonts w:cstheme="majorBidi" w:eastAsiaTheme="majorEastAsia"/>
                <w:caps/>
              </w:rPr>
              <w:t>1</w:t>
            </w:r>
          </w:p>
        </w:tc>
      </w:tr>
      <w:tr w14:paraId="145B4DB0" w14:textId="77777777" w:rsidR="00BD49B9" w:rsidRPr="003372A2" w:rsidTr="00BD49B9">
        <w:trPr>
          <w:cnfStyle w:evenHBand="0" w:evenVBand="0" w:firstColumn="0" w:firstRow="0" w:firstRowFirstColumn="0" w:firstRowLastColumn="0" w:lastColumn="0" w:lastRow="0" w:lastRowFirstColumn="0" w:lastRowLastColumn="0" w:oddHBand="1" w:oddVBand="0" w:val="000000100000"/>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tcPr>
          <w:p w14:paraId="6A875DF3" w14:textId="733AC183" w:rsidP="00FB1E4F" w:rsidR="00BD49B9" w:rsidRDefault="00BD49B9" w:rsidRPr="003372A2">
            <w:pPr>
              <w:rPr>
                <w:rFonts w:cstheme="majorBidi" w:eastAsiaTheme="majorEastAsia"/>
                <w:b w:val="0"/>
                <w:bCs w:val="0"/>
              </w:rPr>
            </w:pPr>
            <w:r w:rsidRPr="003372A2">
              <w:rPr>
                <w:rFonts w:cstheme="majorBidi" w:eastAsiaTheme="majorEastAsia"/>
                <w:b w:val="0"/>
                <w:bCs w:val="0"/>
              </w:rPr>
              <w:t>Bac pro</w:t>
            </w:r>
          </w:p>
        </w:tc>
        <w:tc>
          <w:tcPr>
            <w:tcW w:type="dxa" w:w="800"/>
            <w:noWrap/>
          </w:tcPr>
          <w:p w14:paraId="662C2ADC" w14:textId="77777777" w:rsidP="00171FE6" w:rsidR="00BD49B9" w:rsidRDefault="00BD49B9"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p>
        </w:tc>
        <w:tc>
          <w:tcPr>
            <w:tcW w:type="dxa" w:w="800"/>
            <w:noWrap/>
          </w:tcPr>
          <w:p w14:paraId="4775363A" w14:textId="159F336D" w:rsidP="00171FE6" w:rsidR="00BD49B9"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1</w:t>
            </w:r>
          </w:p>
        </w:tc>
        <w:tc>
          <w:tcPr>
            <w:tcW w:type="dxa" w:w="1524"/>
            <w:noWrap/>
          </w:tcPr>
          <w:p w14:paraId="76AE3605" w14:textId="568ED86E" w:rsidP="007C4D6E" w:rsidR="00BD49B9" w:rsidRDefault="007C4D6E" w:rsidRPr="003372A2">
            <w:pPr>
              <w:tabs>
                <w:tab w:pos="300" w:val="left"/>
                <w:tab w:pos="654" w:val="center"/>
              </w:tabs>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1</w:t>
            </w:r>
          </w:p>
        </w:tc>
      </w:tr>
      <w:tr w14:paraId="13B72E82" w14:textId="77777777" w:rsidR="00BD49B9" w:rsidRPr="003372A2" w:rsidTr="00BD49B9">
        <w:trPr>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tcPr>
          <w:p w14:paraId="2C54BD53" w14:textId="61335579" w:rsidP="00FB1E4F" w:rsidR="00BD49B9" w:rsidRDefault="00BD49B9" w:rsidRPr="003372A2">
            <w:pPr>
              <w:rPr>
                <w:rFonts w:cstheme="majorBidi" w:eastAsiaTheme="majorEastAsia"/>
                <w:b w:val="0"/>
                <w:bCs w:val="0"/>
              </w:rPr>
            </w:pPr>
            <w:r w:rsidRPr="003372A2">
              <w:rPr>
                <w:rFonts w:cstheme="majorBidi" w:eastAsiaTheme="majorEastAsia"/>
                <w:b w:val="0"/>
                <w:bCs w:val="0"/>
              </w:rPr>
              <w:t>CAP</w:t>
            </w:r>
          </w:p>
        </w:tc>
        <w:tc>
          <w:tcPr>
            <w:tcW w:type="dxa" w:w="800"/>
            <w:noWrap/>
          </w:tcPr>
          <w:p w14:paraId="49EFD0F9" w14:textId="77777777" w:rsidP="00171FE6" w:rsidR="00BD49B9" w:rsidRDefault="00BD49B9"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p>
        </w:tc>
        <w:tc>
          <w:tcPr>
            <w:tcW w:type="dxa" w:w="800"/>
            <w:noWrap/>
          </w:tcPr>
          <w:p w14:paraId="1030C6AA" w14:textId="3F16E084" w:rsidP="00171FE6" w:rsidR="00BD49B9" w:rsidRDefault="00BD49B9"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p>
        </w:tc>
        <w:tc>
          <w:tcPr>
            <w:tcW w:type="dxa" w:w="1524"/>
            <w:noWrap/>
          </w:tcPr>
          <w:p w14:paraId="3A4211F1" w14:textId="5CC00F78" w:rsidP="00171FE6" w:rsidR="00BD49B9" w:rsidRDefault="00BD49B9"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p>
        </w:tc>
      </w:tr>
      <w:tr w14:paraId="08023666" w14:textId="77777777" w:rsidR="00BD49B9" w:rsidRPr="003372A2" w:rsidTr="00BD49B9">
        <w:trPr>
          <w:cnfStyle w:evenHBand="0" w:evenVBand="0" w:firstColumn="0" w:firstRow="0" w:firstRowFirstColumn="0" w:firstRowLastColumn="0" w:lastColumn="0" w:lastRow="0" w:lastRowFirstColumn="0" w:lastRowLastColumn="0" w:oddHBand="1" w:oddVBand="0" w:val="000000100000"/>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tcPr>
          <w:p w14:paraId="27B25BF4" w14:textId="7A775580" w:rsidP="00FB1E4F" w:rsidR="00BD49B9" w:rsidRDefault="00BD49B9" w:rsidRPr="003372A2">
            <w:pPr>
              <w:rPr>
                <w:rFonts w:cstheme="majorBidi" w:eastAsiaTheme="majorEastAsia"/>
                <w:b w:val="0"/>
                <w:bCs w:val="0"/>
              </w:rPr>
            </w:pPr>
            <w:r w:rsidRPr="003372A2">
              <w:rPr>
                <w:rFonts w:cstheme="majorBidi" w:eastAsiaTheme="majorEastAsia"/>
                <w:b w:val="0"/>
                <w:bCs w:val="0"/>
              </w:rPr>
              <w:t>BTS</w:t>
            </w:r>
          </w:p>
        </w:tc>
        <w:tc>
          <w:tcPr>
            <w:tcW w:type="dxa" w:w="800"/>
            <w:noWrap/>
          </w:tcPr>
          <w:p w14:paraId="007E767D" w14:textId="3E9EFF81" w:rsidP="00171FE6" w:rsidR="00BD49B9"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2</w:t>
            </w:r>
          </w:p>
        </w:tc>
        <w:tc>
          <w:tcPr>
            <w:tcW w:type="dxa" w:w="800"/>
            <w:noWrap/>
          </w:tcPr>
          <w:p w14:paraId="0E943A88" w14:textId="09A924DF" w:rsidP="00171FE6" w:rsidR="00BD49B9"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1</w:t>
            </w:r>
          </w:p>
        </w:tc>
        <w:tc>
          <w:tcPr>
            <w:tcW w:type="dxa" w:w="1524"/>
            <w:noWrap/>
          </w:tcPr>
          <w:p w14:paraId="679631D2" w14:textId="38F8241A" w:rsidP="00171FE6" w:rsidR="00BD49B9"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3</w:t>
            </w:r>
          </w:p>
        </w:tc>
      </w:tr>
      <w:tr w14:paraId="7A9C1B81" w14:textId="77777777" w:rsidR="00FB1E4F" w:rsidRPr="003372A2" w:rsidTr="004E78F5">
        <w:trPr>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hideMark/>
          </w:tcPr>
          <w:p w14:paraId="317EFFCD" w14:textId="5A3D0436" w:rsidP="00FB1E4F" w:rsidR="00FB1E4F" w:rsidRDefault="00FB1E4F" w:rsidRPr="003372A2">
            <w:pPr>
              <w:rPr>
                <w:rFonts w:cstheme="majorBidi" w:eastAsiaTheme="majorEastAsia"/>
                <w:b w:val="0"/>
                <w:bCs w:val="0"/>
                <w:caps/>
              </w:rPr>
            </w:pPr>
            <w:r w:rsidRPr="003372A2">
              <w:rPr>
                <w:rFonts w:cstheme="majorBidi" w:eastAsiaTheme="majorEastAsia"/>
                <w:b w:val="0"/>
                <w:bCs w:val="0"/>
              </w:rPr>
              <w:t>I</w:t>
            </w:r>
            <w:r w:rsidR="00BA6F19" w:rsidRPr="003372A2">
              <w:rPr>
                <w:rFonts w:cstheme="majorBidi" w:eastAsiaTheme="majorEastAsia"/>
                <w:b w:val="0"/>
                <w:bCs w:val="0"/>
                <w:caps/>
              </w:rPr>
              <w:t>ngénieur</w:t>
            </w:r>
          </w:p>
        </w:tc>
        <w:tc>
          <w:tcPr>
            <w:tcW w:type="dxa" w:w="800"/>
            <w:noWrap/>
            <w:hideMark/>
          </w:tcPr>
          <w:p w14:paraId="70283755" w14:textId="74BCCA48" w:rsidP="00171FE6" w:rsidR="00FB1E4F" w:rsidRDefault="007C4D6E"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r w:rsidRPr="003372A2">
              <w:rPr>
                <w:rFonts w:cstheme="majorBidi" w:eastAsiaTheme="majorEastAsia"/>
                <w:caps/>
              </w:rPr>
              <w:t>2</w:t>
            </w:r>
          </w:p>
        </w:tc>
        <w:tc>
          <w:tcPr>
            <w:tcW w:type="dxa" w:w="800"/>
            <w:noWrap/>
          </w:tcPr>
          <w:p w14:paraId="51DFAC3E" w14:textId="1385F1C1" w:rsidP="00171FE6" w:rsidR="00FB1E4F" w:rsidRDefault="00FB1E4F"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p>
        </w:tc>
        <w:tc>
          <w:tcPr>
            <w:tcW w:type="dxa" w:w="1524"/>
            <w:noWrap/>
          </w:tcPr>
          <w:p w14:paraId="0CDFA3D0" w14:textId="356E0F03" w:rsidP="00171FE6" w:rsidR="00FB1E4F" w:rsidRDefault="007C4D6E" w:rsidRPr="003372A2">
            <w:pPr>
              <w:jc w:val="center"/>
              <w:cnfStyle w:evenHBand="0" w:evenVBand="0" w:firstColumn="0" w:firstRow="0" w:firstRowFirstColumn="0" w:firstRowLastColumn="0" w:lastColumn="0" w:lastRow="0" w:lastRowFirstColumn="0" w:lastRowLastColumn="0" w:oddHBand="0" w:oddVBand="0" w:val="000000000000"/>
              <w:rPr>
                <w:rFonts w:cstheme="majorBidi" w:eastAsiaTheme="majorEastAsia"/>
                <w:caps/>
              </w:rPr>
            </w:pPr>
            <w:r w:rsidRPr="003372A2">
              <w:rPr>
                <w:rFonts w:cstheme="majorBidi" w:eastAsiaTheme="majorEastAsia"/>
                <w:caps/>
              </w:rPr>
              <w:t>2</w:t>
            </w:r>
          </w:p>
        </w:tc>
      </w:tr>
      <w:tr w14:paraId="2D52D861" w14:textId="77777777" w:rsidR="00BD49B9" w:rsidRPr="00FB1E4F" w:rsidTr="004E78F5">
        <w:trPr>
          <w:cnfStyle w:evenHBand="0" w:evenVBand="0" w:firstColumn="0" w:firstRow="0" w:firstRowFirstColumn="0" w:firstRowLastColumn="0" w:lastColumn="0" w:lastRow="0" w:lastRowFirstColumn="0" w:lastRowLastColumn="0" w:oddHBand="1" w:oddVBand="0" w:val="000000100000"/>
          <w:divId w:val="822236477"/>
          <w:trHeight w:val="300"/>
        </w:trPr>
        <w:tc>
          <w:tcPr>
            <w:cnfStyle w:evenHBand="0" w:evenVBand="0" w:firstColumn="1" w:firstRow="0" w:firstRowFirstColumn="0" w:firstRowLastColumn="0" w:lastColumn="0" w:lastRow="0" w:lastRowFirstColumn="0" w:lastRowLastColumn="0" w:oddHBand="0" w:oddVBand="0" w:val="001000000000"/>
            <w:tcW w:type="dxa" w:w="3680"/>
            <w:noWrap/>
            <w:hideMark/>
          </w:tcPr>
          <w:p w14:paraId="51D825DD" w14:textId="77777777" w:rsidP="00FB1E4F" w:rsidR="00FB1E4F" w:rsidRDefault="00FB1E4F" w:rsidRPr="003372A2">
            <w:pPr>
              <w:rPr>
                <w:rFonts w:cstheme="majorBidi" w:eastAsiaTheme="majorEastAsia"/>
                <w:b w:val="0"/>
                <w:bCs w:val="0"/>
                <w:caps/>
              </w:rPr>
            </w:pPr>
            <w:r w:rsidRPr="003372A2">
              <w:rPr>
                <w:rFonts w:cstheme="majorBidi" w:eastAsiaTheme="majorEastAsia"/>
                <w:b w:val="0"/>
                <w:bCs w:val="0"/>
              </w:rPr>
              <w:t>Total général</w:t>
            </w:r>
          </w:p>
        </w:tc>
        <w:tc>
          <w:tcPr>
            <w:tcW w:type="dxa" w:w="800"/>
            <w:noWrap/>
          </w:tcPr>
          <w:p w14:paraId="6C316ED1" w14:textId="228DCFEA" w:rsidP="00171FE6" w:rsidR="00FB1E4F"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4</w:t>
            </w:r>
          </w:p>
        </w:tc>
        <w:tc>
          <w:tcPr>
            <w:tcW w:type="dxa" w:w="800"/>
            <w:noWrap/>
          </w:tcPr>
          <w:p w14:paraId="3F753878" w14:textId="7627F211" w:rsidP="00171FE6" w:rsidR="00FB1E4F" w:rsidRDefault="007C4D6E" w:rsidRPr="003372A2">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4</w:t>
            </w:r>
          </w:p>
        </w:tc>
        <w:tc>
          <w:tcPr>
            <w:tcW w:type="dxa" w:w="1524"/>
            <w:noWrap/>
          </w:tcPr>
          <w:p w14:paraId="0F0426D8" w14:textId="757E64FE" w:rsidP="00171FE6" w:rsidR="00FB1E4F" w:rsidRDefault="007C4D6E" w:rsidRPr="008D00CC">
            <w:pPr>
              <w:jc w:val="center"/>
              <w:cnfStyle w:evenHBand="0" w:evenVBand="0" w:firstColumn="0" w:firstRow="0" w:firstRowFirstColumn="0" w:firstRowLastColumn="0" w:lastColumn="0" w:lastRow="0" w:lastRowFirstColumn="0" w:lastRowLastColumn="0" w:oddHBand="1" w:oddVBand="0" w:val="000000100000"/>
              <w:rPr>
                <w:rFonts w:cstheme="majorBidi" w:eastAsiaTheme="majorEastAsia"/>
                <w:caps/>
              </w:rPr>
            </w:pPr>
            <w:r w:rsidRPr="003372A2">
              <w:rPr>
                <w:rFonts w:cstheme="majorBidi" w:eastAsiaTheme="majorEastAsia"/>
                <w:caps/>
              </w:rPr>
              <w:t>8</w:t>
            </w:r>
          </w:p>
        </w:tc>
      </w:tr>
    </w:tbl>
    <w:p w14:paraId="5E43C5A5" w14:textId="77777777" w:rsidP="000736A8" w:rsidR="00C7232E" w:rsidRDefault="00C7232E">
      <w:r>
        <w:fldChar w:fldCharType="end"/>
      </w:r>
    </w:p>
    <w:p w14:paraId="02E28901" w14:textId="77777777" w:rsidP="005D0341" w:rsidR="00EE23EC" w:rsidRDefault="00EF053D">
      <w:pPr>
        <w:pStyle w:val="Titre2"/>
        <w:ind w:left="1276"/>
      </w:pPr>
      <w:r w:rsidRPr="00EF053D">
        <w:t>Gestion prévisionnelle des Emplois des Compétences</w:t>
      </w:r>
    </w:p>
    <w:p w14:paraId="47AE9A7E" w14:textId="77777777" w:rsidP="000736A8" w:rsidR="00EF053D" w:rsidRDefault="00EF053D" w:rsidRPr="00202006">
      <w:pPr>
        <w:rPr>
          <w:sz w:val="10"/>
          <w:szCs w:val="10"/>
        </w:rPr>
      </w:pPr>
    </w:p>
    <w:p w14:paraId="1069B749" w14:textId="77777777" w:rsidP="000736A8" w:rsidR="00C01F96" w:rsidRDefault="00C01F96" w:rsidRPr="00C01F96">
      <w:pPr>
        <w:spacing w:after="200" w:line="276" w:lineRule="auto"/>
        <w:rPr>
          <w:rFonts w:eastAsia="SimSun"/>
          <w:szCs w:val="22"/>
          <w:lang w:eastAsia="en-US"/>
        </w:rPr>
      </w:pPr>
      <w:bookmarkStart w:id="2" w:name="_Hlk184130"/>
      <w:r w:rsidRPr="00C01F96">
        <w:rPr>
          <w:rFonts w:eastAsia="SimSun"/>
          <w:szCs w:val="22"/>
          <w:lang w:eastAsia="en-US"/>
        </w:rPr>
        <w:t>Les évolutions de postes et les changements de qualifications du personnel opérationnel chantiers sont définies au cours de la réunion « ECHO ».</w:t>
      </w:r>
    </w:p>
    <w:p w14:paraId="42A91807" w14:textId="47F47143" w:rsidP="000736A8" w:rsidR="00C01F96" w:rsidRDefault="00C01F96">
      <w:pPr>
        <w:spacing w:after="200" w:line="276" w:lineRule="auto"/>
        <w:rPr>
          <w:rFonts w:eastAsia="SimSun"/>
          <w:szCs w:val="22"/>
          <w:lang w:eastAsia="en-US"/>
        </w:rPr>
      </w:pPr>
      <w:r w:rsidRPr="00C01F96">
        <w:rPr>
          <w:rFonts w:eastAsia="SimSun"/>
          <w:szCs w:val="22"/>
          <w:lang w:eastAsia="en-US"/>
        </w:rPr>
        <w:t xml:space="preserve">Les évolutions de postes et les changements de qualifications du personnel sont discutés entre le Chef d’entreprise et les responsables des différents services. </w:t>
      </w:r>
    </w:p>
    <w:p w14:paraId="6C0B9A55" w14:textId="77777777" w:rsidP="000736A8" w:rsidR="00E71709" w:rsidRDefault="00E71709">
      <w:pPr>
        <w:pStyle w:val="Sansinterligne"/>
      </w:pPr>
      <w:r>
        <w:lastRenderedPageBreak/>
        <w:t>Formation professionnelle</w:t>
      </w:r>
    </w:p>
    <w:p w14:paraId="142CAE43" w14:textId="55BAA65D" w:rsidP="000736A8" w:rsidR="00E71709" w:rsidRDefault="00E71709" w:rsidRPr="00202006">
      <w:pPr>
        <w:rPr>
          <w:sz w:val="10"/>
          <w:szCs w:val="10"/>
        </w:rPr>
      </w:pPr>
    </w:p>
    <w:p w14:paraId="49DC9CC8" w14:textId="369394D7" w:rsidP="000736A8" w:rsidR="00E71709" w:rsidRDefault="00E71709">
      <w:r>
        <w:t xml:space="preserve">Chaque année l’entreprise cherche à optimiser la qualité des formations du personnel </w:t>
      </w:r>
      <w:r w:rsidR="001C5F43">
        <w:t>opérationnel chantiers</w:t>
      </w:r>
      <w:r>
        <w:t xml:space="preserve"> et va de plus en plus vers des formations spécifiques à Clémançon.</w:t>
      </w:r>
    </w:p>
    <w:p w14:paraId="14317759" w14:textId="77777777" w:rsidP="000736A8" w:rsidR="00E71709" w:rsidRDefault="00E71709">
      <w:r>
        <w:t>Toutes les formations sont organisées en tenant compte des horaires des salariés, des dates et des lieux de formation, en évitant les périodes de vacances scolaires, pour ne pas pénaliser les salariés dans leur vie personnelle.</w:t>
      </w:r>
    </w:p>
    <w:p w14:paraId="35CE903A" w14:textId="2934F2E6" w:rsidP="000736A8" w:rsidR="00E71709" w:rsidRDefault="00E71709"/>
    <w:p w14:paraId="6F5735FF" w14:textId="4358440B" w:rsidP="000736A8" w:rsidR="00202006" w:rsidRDefault="00A90BCB" w:rsidRPr="004A4831">
      <w:pPr>
        <w:rPr>
          <w:u w:val="single"/>
        </w:rPr>
      </w:pPr>
      <w:r w:rsidRPr="004A4831">
        <w:rPr>
          <w:u w:val="single"/>
        </w:rPr>
        <w:t xml:space="preserve">Revendication syndicale F.O </w:t>
      </w:r>
      <w:r w:rsidR="00202006" w:rsidRPr="004A4831">
        <w:rPr>
          <w:u w:val="single"/>
        </w:rPr>
        <w:t>:</w:t>
      </w:r>
    </w:p>
    <w:p w14:paraId="25E6EEFC" w14:textId="2ADAB4C9" w:rsidP="000736A8" w:rsidR="0038365D" w:rsidRDefault="004329BA">
      <w:r>
        <w:t>S</w:t>
      </w:r>
      <w:r w:rsidR="00993A9C" w:rsidRPr="004A4831">
        <w:t>ouhaite que nous indiquions les formations spécifiques à Clemançon.</w:t>
      </w:r>
    </w:p>
    <w:p w14:paraId="4969E73C" w14:textId="4A8FA632" w:rsidP="000736A8" w:rsidR="00E610B4" w:rsidRDefault="00E610B4"/>
    <w:p w14:paraId="194CB0D9" w14:textId="117F9C2F" w:rsidP="000736A8" w:rsidR="000A1E84" w:rsidRDefault="004A4831">
      <w:r>
        <w:t xml:space="preserve">La Direction indique que l’organisation de formations techniques après le COVID a été difficile à mettre en place (annulation de formations par manque de candidats, présentation en distanciel non souhaitée par l’entreprise, activité 2022 très soutenue). </w:t>
      </w:r>
    </w:p>
    <w:p w14:paraId="67976DFF" w14:textId="3763AEF2" w:rsidP="000736A8" w:rsidR="004A4831" w:rsidRDefault="004A4831" w:rsidRPr="006E486E">
      <w:pPr>
        <w:rPr>
          <w:sz w:val="10"/>
          <w:szCs w:val="8"/>
        </w:rPr>
      </w:pPr>
    </w:p>
    <w:p w14:paraId="063B558E" w14:textId="3EDC00B4" w:rsidP="000736A8" w:rsidR="004A4831" w:rsidRDefault="004A4831">
      <w:r>
        <w:t>Toutefois, l’entreprise souhaite développer des formations spécifiques telles que :</w:t>
      </w:r>
    </w:p>
    <w:p w14:paraId="1913D5DB" w14:textId="6AB2C76F" w:rsidP="004A4831" w:rsidR="004A4831" w:rsidRDefault="004A4831">
      <w:pPr>
        <w:pStyle w:val="Paragraphedeliste"/>
        <w:numPr>
          <w:ilvl w:val="0"/>
          <w:numId w:val="6"/>
        </w:numPr>
      </w:pPr>
      <w:r>
        <w:t>Postes HTA</w:t>
      </w:r>
    </w:p>
    <w:p w14:paraId="0201AE3B" w14:textId="67555755" w:rsidP="004A4831" w:rsidR="004A4831" w:rsidRDefault="004A4831">
      <w:pPr>
        <w:pStyle w:val="Paragraphedeliste"/>
        <w:numPr>
          <w:ilvl w:val="0"/>
          <w:numId w:val="6"/>
        </w:numPr>
      </w:pPr>
      <w:r>
        <w:t>Bornes IRVE</w:t>
      </w:r>
    </w:p>
    <w:p w14:paraId="500449B2" w14:textId="36FC9946" w:rsidP="004A4831" w:rsidR="004A4831" w:rsidRDefault="004A4831">
      <w:pPr>
        <w:pStyle w:val="Paragraphedeliste"/>
        <w:numPr>
          <w:ilvl w:val="0"/>
          <w:numId w:val="6"/>
        </w:numPr>
      </w:pPr>
      <w:r>
        <w:t>GTB / SSI</w:t>
      </w:r>
    </w:p>
    <w:p w14:paraId="1390D08C" w14:textId="7DC8AF74" w:rsidP="004A4831" w:rsidR="004A4831" w:rsidRDefault="004A4831">
      <w:pPr>
        <w:pStyle w:val="Paragraphedeliste"/>
        <w:numPr>
          <w:ilvl w:val="0"/>
          <w:numId w:val="6"/>
        </w:numPr>
      </w:pPr>
      <w:r>
        <w:t>NOOCO / RE 2020</w:t>
      </w:r>
    </w:p>
    <w:p w14:paraId="7F380B1F" w14:textId="77777777" w:rsidP="000736A8" w:rsidR="000A1E84" w:rsidRDefault="000A1E84"/>
    <w:p w14:paraId="507FC3AE" w14:textId="5C849AD3" w:rsidP="000736A8" w:rsidR="00E71709" w:rsidRDefault="00E71709">
      <w:pPr>
        <w:pStyle w:val="Sansinterligne"/>
      </w:pPr>
      <w:r>
        <w:t>EIM &amp; EP 20</w:t>
      </w:r>
      <w:r w:rsidR="00D92208">
        <w:t>2</w:t>
      </w:r>
      <w:r w:rsidR="00E610B4">
        <w:t>2</w:t>
      </w:r>
    </w:p>
    <w:p w14:paraId="5082D668" w14:textId="77777777" w:rsidP="000736A8" w:rsidR="00E71709" w:rsidRDefault="00E71709" w:rsidRPr="00202006">
      <w:pPr>
        <w:rPr>
          <w:sz w:val="10"/>
          <w:szCs w:val="10"/>
        </w:rPr>
      </w:pPr>
    </w:p>
    <w:p w14:paraId="466838B6" w14:textId="716DD2BF" w:rsidP="000736A8" w:rsidR="00E71709" w:rsidRDefault="00733251">
      <w:r>
        <w:t>100</w:t>
      </w:r>
      <w:r w:rsidR="00E71709">
        <w:t>% des EIM et entretiens professionnels réalisés.</w:t>
      </w:r>
    </w:p>
    <w:p w14:paraId="27546B4C" w14:textId="5576CD12" w:rsidP="000736A8" w:rsidR="00E71709" w:rsidRDefault="00E71709">
      <w:r>
        <w:t xml:space="preserve">Ces derniers nous ont permis de construire notre plan de formation en </w:t>
      </w:r>
      <w:r w:rsidR="00AD57DB">
        <w:t>prenant en compte l</w:t>
      </w:r>
      <w:r>
        <w:t xml:space="preserve">es désirs de formation de chacun. </w:t>
      </w:r>
    </w:p>
    <w:p w14:paraId="49A5FD5C" w14:textId="77777777" w:rsidP="000736A8" w:rsidR="00943D2C" w:rsidRDefault="00943D2C" w:rsidRPr="00423390">
      <w:pPr>
        <w:rPr>
          <w:rFonts w:eastAsia="SimSun"/>
          <w:sz w:val="14"/>
          <w:szCs w:val="14"/>
          <w:lang w:eastAsia="en-US"/>
        </w:rPr>
      </w:pPr>
    </w:p>
    <w:p w14:paraId="1005B5B8" w14:textId="24832C95" w:rsidP="005D0341" w:rsidR="00EA4EA5" w:rsidRDefault="00EA4EA5">
      <w:pPr>
        <w:pStyle w:val="Titre2"/>
        <w:ind w:left="1276"/>
      </w:pPr>
      <w:bookmarkStart w:id="3" w:name="_Hlk92275788"/>
      <w:bookmarkEnd w:id="2"/>
      <w:r>
        <w:t>Activité 20</w:t>
      </w:r>
      <w:r w:rsidR="00D70CBB">
        <w:t>2</w:t>
      </w:r>
      <w:r w:rsidR="00E508D7">
        <w:t>3</w:t>
      </w:r>
    </w:p>
    <w:p w14:paraId="4619091E" w14:textId="77777777" w:rsidP="000736A8" w:rsidR="00EA4EA5" w:rsidRDefault="00EA4EA5" w:rsidRPr="00202006">
      <w:pPr>
        <w:rPr>
          <w:sz w:val="10"/>
          <w:szCs w:val="10"/>
        </w:rPr>
      </w:pPr>
    </w:p>
    <w:p w14:paraId="497FA35B" w14:textId="16809C91" w:rsidP="000736A8" w:rsidR="00EA4EA5" w:rsidRDefault="00EA4EA5" w:rsidRPr="006E0A50">
      <w:bookmarkStart w:id="4" w:name="_Hlk120196844"/>
      <w:r w:rsidRPr="006E0A50">
        <w:t xml:space="preserve">Budget estimé : </w:t>
      </w:r>
      <w:r w:rsidR="006E0A50" w:rsidRPr="006E0A50">
        <w:t>25 000</w:t>
      </w:r>
      <w:r w:rsidR="00D92208" w:rsidRPr="006E0A50">
        <w:t xml:space="preserve"> </w:t>
      </w:r>
      <w:r w:rsidRPr="006E0A50">
        <w:t>K€</w:t>
      </w:r>
    </w:p>
    <w:p w14:paraId="40AAC3A2" w14:textId="77777777" w:rsidP="000736A8" w:rsidR="00EA4EA5" w:rsidRDefault="00EA4EA5" w:rsidRPr="006E0A50">
      <w:pPr>
        <w:rPr>
          <w:sz w:val="12"/>
          <w:szCs w:val="10"/>
        </w:rPr>
      </w:pPr>
    </w:p>
    <w:bookmarkEnd w:id="4"/>
    <w:p w14:paraId="0B1903FA" w14:textId="77777777" w:rsidP="006E0A50" w:rsidR="006E0A50" w:rsidRDefault="006E0A50" w:rsidRPr="006E0A50">
      <w:r w:rsidRPr="006E0A50">
        <w:t>En cas de hausse d’activité ponctuelle, la société fera appel à des sociétés de travail temporaire ou à de la sous-traitance ou à du prêt de personnel Groupe.</w:t>
      </w:r>
    </w:p>
    <w:p w14:paraId="59BA5227" w14:textId="7CCBF0E8" w:rsidP="006E0A50" w:rsidR="006E0A50" w:rsidRDefault="006E0A50">
      <w:r w:rsidRPr="006E0A50">
        <w:t>Petit rappel : en 2022, pour une activité à 3</w:t>
      </w:r>
      <w:r w:rsidR="004C2384">
        <w:t>4 991</w:t>
      </w:r>
      <w:r w:rsidRPr="006E0A50">
        <w:t xml:space="preserve"> K€, nous avons eu recours à </w:t>
      </w:r>
      <w:r w:rsidR="004C2384">
        <w:t>5.9</w:t>
      </w:r>
      <w:r w:rsidR="003F49DC">
        <w:t>8</w:t>
      </w:r>
      <w:r w:rsidRPr="006E0A50">
        <w:t xml:space="preserve"> intérimaires équivalent temps plein soit </w:t>
      </w:r>
      <w:r w:rsidR="004C2384">
        <w:t>10 8</w:t>
      </w:r>
      <w:r w:rsidR="003F49DC">
        <w:t>89</w:t>
      </w:r>
      <w:r w:rsidRPr="006E0A50">
        <w:t xml:space="preserve"> heures d’intérim.</w:t>
      </w:r>
    </w:p>
    <w:p w14:paraId="1E5D8008" w14:textId="77777777" w:rsidP="006E0A50" w:rsidR="006E0A50" w:rsidRDefault="006E0A50" w:rsidRPr="006E0A50"/>
    <w:p w14:paraId="7E71488A" w14:textId="3DD654A4" w:rsidP="006E0A50" w:rsidR="006E0A50" w:rsidRDefault="006E0A50" w:rsidRPr="006E0A50">
      <w:r w:rsidRPr="006E0A50">
        <w:t>L’activité confiée à la sous-traitance représente</w:t>
      </w:r>
      <w:r w:rsidR="003F0880">
        <w:t xml:space="preserve"> </w:t>
      </w:r>
      <w:r w:rsidR="003F0880" w:rsidRPr="006E0A50">
        <w:t>2</w:t>
      </w:r>
      <w:r w:rsidR="003F0880">
        <w:t>5.</w:t>
      </w:r>
      <w:r w:rsidR="003F0880" w:rsidRPr="006E0A50">
        <w:t>6 % du chiffre d’affaires</w:t>
      </w:r>
      <w:r w:rsidRPr="006E0A50">
        <w:t xml:space="preserve"> à fin </w:t>
      </w:r>
      <w:r w:rsidR="003F0880">
        <w:t>décembre</w:t>
      </w:r>
      <w:r w:rsidRPr="006E0A50">
        <w:t xml:space="preserve"> </w:t>
      </w:r>
      <w:r w:rsidR="003F0880" w:rsidRPr="006E0A50">
        <w:t>2022.</w:t>
      </w:r>
    </w:p>
    <w:p w14:paraId="67067D31" w14:textId="5C10754F" w:rsidP="006E0A50" w:rsidR="002233AF" w:rsidRDefault="002233AF" w:rsidRPr="00EA4EA5">
      <w:r w:rsidRPr="006E0A50">
        <w:t xml:space="preserve">Des recrutements sont à prévoir afin de pallier </w:t>
      </w:r>
      <w:r w:rsidR="007C475A" w:rsidRPr="006E0A50">
        <w:t>les</w:t>
      </w:r>
      <w:r w:rsidRPr="006E0A50">
        <w:t xml:space="preserve"> </w:t>
      </w:r>
      <w:r w:rsidR="007C475A" w:rsidRPr="006E0A50">
        <w:t xml:space="preserve">constantes </w:t>
      </w:r>
      <w:r w:rsidRPr="006E0A50">
        <w:t>évolutions du chiffre d’affaires.</w:t>
      </w:r>
    </w:p>
    <w:bookmarkEnd w:id="3"/>
    <w:p w14:paraId="15FEB52E" w14:textId="77777777" w:rsidP="000736A8" w:rsidR="00EA4EA5" w:rsidRDefault="00EA4EA5" w:rsidRPr="00423390">
      <w:pPr>
        <w:rPr>
          <w:sz w:val="14"/>
          <w:szCs w:val="12"/>
        </w:rPr>
      </w:pPr>
    </w:p>
    <w:p w14:paraId="67796A58" w14:textId="77777777" w:rsidP="0007000D" w:rsidR="00EA4EA5" w:rsidRDefault="00EA4EA5">
      <w:pPr>
        <w:pStyle w:val="Titre2"/>
        <w:ind w:left="1418"/>
      </w:pPr>
      <w:r>
        <w:t>Emplois des travailleurs handicapés</w:t>
      </w:r>
    </w:p>
    <w:p w14:paraId="37F19A7F" w14:textId="77777777" w:rsidP="000736A8" w:rsidR="00EA4EA5" w:rsidRDefault="00EA4EA5" w:rsidRPr="00202006">
      <w:pPr>
        <w:rPr>
          <w:sz w:val="10"/>
          <w:szCs w:val="10"/>
        </w:rPr>
      </w:pPr>
    </w:p>
    <w:p w14:paraId="4AC0BC86" w14:textId="3EC37F97" w:rsidP="000736A8" w:rsidR="00EA4EA5" w:rsidRDefault="005D0341">
      <w:r>
        <w:t xml:space="preserve">Clémançon </w:t>
      </w:r>
      <w:r w:rsidR="00733251">
        <w:t xml:space="preserve">ne </w:t>
      </w:r>
      <w:r>
        <w:t>compte</w:t>
      </w:r>
      <w:r w:rsidR="001C5F43">
        <w:t xml:space="preserve"> </w:t>
      </w:r>
      <w:r w:rsidR="00733251">
        <w:t>aucun</w:t>
      </w:r>
      <w:r w:rsidR="001C5F43">
        <w:t xml:space="preserve"> </w:t>
      </w:r>
      <w:r w:rsidR="00EA4EA5">
        <w:t xml:space="preserve">salarié </w:t>
      </w:r>
      <w:r w:rsidR="00404DC8">
        <w:t xml:space="preserve">ayant </w:t>
      </w:r>
      <w:r w:rsidR="00733251">
        <w:t>de</w:t>
      </w:r>
      <w:r w:rsidR="00404DC8">
        <w:t xml:space="preserve"> reconnaissance de travailleur handicapé</w:t>
      </w:r>
      <w:r w:rsidR="00A170DB">
        <w:t xml:space="preserve"> </w:t>
      </w:r>
      <w:r w:rsidR="00733251">
        <w:t>au 31</w:t>
      </w:r>
      <w:r w:rsidR="00A170DB">
        <w:t xml:space="preserve"> décembre 2022</w:t>
      </w:r>
      <w:r w:rsidR="00404DC8">
        <w:t>.</w:t>
      </w:r>
    </w:p>
    <w:p w14:paraId="366FFDBC" w14:textId="47D231CD" w:rsidP="006C41B6" w:rsidR="003A7455" w:rsidRDefault="00EA4EA5">
      <w:r>
        <w:t xml:space="preserve">Pour </w:t>
      </w:r>
      <w:r w:rsidR="00B309AE">
        <w:t>2023</w:t>
      </w:r>
      <w:r>
        <w:t xml:space="preserve">, nous </w:t>
      </w:r>
      <w:r w:rsidR="00404DC8">
        <w:t>mènerons</w:t>
      </w:r>
      <w:r>
        <w:t xml:space="preserve"> des actions de communication sur le thème du handicap.</w:t>
      </w:r>
    </w:p>
    <w:p w14:paraId="51D46FA2" w14:textId="55BE958A" w:rsidP="006C41B6" w:rsidR="007C475A" w:rsidRDefault="007C475A">
      <w:r>
        <w:t xml:space="preserve">Une démarche a été initiée auprès de Trajeo’H sur les services </w:t>
      </w:r>
      <w:r w:rsidR="00BB5FC0">
        <w:t>pouvant être adaptés comme l’apprentissage, les stages, l’intérim</w:t>
      </w:r>
      <w:r w:rsidR="00423390">
        <w:t>.</w:t>
      </w:r>
    </w:p>
    <w:p w14:paraId="18825E73" w14:textId="77777777" w:rsidP="006C41B6" w:rsidR="00CB70D0" w:rsidRDefault="00CB70D0" w:rsidRPr="00423390">
      <w:pPr>
        <w:rPr>
          <w:b/>
          <w:color w:themeColor="accent3" w:themeShade="80" w:val="143F6A"/>
          <w:sz w:val="14"/>
          <w:szCs w:val="10"/>
          <w:u w:val="single"/>
        </w:rPr>
      </w:pPr>
    </w:p>
    <w:p w14:paraId="0165EB52" w14:textId="77777777" w:rsidP="0007000D" w:rsidR="006338D4" w:rsidRDefault="006338D4">
      <w:pPr>
        <w:pStyle w:val="Titre2"/>
        <w:ind w:left="1418"/>
      </w:pPr>
      <w:r>
        <w:t>Retraite et prévoyance</w:t>
      </w:r>
    </w:p>
    <w:p w14:paraId="3E0149FC" w14:textId="77777777" w:rsidP="000736A8" w:rsidR="006338D4" w:rsidRDefault="006338D4" w:rsidRPr="00202006">
      <w:pPr>
        <w:rPr>
          <w:sz w:val="10"/>
          <w:szCs w:val="10"/>
        </w:rPr>
      </w:pPr>
    </w:p>
    <w:p w14:paraId="52800DEE" w14:textId="19CA0082" w:rsidP="000736A8" w:rsidR="006338D4" w:rsidRDefault="006338D4">
      <w:r w:rsidRPr="008339B4">
        <w:t>Mise en place par le groupe Vinci d’un régime de prévoyance décès supplémentaire pour les ouvriers, avec une prise en charge totale de l’entreprise</w:t>
      </w:r>
      <w:r>
        <w:t xml:space="preserve"> </w:t>
      </w:r>
      <w:r w:rsidRPr="008339B4">
        <w:t xml:space="preserve">: elle a pris effet au 1er </w:t>
      </w:r>
      <w:r w:rsidR="006E0A50" w:rsidRPr="008339B4">
        <w:t>septembre</w:t>
      </w:r>
      <w:r w:rsidRPr="008339B4">
        <w:t xml:space="preserve"> 2015. Elle complète celle déjà </w:t>
      </w:r>
      <w:r w:rsidR="003A7455">
        <w:t xml:space="preserve">mise </w:t>
      </w:r>
      <w:r w:rsidRPr="008339B4">
        <w:t>en place.</w:t>
      </w:r>
    </w:p>
    <w:p w14:paraId="15A35069" w14:textId="77777777" w:rsidP="000736A8" w:rsidR="006338D4" w:rsidRDefault="006338D4" w:rsidRPr="00423390">
      <w:pPr>
        <w:rPr>
          <w:sz w:val="10"/>
          <w:szCs w:val="8"/>
        </w:rPr>
      </w:pPr>
    </w:p>
    <w:p w14:paraId="355083AB" w14:textId="5729D459" w:rsidP="000736A8" w:rsidR="006338D4" w:rsidRDefault="006338D4">
      <w:r w:rsidRPr="008339B4">
        <w:t xml:space="preserve">Mise en place, par le groupe Vinci d’un </w:t>
      </w:r>
      <w:r>
        <w:t xml:space="preserve">supplément de retraite </w:t>
      </w:r>
      <w:r w:rsidRPr="008339B4">
        <w:t>« </w:t>
      </w:r>
      <w:r w:rsidR="001C5F43">
        <w:t xml:space="preserve">PER </w:t>
      </w:r>
      <w:r w:rsidRPr="008339B4">
        <w:t xml:space="preserve">REVERSO » pour les cadres, avec une participation patronale. </w:t>
      </w:r>
      <w:r w:rsidRPr="006049EC">
        <w:t>Elle est en place depuis septembre 2014</w:t>
      </w:r>
      <w:r w:rsidR="00733EAF">
        <w:t xml:space="preserve"> et a été renégociée en 2021</w:t>
      </w:r>
      <w:r w:rsidRPr="006049EC">
        <w:t xml:space="preserve">.  </w:t>
      </w:r>
    </w:p>
    <w:p w14:paraId="6CD80173" w14:textId="77777777" w:rsidP="000736A8" w:rsidR="006338D4" w:rsidRDefault="006338D4" w:rsidRPr="00423390">
      <w:pPr>
        <w:rPr>
          <w:sz w:val="10"/>
          <w:szCs w:val="8"/>
        </w:rPr>
      </w:pPr>
    </w:p>
    <w:p w14:paraId="4AEF675E" w14:textId="77777777" w:rsidR="0007474B" w:rsidRDefault="0007474B">
      <w:pPr>
        <w:jc w:val="left"/>
      </w:pPr>
      <w:r>
        <w:br w:type="page"/>
      </w:r>
    </w:p>
    <w:p w14:paraId="6463CBF5" w14:textId="77777777" w:rsidP="000736A8" w:rsidR="0007474B" w:rsidRDefault="0007474B"/>
    <w:p w14:paraId="35BC79CF" w14:textId="5D5D6E78" w:rsidP="000736A8" w:rsidR="006338D4" w:rsidRDefault="006338D4">
      <w:r>
        <w:t xml:space="preserve">Mise en conformité avec le contrat Responsable, un nouveau contrat a été négocié avec AG2R pour les ETAM et Ouvriers au </w:t>
      </w:r>
      <w:r w:rsidR="003A7455">
        <w:t>1</w:t>
      </w:r>
      <w:r w:rsidR="003A7455" w:rsidRPr="003A7455">
        <w:rPr>
          <w:vertAlign w:val="superscript"/>
        </w:rPr>
        <w:t>er</w:t>
      </w:r>
      <w:r w:rsidR="003A7455">
        <w:t xml:space="preserve"> janvier 2018</w:t>
      </w:r>
      <w:r>
        <w:t xml:space="preserve">. Pour l’ensemble des salariés, une option dite « non-responsable » a été souscrite afin de pallier </w:t>
      </w:r>
      <w:r w:rsidR="00055F9E">
        <w:t>le</w:t>
      </w:r>
      <w:r>
        <w:t xml:space="preserve"> désengagement de la Sécurité Sociale sur les dépenses d’honoraires des médecins non adhérents CAS (contrat d’accès aux soins) devenu OPTAM.</w:t>
      </w:r>
    </w:p>
    <w:p w14:paraId="1A99DCBC" w14:textId="77777777" w:rsidP="000736A8" w:rsidR="006338D4" w:rsidRDefault="006338D4" w:rsidRPr="00423390">
      <w:pPr>
        <w:rPr>
          <w:sz w:val="10"/>
          <w:szCs w:val="8"/>
        </w:rPr>
      </w:pPr>
    </w:p>
    <w:p w14:paraId="1BB5C64E" w14:textId="63945217" w:rsidP="000736A8" w:rsidR="006338D4" w:rsidRDefault="006338D4">
      <w:r>
        <w:t>La cotisation complémentaire est prise en charge pour partie par la société.</w:t>
      </w:r>
    </w:p>
    <w:p w14:paraId="4C1E1F43" w14:textId="77777777" w:rsidP="000736A8" w:rsidR="0007474B" w:rsidRDefault="0007474B"/>
    <w:p w14:paraId="335C07AB" w14:textId="002A5D74" w:rsidP="00547D0D" w:rsidR="00EE23EC" w:rsidRDefault="00547D0D" w:rsidRPr="00943D2C">
      <w:pPr>
        <w:pStyle w:val="Titre2"/>
        <w:ind w:left="1418"/>
      </w:pPr>
      <w:r w:rsidRPr="00943D2C">
        <w:t>Condition de travail des seniors</w:t>
      </w:r>
    </w:p>
    <w:p w14:paraId="27B9EF24" w14:textId="1D5EF053" w:rsidP="00202006" w:rsidR="00C00F58" w:rsidRDefault="000F1194" w:rsidRPr="00202006">
      <w:pPr>
        <w:rPr>
          <w:sz w:val="10"/>
          <w:szCs w:val="10"/>
        </w:rPr>
      </w:pPr>
      <w:r>
        <w:rPr>
          <w:noProof/>
        </w:rPr>
        <w:drawing>
          <wp:inline distB="0" distL="0" distR="0" distT="0" wp14:anchorId="5E366503" wp14:editId="08BF4BE4">
            <wp:extent cx="5695950" cy="3190875"/>
            <wp:effectExtent b="9525" l="0" r="0" t="0"/>
            <wp:docPr id="3" name="Graphique 3">
              <a:extLst xmlns:a="http://schemas.openxmlformats.org/drawingml/2006/main">
                <a:ext uri="{FF2B5EF4-FFF2-40B4-BE49-F238E27FC236}">
                  <a16:creationId xmlns:a16="http://schemas.microsoft.com/office/drawing/2014/main" id="{0ADFDE3D-C47D-418E-9838-309C27615A39}"/>
                </a:ext>
              </a:extLst>
            </wp:docPr>
            <wp:cNvGraphicFramePr/>
            <a:graphic xmlns:a="http://schemas.openxmlformats.org/drawingml/2006/main">
              <a:graphicData uri="http://schemas.openxmlformats.org/drawingml/2006/chart">
                <c:chart xmlns:c="http://schemas.openxmlformats.org/drawingml/2006/chart" r:id="rId14"/>
              </a:graphicData>
            </a:graphic>
          </wp:inline>
        </w:drawing>
      </w:r>
    </w:p>
    <w:p w14:paraId="23180362" w14:textId="497EC186" w:rsidP="00C90C38" w:rsidR="00EC53C5" w:rsidRDefault="00EC53C5" w:rsidRPr="00D177F1">
      <w:pPr>
        <w:jc w:val="center"/>
      </w:pPr>
    </w:p>
    <w:p w14:paraId="2B3026D7" w14:textId="50A45B57" w:rsidP="001F51CF" w:rsidR="00EC53C5" w:rsidRDefault="00BE7CE3" w:rsidRPr="00D177F1">
      <w:r w:rsidRPr="00D177F1">
        <w:t>5</w:t>
      </w:r>
      <w:r w:rsidR="00117390">
        <w:t>9</w:t>
      </w:r>
      <w:r w:rsidR="00EC53C5" w:rsidRPr="00D177F1">
        <w:t xml:space="preserve"> salariés âgés de moins de 26 ans à </w:t>
      </w:r>
      <w:r w:rsidRPr="00D177F1">
        <w:t>5</w:t>
      </w:r>
      <w:r w:rsidR="00EC53C5" w:rsidRPr="00D177F1">
        <w:t xml:space="preserve">0 ans ; </w:t>
      </w:r>
      <w:r w:rsidR="00117390">
        <w:t>19</w:t>
      </w:r>
      <w:r w:rsidR="00EC53C5" w:rsidRPr="00D177F1">
        <w:t xml:space="preserve"> salariés âgés de </w:t>
      </w:r>
      <w:r w:rsidRPr="00D177F1">
        <w:t>5</w:t>
      </w:r>
      <w:r w:rsidR="00EC53C5" w:rsidRPr="00D177F1">
        <w:t xml:space="preserve">1 ans à </w:t>
      </w:r>
      <w:r w:rsidR="00043A4A">
        <w:t xml:space="preserve">plus de </w:t>
      </w:r>
      <w:r w:rsidR="00EC53C5" w:rsidRPr="00D177F1">
        <w:t>60 ans.</w:t>
      </w:r>
    </w:p>
    <w:p w14:paraId="714ED59A" w14:textId="1C79690E" w:rsidP="001F51CF" w:rsidR="00195F42" w:rsidRDefault="006002BE" w:rsidRPr="00D177F1">
      <w:r w:rsidRPr="00D177F1">
        <w:t xml:space="preserve">Il est nécessaire de poursuivre le recrutement de jeunes afin de créer un équilibre au sein de la Société et ainsi ménager les Seniors en accompagnant leur fin de carrière, tout en veillant à la transmission de leurs savoir-faire. </w:t>
      </w:r>
    </w:p>
    <w:p w14:paraId="78656A6E" w14:textId="77777777" w:rsidP="001F51CF" w:rsidR="00BF41F9" w:rsidRDefault="00BF41F9" w:rsidRPr="00D177F1"/>
    <w:p w14:paraId="65B0F6F8" w14:textId="22862F84" w:rsidP="001F51CF" w:rsidR="00BF41F9" w:rsidRDefault="00BF41F9">
      <w:r w:rsidRPr="00D177F1">
        <w:t xml:space="preserve">Nous devons </w:t>
      </w:r>
      <w:r w:rsidR="0004648C" w:rsidRPr="00D177F1">
        <w:t>reprendre</w:t>
      </w:r>
      <w:r w:rsidRPr="00D177F1">
        <w:t xml:space="preserve"> l’entretien de deuxième partie de carrière ou de fin de carrière : il permet de mieux anticiper les besoins en matière de formations et d’évolution de carrière au sein de l’entreprise, mais également d’anticiper et de préparer les départs.</w:t>
      </w:r>
      <w:r w:rsidRPr="008339B4">
        <w:t xml:space="preserve"> </w:t>
      </w:r>
    </w:p>
    <w:p w14:paraId="238F6F69" w14:textId="77777777" w:rsidR="0038365D" w:rsidRDefault="0038365D">
      <w:pPr>
        <w:jc w:val="left"/>
      </w:pPr>
    </w:p>
    <w:p w14:paraId="12BE9540" w14:textId="77777777" w:rsidP="00993A9C" w:rsidR="00993A9C" w:rsidRDefault="00993A9C" w:rsidRPr="00687A83">
      <w:pPr>
        <w:rPr>
          <w:u w:val="single"/>
        </w:rPr>
      </w:pPr>
      <w:r w:rsidRPr="00687A83">
        <w:rPr>
          <w:u w:val="single"/>
        </w:rPr>
        <w:t>Revendication syndicale F.O :</w:t>
      </w:r>
    </w:p>
    <w:p w14:paraId="5F089692" w14:textId="4DD59BCB" w:rsidR="000A1E84" w:rsidRDefault="004329BA">
      <w:pPr>
        <w:jc w:val="left"/>
      </w:pPr>
      <w:r>
        <w:t>S</w:t>
      </w:r>
      <w:r w:rsidR="00993A9C" w:rsidRPr="00687A83">
        <w:t>ouhaite connaitre l’aménagement mis en place pour les Seniors.</w:t>
      </w:r>
    </w:p>
    <w:p w14:paraId="7CA4A440" w14:textId="77777777" w:rsidR="000A1E84" w:rsidRDefault="000A1E84">
      <w:pPr>
        <w:jc w:val="left"/>
      </w:pPr>
    </w:p>
    <w:p w14:paraId="151B3B9D" w14:textId="302F62BA" w:rsidP="000A1E84" w:rsidR="000A1E84" w:rsidRDefault="00545966">
      <w:r>
        <w:t>La Direction indique que dès lors qu’un salarié Senior fait part d’une difficulté particulière dans les tâches confiées, tout doit être mis en œuvre pour lui :</w:t>
      </w:r>
    </w:p>
    <w:p w14:paraId="79CA6936" w14:textId="48768BDD" w:rsidP="00545966" w:rsidR="00545966" w:rsidRDefault="00545966">
      <w:pPr>
        <w:pStyle w:val="Paragraphedeliste"/>
        <w:numPr>
          <w:ilvl w:val="0"/>
          <w:numId w:val="6"/>
        </w:numPr>
      </w:pPr>
      <w:r>
        <w:t xml:space="preserve">Confier des tâches sans difficultés physiques, </w:t>
      </w:r>
    </w:p>
    <w:p w14:paraId="47C8D132" w14:textId="13982AA7" w:rsidP="00545966" w:rsidR="00545966" w:rsidRDefault="00545966">
      <w:pPr>
        <w:pStyle w:val="Paragraphedeliste"/>
        <w:numPr>
          <w:ilvl w:val="0"/>
          <w:numId w:val="6"/>
        </w:numPr>
      </w:pPr>
      <w:r>
        <w:t xml:space="preserve">Eviter tant que possible les chantiers sans moyens de levage </w:t>
      </w:r>
      <w:r w:rsidR="00687A83">
        <w:t>(</w:t>
      </w:r>
      <w:r>
        <w:t>type ascenseur, lift</w:t>
      </w:r>
      <w:r w:rsidR="00687A83">
        <w:t>)</w:t>
      </w:r>
      <w:r>
        <w:t>,</w:t>
      </w:r>
    </w:p>
    <w:p w14:paraId="737D0F15" w14:textId="06670035" w:rsidP="00545966" w:rsidR="00545966" w:rsidRDefault="00545966">
      <w:pPr>
        <w:pStyle w:val="Paragraphedeliste"/>
        <w:numPr>
          <w:ilvl w:val="0"/>
          <w:numId w:val="6"/>
        </w:numPr>
      </w:pPr>
      <w:r>
        <w:t>Epargner le port de charges lourdes,</w:t>
      </w:r>
    </w:p>
    <w:p w14:paraId="1AFE0C0F" w14:textId="22173B05" w:rsidP="00545966" w:rsidR="00545966" w:rsidRDefault="00545966">
      <w:pPr>
        <w:pStyle w:val="Paragraphedeliste"/>
        <w:numPr>
          <w:ilvl w:val="0"/>
          <w:numId w:val="6"/>
        </w:numPr>
      </w:pPr>
      <w:r>
        <w:t>Favoriser des chantiers en phase de finitions</w:t>
      </w:r>
      <w:r w:rsidR="00687A83">
        <w:t>.</w:t>
      </w:r>
    </w:p>
    <w:p w14:paraId="72624837" w14:textId="50CAA324" w:rsidR="00401399" w:rsidRDefault="00401399">
      <w:pPr>
        <w:jc w:val="left"/>
      </w:pPr>
    </w:p>
    <w:p w14:paraId="57AEDF08" w14:textId="6AAF0B66" w:rsidR="000A1E84" w:rsidRDefault="000A1E84">
      <w:pPr>
        <w:jc w:val="left"/>
      </w:pPr>
    </w:p>
    <w:p w14:paraId="58552B8F" w14:textId="77777777" w:rsidR="000A1E84" w:rsidRDefault="000A1E84">
      <w:pPr>
        <w:jc w:val="left"/>
      </w:pPr>
    </w:p>
    <w:p w14:paraId="496B45A1" w14:textId="77777777" w:rsidR="000A1E84" w:rsidRDefault="000A1E84">
      <w:pPr>
        <w:jc w:val="left"/>
      </w:pPr>
    </w:p>
    <w:p w14:paraId="46BD27F7" w14:textId="77777777" w:rsidR="000A1E84" w:rsidRDefault="000A1E84">
      <w:pPr>
        <w:jc w:val="left"/>
      </w:pPr>
    </w:p>
    <w:p w14:paraId="2A403307" w14:textId="77777777" w:rsidR="000A1E84" w:rsidRDefault="000A1E84">
      <w:pPr>
        <w:jc w:val="left"/>
      </w:pPr>
    </w:p>
    <w:p w14:paraId="19A99056" w14:textId="77777777" w:rsidR="000A1E84" w:rsidRDefault="000A1E84">
      <w:pPr>
        <w:jc w:val="left"/>
      </w:pPr>
    </w:p>
    <w:p w14:paraId="0488F9C3" w14:textId="77777777" w:rsidR="000A1E84" w:rsidRDefault="000A1E84">
      <w:pPr>
        <w:jc w:val="left"/>
      </w:pPr>
    </w:p>
    <w:p w14:paraId="4E753306" w14:textId="01E6E2C8" w:rsidR="000A1E84" w:rsidRDefault="000A1E84">
      <w:pPr>
        <w:jc w:val="left"/>
        <w:rPr>
          <w:b/>
          <w:color w:themeColor="accent3" w:themeShade="80" w:val="143F6A"/>
          <w:sz w:val="24"/>
          <w:u w:val="single"/>
        </w:rPr>
      </w:pPr>
    </w:p>
    <w:p w14:paraId="66CE0CEA" w14:textId="08E18342" w:rsidP="009B76CD" w:rsidR="00B546C5" w:rsidRDefault="00B546C5">
      <w:pPr>
        <w:pStyle w:val="Titre2"/>
        <w:ind w:left="1418"/>
      </w:pPr>
      <w:r>
        <w:t>Mise en place du CSE</w:t>
      </w:r>
    </w:p>
    <w:p w14:paraId="60AF2D71" w14:textId="12ECC15E" w:rsidP="00B546C5" w:rsidR="00B546C5" w:rsidRDefault="00B546C5" w:rsidRPr="00B546C5">
      <w:pPr>
        <w:spacing w:before="240"/>
      </w:pPr>
      <w:r>
        <w:t xml:space="preserve">Un CSE a été mis en place en avril 2019. </w:t>
      </w:r>
    </w:p>
    <w:p w14:paraId="3F7958D9" w14:textId="6651AFB1" w:rsidP="009B76CD" w:rsidR="009B76CD" w:rsidRDefault="005E426C" w:rsidRPr="009B76CD">
      <w:pPr>
        <w:pStyle w:val="Titre2"/>
        <w:ind w:left="1418"/>
      </w:pPr>
      <w:r>
        <w:t>Dispositions diverses</w:t>
      </w:r>
    </w:p>
    <w:p w14:paraId="2D5241D8" w14:textId="77777777" w:rsidP="009B76CD" w:rsidR="009B76CD" w:rsidRDefault="009B76CD" w:rsidRPr="009B76CD">
      <w:pPr>
        <w:jc w:val="left"/>
      </w:pPr>
    </w:p>
    <w:p w14:paraId="47B4BA1C" w14:textId="77777777" w:rsidP="009B76CD" w:rsidR="009B76CD" w:rsidRDefault="009B76CD" w:rsidRPr="009B76CD">
      <w:pPr>
        <w:pStyle w:val="Sansinterligne"/>
      </w:pPr>
      <w:r w:rsidRPr="009B76CD">
        <w:t>Prise d’effet</w:t>
      </w:r>
    </w:p>
    <w:p w14:paraId="77643496" w14:textId="72D61285" w:rsidP="009B76CD" w:rsidR="009B76CD" w:rsidRDefault="009B76CD">
      <w:pPr>
        <w:jc w:val="left"/>
      </w:pPr>
      <w:r w:rsidRPr="009B76CD">
        <w:t>Le présent accord sera appl</w:t>
      </w:r>
      <w:r>
        <w:t>icable dès le 1er janvier 20</w:t>
      </w:r>
      <w:r w:rsidR="007744C8">
        <w:t>2</w:t>
      </w:r>
      <w:r w:rsidR="00D81612">
        <w:t>3</w:t>
      </w:r>
      <w:r w:rsidRPr="009B76CD">
        <w:t xml:space="preserve"> jusqu’au 31 décembre 20</w:t>
      </w:r>
      <w:r w:rsidR="007744C8">
        <w:t>2</w:t>
      </w:r>
      <w:r w:rsidR="00D81612">
        <w:t>3</w:t>
      </w:r>
      <w:r w:rsidRPr="009B76CD">
        <w:t>.</w:t>
      </w:r>
    </w:p>
    <w:p w14:paraId="5A4264B0" w14:textId="77777777" w:rsidP="009B76CD" w:rsidR="00401399" w:rsidRDefault="00401399">
      <w:pPr>
        <w:jc w:val="left"/>
      </w:pPr>
    </w:p>
    <w:p w14:paraId="401D9A11" w14:textId="77777777" w:rsidP="006A031D" w:rsidR="006A031D" w:rsidRDefault="006A031D">
      <w:pPr>
        <w:pStyle w:val="Sansinterligne"/>
      </w:pPr>
      <w:r>
        <w:t xml:space="preserve">Information </w:t>
      </w:r>
    </w:p>
    <w:p w14:paraId="4E499F30" w14:textId="77777777" w:rsidP="006A031D" w:rsidR="006A031D" w:rsidRDefault="006A031D" w:rsidRPr="006A031D">
      <w:r w:rsidRPr="006A031D">
        <w:t>Le présent accord sera affiché sur les différents panneaux d’affichages et remis à toute personne faisant partie du personnel de C</w:t>
      </w:r>
      <w:r>
        <w:t>lémançon</w:t>
      </w:r>
      <w:r w:rsidRPr="006A031D">
        <w:t>, qui en fera la demande.</w:t>
      </w:r>
    </w:p>
    <w:p w14:paraId="796CD9BD" w14:textId="77777777" w:rsidP="009B76CD" w:rsidR="009B76CD" w:rsidRDefault="009B76CD" w:rsidRPr="009B76CD">
      <w:pPr>
        <w:jc w:val="left"/>
      </w:pPr>
    </w:p>
    <w:p w14:paraId="5FEA17AD" w14:textId="77777777" w:rsidP="009B76CD" w:rsidR="009B76CD" w:rsidRDefault="009B76CD" w:rsidRPr="009B76CD">
      <w:pPr>
        <w:pStyle w:val="Sansinterligne"/>
      </w:pPr>
      <w:r w:rsidRPr="009B76CD">
        <w:t>Modification</w:t>
      </w:r>
    </w:p>
    <w:p w14:paraId="079889E2" w14:textId="77777777" w:rsidP="00B02E09" w:rsidR="009B76CD" w:rsidRDefault="009B76CD" w:rsidRPr="009B76CD">
      <w:r w:rsidRPr="009B76CD">
        <w:t xml:space="preserve">Les </w:t>
      </w:r>
      <w:r w:rsidR="00967237">
        <w:t xml:space="preserve">éventuelles </w:t>
      </w:r>
      <w:r w:rsidRPr="009B76CD">
        <w:t xml:space="preserve">modifications du présent accord </w:t>
      </w:r>
      <w:r w:rsidR="00967237">
        <w:t>seront</w:t>
      </w:r>
      <w:r w:rsidRPr="009B76CD">
        <w:t xml:space="preserve"> effectuées par accord collectif.</w:t>
      </w:r>
    </w:p>
    <w:p w14:paraId="01EE6904" w14:textId="77777777" w:rsidP="00B02E09" w:rsidR="009B76CD" w:rsidRDefault="009B76CD" w:rsidRPr="009B76CD">
      <w:r w:rsidRPr="009B76CD">
        <w:t xml:space="preserve">L'avenant modifiant l'accord fera l'objet d'un dépôt à la Direction régionale des Entreprises, de la </w:t>
      </w:r>
      <w:r w:rsidR="00B02E09">
        <w:t>C</w:t>
      </w:r>
      <w:r w:rsidRPr="009B76CD">
        <w:t>oncurrence, de la Consommation, du Travail et de l’Emploi (DIRECCTE).</w:t>
      </w:r>
    </w:p>
    <w:p w14:paraId="323F5DA0" w14:textId="77777777" w:rsidP="00B02E09" w:rsidR="009B76CD" w:rsidRDefault="009B76CD" w:rsidRPr="009B76CD">
      <w:r w:rsidRPr="009B76CD">
        <w:t>Le présent accord ayant été conclu en application des dispositions de droit commun, toute modification de ces dispositions ultérieures à la signature du présent accord se substituera de plein droit à celles du présent accord devenues non conformes.</w:t>
      </w:r>
    </w:p>
    <w:p w14:paraId="43F78C2F" w14:textId="77777777" w:rsidP="009B76CD" w:rsidR="009B76CD" w:rsidRDefault="009B76CD" w:rsidRPr="009B76CD">
      <w:pPr>
        <w:jc w:val="left"/>
      </w:pPr>
    </w:p>
    <w:p w14:paraId="0AC9B561" w14:textId="77777777" w:rsidP="009B76CD" w:rsidR="009B76CD" w:rsidRDefault="009B76CD" w:rsidRPr="009B76CD">
      <w:pPr>
        <w:pStyle w:val="Sansinterligne"/>
      </w:pPr>
      <w:r w:rsidRPr="009B76CD">
        <w:t>Dénonciation</w:t>
      </w:r>
    </w:p>
    <w:p w14:paraId="6BE41370" w14:textId="77777777" w:rsidP="006A031D" w:rsidR="009B76CD" w:rsidRDefault="009B76CD" w:rsidRPr="009B76CD">
      <w:r w:rsidRPr="009B76CD">
        <w:t>Le présent accord pourra être dénoncé par l'une ou l'autre des parties signataires en respectant un préavis de 3 mois.</w:t>
      </w:r>
      <w:r w:rsidR="00386D3D">
        <w:t xml:space="preserve"> </w:t>
      </w:r>
      <w:r w:rsidRPr="009B76CD">
        <w:t>La partie qui dénonce l'accord doit notifier cette décision, par lettre recommandée avec accusé de réception, à la Direction régionale des Entreprises, de la Concurrence, de la Consommation, du Travail et de l’Emploi (DIRECCTE) et par lettre recommandée avec accusé de réception aux autres parties signataires.</w:t>
      </w:r>
    </w:p>
    <w:p w14:paraId="27CA9105" w14:textId="77777777" w:rsidP="009B76CD" w:rsidR="009B76CD" w:rsidRDefault="009B76CD" w:rsidRPr="009B76CD">
      <w:pPr>
        <w:jc w:val="left"/>
      </w:pPr>
    </w:p>
    <w:p w14:paraId="212A44DC" w14:textId="77777777" w:rsidP="006A031D" w:rsidR="009B76CD" w:rsidRDefault="006A031D" w:rsidRPr="009B76CD">
      <w:pPr>
        <w:pStyle w:val="Sansinterligne"/>
      </w:pPr>
      <w:r>
        <w:t>Dépôt</w:t>
      </w:r>
    </w:p>
    <w:p w14:paraId="3EEE2168" w14:textId="517E6695" w:rsidP="00C93B2A" w:rsidR="009B76CD" w:rsidRDefault="009B76CD">
      <w:pPr>
        <w:jc w:val="left"/>
      </w:pPr>
      <w:r w:rsidRPr="009B76CD">
        <w:t xml:space="preserve">Le texte du présent accord </w:t>
      </w:r>
      <w:r w:rsidR="00967237">
        <w:t>sera</w:t>
      </w:r>
      <w:r w:rsidRPr="009B76CD">
        <w:t xml:space="preserve"> déposé </w:t>
      </w:r>
      <w:r w:rsidR="00DE550D">
        <w:t xml:space="preserve">sur la plateforme : </w:t>
      </w:r>
      <w:hyperlink r:id="rId15" w:history="1">
        <w:r w:rsidR="00DE550D" w:rsidRPr="00D57AEF">
          <w:rPr>
            <w:rStyle w:val="Lienhypertexte"/>
          </w:rPr>
          <w:t>https://www.teleaccords.travail-emploi.gouv.fr/PortailTeleprocedures/</w:t>
        </w:r>
      </w:hyperlink>
      <w:r w:rsidR="00DE550D">
        <w:t>, e</w:t>
      </w:r>
      <w:r w:rsidRPr="009B76CD">
        <w:t>n un exemplaire</w:t>
      </w:r>
      <w:r w:rsidR="00DE550D">
        <w:t xml:space="preserve"> intégral signé des parties au format PDF et un exemplaire au format docx </w:t>
      </w:r>
      <w:r w:rsidR="000D1B2E">
        <w:t xml:space="preserve">publiable </w:t>
      </w:r>
      <w:r w:rsidR="0072267F">
        <w:t>anonyme à</w:t>
      </w:r>
      <w:r w:rsidRPr="009B76CD">
        <w:t xml:space="preserve"> la Direction régionale des Entreprises, de la Concurrence, de la Consommation, du Travail et de l’Emploi (DIRECCTE) du lieu de sa conclusion</w:t>
      </w:r>
      <w:r w:rsidR="000D1B2E">
        <w:t>.</w:t>
      </w:r>
    </w:p>
    <w:p w14:paraId="50845817" w14:textId="77777777" w:rsidP="006A031D" w:rsidR="000D1B2E" w:rsidRDefault="000D1B2E" w:rsidRPr="009B76CD"/>
    <w:p w14:paraId="003444E0" w14:textId="77777777" w:rsidP="006A031D" w:rsidR="009B76CD" w:rsidRDefault="009B76CD" w:rsidRPr="009B76CD">
      <w:r w:rsidRPr="009B76CD">
        <w:t>En outre, un exemplaire sera également remis au secrétariat-greffe du Conseil de prud’hommes du lieu de conclusion de l’accord.</w:t>
      </w:r>
    </w:p>
    <w:p w14:paraId="7042E2AB" w14:textId="77777777" w:rsidP="006A031D" w:rsidR="009B76CD" w:rsidRDefault="009B76CD" w:rsidRPr="009B76CD"/>
    <w:p w14:paraId="50FEBB26" w14:textId="7CD770A0" w:rsidP="006A031D" w:rsidR="009B76CD" w:rsidRDefault="009B76CD" w:rsidRPr="009B76CD">
      <w:r w:rsidRPr="009B76CD">
        <w:t xml:space="preserve">Fait à </w:t>
      </w:r>
      <w:r w:rsidR="006A031D">
        <w:t>Villepinte</w:t>
      </w:r>
      <w:r w:rsidRPr="009B76CD">
        <w:t xml:space="preserve">, le </w:t>
      </w:r>
      <w:r w:rsidR="00437C91">
        <w:t>26/01/</w:t>
      </w:r>
      <w:r w:rsidR="004A4CD0">
        <w:t>2023</w:t>
      </w:r>
      <w:r w:rsidR="00B02E09">
        <w:t>.</w:t>
      </w:r>
    </w:p>
    <w:p w14:paraId="575E80C9" w14:textId="77777777" w:rsidP="00FE0757" w:rsidR="007D1465" w:rsidRDefault="007D1465">
      <w:pPr>
        <w:rPr>
          <w:b/>
          <w:i/>
        </w:rPr>
      </w:pPr>
    </w:p>
    <w:p w14:paraId="5F7F9302" w14:textId="77777777" w:rsidP="00FE0757" w:rsidR="00FE0757" w:rsidRDefault="00F6112D">
      <w:pPr>
        <w:rPr>
          <w:b/>
        </w:rPr>
      </w:pPr>
      <w:r>
        <w:rPr>
          <w:b/>
        </w:rPr>
        <w:t>Pour l’entreprise Clémançon</w:t>
      </w:r>
      <w:r w:rsidR="007D1465">
        <w:rPr>
          <w:b/>
        </w:rPr>
        <w:t xml:space="preserve"> (*)</w:t>
      </w:r>
      <w:r w:rsidR="00FE0757">
        <w:rPr>
          <w:b/>
        </w:rPr>
        <w:tab/>
      </w:r>
      <w:r w:rsidR="00FE0757">
        <w:rPr>
          <w:b/>
        </w:rPr>
        <w:tab/>
      </w:r>
      <w:r w:rsidR="00FE0757">
        <w:rPr>
          <w:b/>
        </w:rPr>
        <w:tab/>
      </w:r>
      <w:r w:rsidR="00C610B5">
        <w:rPr>
          <w:b/>
        </w:rPr>
        <w:tab/>
      </w:r>
      <w:r w:rsidR="00FE0757">
        <w:rPr>
          <w:b/>
        </w:rPr>
        <w:t>Pour F.O</w:t>
      </w:r>
      <w:r w:rsidR="007D1465">
        <w:rPr>
          <w:b/>
        </w:rPr>
        <w:t xml:space="preserve"> (*)</w:t>
      </w:r>
    </w:p>
    <w:p w14:paraId="3C379476" w14:textId="77777777" w:rsidP="00F6112D" w:rsidR="00F6112D" w:rsidRDefault="00F6112D">
      <w:pPr>
        <w:rPr>
          <w:b/>
        </w:rPr>
      </w:pPr>
    </w:p>
    <w:p w14:paraId="3673CEAA" w14:textId="77777777" w:rsidP="00F6112D" w:rsidR="00F6112D" w:rsidRDefault="00F6112D" w:rsidRPr="001D156A">
      <w:r w:rsidRPr="001D156A">
        <w:t>Chef d’entreprise</w:t>
      </w:r>
      <w:r>
        <w:tab/>
      </w:r>
      <w:r>
        <w:tab/>
      </w:r>
      <w:r>
        <w:tab/>
      </w:r>
      <w:r>
        <w:tab/>
      </w:r>
      <w:r w:rsidR="00C610B5">
        <w:tab/>
      </w:r>
      <w:r w:rsidR="00C610B5">
        <w:tab/>
      </w:r>
      <w:r w:rsidR="00850A46">
        <w:t>Délégué syndical</w:t>
      </w:r>
      <w:r w:rsidRPr="001D156A">
        <w:t xml:space="preserve"> </w:t>
      </w:r>
    </w:p>
    <w:p w14:paraId="13CC1A17" w14:textId="77777777" w:rsidP="00F6112D" w:rsidR="009B76CD" w:rsidRDefault="009B76CD"/>
    <w:p w14:paraId="18119F07" w14:textId="77777777" w:rsidP="00F6112D" w:rsidR="0039205E" w:rsidRDefault="0039205E"/>
    <w:p w14:paraId="770E8BA2" w14:textId="77777777" w:rsidP="00F6112D" w:rsidR="0039205E" w:rsidRDefault="0039205E"/>
    <w:p w14:paraId="6D8B721A" w14:textId="79325644" w:rsidP="00F6112D" w:rsidR="004F23BE" w:rsidRDefault="004F23BE"/>
    <w:p w14:paraId="1B245D60" w14:textId="7008B7BD" w:rsidP="00F6112D" w:rsidR="00C93B2A" w:rsidRDefault="00C93B2A"/>
    <w:p w14:paraId="4991F730" w14:textId="77777777" w:rsidP="00F6112D" w:rsidR="00437C91" w:rsidRDefault="00437C91"/>
    <w:p w14:paraId="060EFE7D" w14:textId="77777777" w:rsidP="00F6112D" w:rsidR="00C93B2A" w:rsidRDefault="00C93B2A"/>
    <w:p w14:paraId="19A54B14" w14:textId="7D7B6B84" w:rsidP="0039205E" w:rsidR="0039205E" w:rsidRDefault="0039205E">
      <w:pPr>
        <w:rPr>
          <w:sz w:val="18"/>
        </w:rPr>
      </w:pPr>
      <w:r w:rsidRPr="0039205E">
        <w:rPr>
          <w:sz w:val="18"/>
        </w:rPr>
        <w:t>(*) Parapher chaque page : faire précéder chaque signature de la mention manuscrite "Lu et approuvé, Bon pour accord".</w:t>
      </w:r>
    </w:p>
    <w:p w14:paraId="02D8A97B" w14:textId="4CEA9758" w:rsidP="0039205E" w:rsidR="000A778D" w:rsidRDefault="000A778D">
      <w:pPr>
        <w:rPr>
          <w:sz w:val="18"/>
        </w:rPr>
      </w:pPr>
    </w:p>
    <w:p w14:paraId="5EBCE5A2" w14:textId="71C5DD93" w:rsidR="003B524B" w:rsidRDefault="003B524B">
      <w:pPr>
        <w:jc w:val="left"/>
        <w:rPr>
          <w:sz w:val="18"/>
        </w:rPr>
      </w:pPr>
    </w:p>
    <w:p w14:paraId="4ED25759" w14:textId="77777777" w:rsidR="009F79D7" w:rsidRDefault="009F79D7">
      <w:pPr>
        <w:jc w:val="left"/>
        <w:rPr>
          <w:sz w:val="18"/>
        </w:rPr>
      </w:pPr>
    </w:p>
    <w:sectPr w:rsidR="009F79D7" w:rsidSect="003C1C59">
      <w:type w:val="continuous"/>
      <w:pgSz w:code="9" w:h="16838" w:w="11906"/>
      <w:pgMar w:bottom="1134" w:footer="0" w:gutter="0" w:header="709" w:left="1418" w:right="1418"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29F6A" w14:textId="77777777" w:rsidR="00055073" w:rsidRDefault="00055073" w:rsidP="008D5079">
      <w:r>
        <w:separator/>
      </w:r>
    </w:p>
    <w:p w14:paraId="1A8A5AC9" w14:textId="77777777" w:rsidR="00055073" w:rsidRDefault="00055073" w:rsidP="008D5079"/>
  </w:endnote>
  <w:endnote w:type="continuationSeparator" w:id="0">
    <w:p w14:paraId="76C4641B" w14:textId="77777777" w:rsidR="00055073" w:rsidRDefault="00055073" w:rsidP="008D5079">
      <w:r>
        <w:continuationSeparator/>
      </w:r>
    </w:p>
    <w:p w14:paraId="67415D63" w14:textId="77777777" w:rsidR="00055073" w:rsidRDefault="00055073" w:rsidP="008D5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inci Sans">
    <w:panose1 w:val="02000000000000000000"/>
    <w:charset w:val="00"/>
    <w:family w:val="modern"/>
    <w:notTrueType/>
    <w:pitch w:val="variable"/>
    <w:sig w:usb0="A00000AF" w:usb1="4000205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C393DB1" w14:textId="28734943" w:rsidP="00693E49" w:rsidR="006330B6" w:rsidRDefault="006330B6" w:rsidRPr="00B6766E">
    <w:pPr>
      <w:pStyle w:val="Pieddepage"/>
      <w:rPr>
        <w:rStyle w:val="Numrodepage"/>
        <w:rFonts w:ascii="Verdana" w:hAnsi="Verdana"/>
        <w:i/>
        <w:color w:themeColor="accent4" w:themeShade="80" w:val="3B4658"/>
        <w:sz w:val="16"/>
        <w:szCs w:val="16"/>
      </w:rPr>
    </w:pPr>
    <w:r w:rsidRPr="00B6766E">
      <w:rPr>
        <w:b/>
        <w:color w:themeColor="accent4" w:themeShade="80" w:val="3B4658"/>
      </w:rPr>
      <w:t xml:space="preserve">NAO </w:t>
    </w:r>
    <w:r>
      <w:rPr>
        <w:b/>
        <w:color w:themeColor="accent4" w:themeShade="80" w:val="3B4658"/>
      </w:rPr>
      <w:t>202</w:t>
    </w:r>
    <w:r w:rsidR="00A40B9B">
      <w:rPr>
        <w:b/>
        <w:color w:themeColor="accent4" w:themeShade="80" w:val="3B4658"/>
      </w:rPr>
      <w:t>3</w:t>
    </w:r>
  </w:p>
  <w:p w14:paraId="0B007669" w14:textId="7554F3F4" w:rsidP="00693E49" w:rsidR="006330B6" w:rsidRDefault="006330B6" w:rsidRPr="00B6766E">
    <w:pPr>
      <w:pStyle w:val="Pieddepage"/>
      <w:rPr>
        <w:rFonts w:ascii="Verdana" w:hAnsi="Verdana"/>
        <w:i/>
        <w:color w:themeColor="accent4" w:themeShade="80" w:val="3B4658"/>
        <w:sz w:val="16"/>
        <w:szCs w:val="16"/>
      </w:rPr>
    </w:pPr>
    <w:r>
      <w:rPr>
        <w:rStyle w:val="Numrodepage"/>
        <w:rFonts w:ascii="Verdana" w:hAnsi="Verdana"/>
        <w:i/>
        <w:color w:themeColor="accent4" w:themeShade="80" w:val="3B4658"/>
        <w:sz w:val="16"/>
        <w:szCs w:val="16"/>
      </w:rPr>
      <w:t>Projet de Protocole d’accord</w:t>
    </w:r>
    <w:r w:rsidRPr="00B6766E">
      <w:rPr>
        <w:rStyle w:val="Numrodepage"/>
        <w:rFonts w:ascii="Verdana" w:hAnsi="Verdana"/>
        <w:i/>
        <w:color w:themeColor="accent4" w:themeShade="80" w:val="3B4658"/>
        <w:sz w:val="16"/>
        <w:szCs w:val="16"/>
      </w:rPr>
      <w:tab/>
    </w:r>
    <w:r w:rsidRPr="00B6766E">
      <w:rPr>
        <w:rStyle w:val="Numrodepage"/>
        <w:rFonts w:ascii="Verdana" w:hAnsi="Verdana"/>
        <w:i/>
        <w:color w:themeColor="accent4" w:themeShade="80" w:val="3B4658"/>
        <w:sz w:val="16"/>
        <w:szCs w:val="16"/>
      </w:rPr>
      <w:tab/>
      <w:t xml:space="preserve"> Page</w:t>
    </w:r>
    <w:r>
      <w:rPr>
        <w:rStyle w:val="Numrodepage"/>
        <w:rFonts w:ascii="Verdana" w:hAnsi="Verdana"/>
        <w:i/>
        <w:color w:themeColor="accent4" w:themeShade="80" w:val="3B4658"/>
        <w:sz w:val="16"/>
        <w:szCs w:val="16"/>
      </w:rPr>
      <w:t xml:space="preserve"> </w:t>
    </w:r>
    <w:r w:rsidRPr="00B6766E">
      <w:rPr>
        <w:rStyle w:val="Numrodepage"/>
        <w:rFonts w:ascii="Verdana" w:hAnsi="Verdana"/>
        <w:i/>
        <w:color w:themeColor="accent4" w:themeShade="80" w:val="3B4658"/>
        <w:sz w:val="16"/>
        <w:szCs w:val="16"/>
      </w:rPr>
      <w:fldChar w:fldCharType="begin"/>
    </w:r>
    <w:r w:rsidRPr="00B6766E">
      <w:rPr>
        <w:rStyle w:val="Numrodepage"/>
        <w:rFonts w:ascii="Verdana" w:hAnsi="Verdana"/>
        <w:i/>
        <w:color w:themeColor="accent4" w:themeShade="80" w:val="3B4658"/>
        <w:sz w:val="16"/>
        <w:szCs w:val="16"/>
      </w:rPr>
      <w:instrText xml:space="preserve"> PAGE </w:instrText>
    </w:r>
    <w:r w:rsidRPr="00B6766E">
      <w:rPr>
        <w:rStyle w:val="Numrodepage"/>
        <w:rFonts w:ascii="Verdana" w:hAnsi="Verdana"/>
        <w:i/>
        <w:color w:themeColor="accent4" w:themeShade="80" w:val="3B4658"/>
        <w:sz w:val="16"/>
        <w:szCs w:val="16"/>
      </w:rPr>
      <w:fldChar w:fldCharType="separate"/>
    </w:r>
    <w:r w:rsidRPr="00B6766E">
      <w:rPr>
        <w:rStyle w:val="Numrodepage"/>
        <w:rFonts w:ascii="Verdana" w:hAnsi="Verdana"/>
        <w:i/>
        <w:color w:themeColor="accent4" w:themeShade="80" w:val="3B4658"/>
        <w:sz w:val="16"/>
        <w:szCs w:val="16"/>
      </w:rPr>
      <w:t>3</w:t>
    </w:r>
    <w:r w:rsidRPr="00B6766E">
      <w:rPr>
        <w:rStyle w:val="Numrodepage"/>
        <w:rFonts w:ascii="Verdana" w:hAnsi="Verdana"/>
        <w:i/>
        <w:color w:themeColor="accent4" w:themeShade="80" w:val="3B4658"/>
        <w:sz w:val="16"/>
        <w:szCs w:val="16"/>
      </w:rPr>
      <w:fldChar w:fldCharType="end"/>
    </w:r>
    <w:r w:rsidRPr="00B6766E">
      <w:rPr>
        <w:rStyle w:val="Numrodepage"/>
        <w:rFonts w:ascii="Verdana" w:hAnsi="Verdana"/>
        <w:i/>
        <w:color w:themeColor="accent4" w:themeShade="80" w:val="3B4658"/>
        <w:sz w:val="16"/>
        <w:szCs w:val="16"/>
      </w:rPr>
      <w:t>/</w:t>
    </w:r>
    <w:r w:rsidRPr="00B6766E">
      <w:rPr>
        <w:rStyle w:val="Numrodepage"/>
        <w:rFonts w:ascii="Verdana" w:hAnsi="Verdana"/>
        <w:i/>
        <w:color w:themeColor="accent4" w:themeShade="80" w:val="3B4658"/>
        <w:sz w:val="16"/>
        <w:szCs w:val="16"/>
      </w:rPr>
      <w:fldChar w:fldCharType="begin"/>
    </w:r>
    <w:r w:rsidRPr="00B6766E">
      <w:rPr>
        <w:rStyle w:val="Numrodepage"/>
        <w:rFonts w:ascii="Verdana" w:hAnsi="Verdana"/>
        <w:i/>
        <w:color w:themeColor="accent4" w:themeShade="80" w:val="3B4658"/>
        <w:sz w:val="16"/>
        <w:szCs w:val="16"/>
      </w:rPr>
      <w:instrText xml:space="preserve"> NUMPAGES </w:instrText>
    </w:r>
    <w:r w:rsidRPr="00B6766E">
      <w:rPr>
        <w:rStyle w:val="Numrodepage"/>
        <w:rFonts w:ascii="Verdana" w:hAnsi="Verdana"/>
        <w:i/>
        <w:color w:themeColor="accent4" w:themeShade="80" w:val="3B4658"/>
        <w:sz w:val="16"/>
        <w:szCs w:val="16"/>
      </w:rPr>
      <w:fldChar w:fldCharType="separate"/>
    </w:r>
    <w:r w:rsidRPr="00B6766E">
      <w:rPr>
        <w:rStyle w:val="Numrodepage"/>
        <w:rFonts w:ascii="Verdana" w:hAnsi="Verdana"/>
        <w:i/>
        <w:color w:themeColor="accent4" w:themeShade="80" w:val="3B4658"/>
        <w:sz w:val="16"/>
        <w:szCs w:val="16"/>
      </w:rPr>
      <w:t>5</w:t>
    </w:r>
    <w:r w:rsidRPr="00B6766E">
      <w:rPr>
        <w:rStyle w:val="Numrodepage"/>
        <w:rFonts w:ascii="Verdana" w:hAnsi="Verdana"/>
        <w:i/>
        <w:color w:themeColor="accent4" w:themeShade="80" w:val="3B4658"/>
        <w:sz w:val="16"/>
        <w:szCs w:val="16"/>
      </w:rPr>
      <w:fldChar w:fldCharType="end"/>
    </w:r>
  </w:p>
  <w:p w14:paraId="2BCB5C15" w14:textId="77777777" w:rsidP="009D7A2C" w:rsidR="006330B6" w:rsidRDefault="006330B6" w:rsidRPr="00874B3F">
    <w:pPr>
      <w:pStyle w:val="En-tte"/>
      <w:rPr>
        <w:b/>
        <w:color w:themeColor="background2" w:themeShade="1A" w:val="031127"/>
      </w:rPr>
    </w:pPr>
  </w:p>
  <w:p w14:paraId="3398657A" w14:textId="77777777" w:rsidP="009D7A2C" w:rsidR="006330B6" w:rsidRDefault="006330B6" w:rsidRPr="00874B3F">
    <w:pPr>
      <w:pStyle w:val="Pieddepage"/>
      <w:rPr>
        <w:i/>
        <w:color w:themeColor="background2" w:themeShade="1A" w:val="031127"/>
      </w:rPr>
    </w:pPr>
    <w:r w:rsidRPr="00874B3F">
      <w:rPr>
        <w:rStyle w:val="Numrodepage"/>
        <w:rFonts w:ascii="Verdana" w:hAnsi="Verdana"/>
        <w:i/>
        <w:color w:themeColor="background2" w:themeShade="1A" w:val="031127"/>
        <w:sz w:val="16"/>
        <w:szCs w:val="16"/>
      </w:rPr>
      <w:tab/>
    </w:r>
    <w:r w:rsidRPr="00874B3F">
      <w:rPr>
        <w:rStyle w:val="Numrodepage"/>
        <w:rFonts w:ascii="Verdana" w:hAnsi="Verdana"/>
        <w:i/>
        <w:color w:themeColor="background2" w:themeShade="1A" w:val="031127"/>
        <w:sz w:val="16"/>
        <w:szCs w:val="16"/>
      </w:rPr>
      <w:tab/>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5F6ED6" w14:textId="77777777" w:rsidP="009D7A2C" w:rsidR="006330B6" w:rsidRDefault="006330B6" w:rsidRPr="00EA5718">
    <w:pPr>
      <w:pStyle w:val="En-tte"/>
    </w:pPr>
    <w:r>
      <w:t>Informations NAO</w:t>
    </w:r>
  </w:p>
  <w:p w14:paraId="182C04CD" w14:textId="77777777" w:rsidP="009D7A2C" w:rsidR="006330B6" w:rsidRDefault="006330B6" w:rsidRPr="00EA5718">
    <w:pPr>
      <w:pStyle w:val="En-tte"/>
    </w:pPr>
    <w:r>
      <w:t>NAO 2019</w:t>
    </w:r>
  </w:p>
  <w:p w14:paraId="6BC0E617" w14:textId="77777777" w:rsidP="009D7A2C" w:rsidR="006330B6" w:rsidRDefault="006330B6" w:rsidRPr="00295784">
    <w:pPr>
      <w:pStyle w:val="Pieddepage"/>
    </w:pPr>
    <w:r w:rsidRPr="00295784">
      <w:rPr>
        <w:rStyle w:val="Numrodepage"/>
        <w:rFonts w:ascii="Verdana" w:hAnsi="Verdana"/>
        <w:sz w:val="16"/>
        <w:szCs w:val="16"/>
      </w:rPr>
      <w:fldChar w:fldCharType="begin"/>
    </w:r>
    <w:r w:rsidRPr="00295784">
      <w:rPr>
        <w:rStyle w:val="Numrodepage"/>
        <w:rFonts w:ascii="Verdana" w:hAnsi="Verdana"/>
        <w:sz w:val="16"/>
        <w:szCs w:val="16"/>
      </w:rPr>
      <w:instrText xml:space="preserve"> PAGE </w:instrText>
    </w:r>
    <w:r w:rsidRPr="00295784">
      <w:rPr>
        <w:rStyle w:val="Numrodepage"/>
        <w:rFonts w:ascii="Verdana" w:hAnsi="Verdana"/>
        <w:sz w:val="16"/>
        <w:szCs w:val="16"/>
      </w:rPr>
      <w:fldChar w:fldCharType="separate"/>
    </w:r>
    <w:r>
      <w:rPr>
        <w:rStyle w:val="Numrodepage"/>
        <w:rFonts w:ascii="Verdana" w:hAnsi="Verdana"/>
        <w:sz w:val="16"/>
        <w:szCs w:val="16"/>
      </w:rPr>
      <w:t>1</w:t>
    </w:r>
    <w:r w:rsidRPr="00295784">
      <w:rPr>
        <w:rStyle w:val="Numrodepage"/>
        <w:rFonts w:ascii="Verdana" w:hAnsi="Verdana"/>
        <w:sz w:val="16"/>
        <w:szCs w:val="16"/>
      </w:rPr>
      <w:fldChar w:fldCharType="end"/>
    </w:r>
    <w:r w:rsidRPr="00295784">
      <w:rPr>
        <w:rStyle w:val="Numrodepage"/>
        <w:rFonts w:ascii="Verdana" w:hAnsi="Verdana"/>
        <w:sz w:val="16"/>
        <w:szCs w:val="16"/>
      </w:rPr>
      <w:t>/</w:t>
    </w:r>
    <w:r w:rsidRPr="00295784">
      <w:rPr>
        <w:rStyle w:val="Numrodepage"/>
        <w:rFonts w:ascii="Verdana" w:hAnsi="Verdana"/>
        <w:sz w:val="16"/>
        <w:szCs w:val="16"/>
      </w:rPr>
      <w:fldChar w:fldCharType="begin"/>
    </w:r>
    <w:r w:rsidRPr="00295784">
      <w:rPr>
        <w:rStyle w:val="Numrodepage"/>
        <w:rFonts w:ascii="Verdana" w:hAnsi="Verdana"/>
        <w:sz w:val="16"/>
        <w:szCs w:val="16"/>
      </w:rPr>
      <w:instrText xml:space="preserve"> NUMPAGES </w:instrText>
    </w:r>
    <w:r w:rsidRPr="00295784">
      <w:rPr>
        <w:rStyle w:val="Numrodepage"/>
        <w:rFonts w:ascii="Verdana" w:hAnsi="Verdana"/>
        <w:sz w:val="16"/>
        <w:szCs w:val="16"/>
      </w:rPr>
      <w:fldChar w:fldCharType="separate"/>
    </w:r>
    <w:r>
      <w:rPr>
        <w:rStyle w:val="Numrodepage"/>
        <w:rFonts w:ascii="Verdana" w:hAnsi="Verdana"/>
        <w:sz w:val="16"/>
        <w:szCs w:val="16"/>
      </w:rPr>
      <w:t>4</w:t>
    </w:r>
    <w:r w:rsidRPr="00295784">
      <w:rPr>
        <w:rStyle w:val="Numrodepage"/>
        <w:rFonts w:ascii="Verdana" w:hAnsi="Verdana"/>
        <w:sz w:val="16"/>
        <w:szCs w:val="16"/>
      </w:rPr>
      <w:fldChar w:fldCharType="end"/>
    </w:r>
  </w:p>
  <w:p w14:paraId="6247F458" w14:textId="77777777" w:rsidR="006330B6" w:rsidRDefault="006330B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1025F130" w14:textId="77777777" w:rsidP="008D5079" w:rsidR="00055073" w:rsidRDefault="00055073">
      <w:r>
        <w:separator/>
      </w:r>
    </w:p>
    <w:p w14:paraId="1AA27AE8" w14:textId="77777777" w:rsidP="008D5079" w:rsidR="00055073" w:rsidRDefault="00055073"/>
  </w:footnote>
  <w:footnote w:id="0" w:type="continuationSeparator">
    <w:p w14:paraId="6E11627A" w14:textId="77777777" w:rsidP="008D5079" w:rsidR="00055073" w:rsidRDefault="00055073">
      <w:r>
        <w:continuationSeparator/>
      </w:r>
    </w:p>
    <w:p w14:paraId="2BFBDD81" w14:textId="77777777" w:rsidP="008D5079" w:rsidR="00055073" w:rsidRDefault="00055073"/>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33D8DAC" w14:textId="2133C3DA" w:rsidR="00055073" w:rsidRDefault="00055073">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262FA8" w14:textId="59ED4747" w:rsidR="00055073" w:rsidRDefault="00055073">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125ECCE" w14:textId="0D5F6F0B" w:rsidR="00055073" w:rsidRDefault="00055073">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75389C"/>
    <w:multiLevelType w:val="hybridMultilevel"/>
    <w:tmpl w:val="4B3E0A0C"/>
    <w:lvl w:ilvl="0" w:tplc="6CD21830">
      <w:start w:val="28"/>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9E12759"/>
    <w:multiLevelType w:val="hybridMultilevel"/>
    <w:tmpl w:val="601A37BE"/>
    <w:lvl w:ilvl="0" w:tplc="BFFE1D0A">
      <w:start w:val="1"/>
      <w:numFmt w:val="decimal"/>
      <w:pStyle w:val="Titre2"/>
      <w:lvlText w:val="Article %1."/>
      <w:lvlJc w:val="right"/>
      <w:pPr>
        <w:ind w:hanging="360" w:left="502"/>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0C850D60"/>
    <w:multiLevelType w:val="hybridMultilevel"/>
    <w:tmpl w:val="A7D6573C"/>
    <w:lvl w:ilvl="0" w:tplc="72441220">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20730B6F"/>
    <w:multiLevelType w:val="hybridMultilevel"/>
    <w:tmpl w:val="BF803F7A"/>
    <w:lvl w:ilvl="0" w:tplc="4A52A710">
      <w:start w:val="2"/>
      <w:numFmt w:val="bullet"/>
      <w:lvlText w:val="-"/>
      <w:lvlJc w:val="left"/>
      <w:pPr>
        <w:ind w:hanging="360" w:left="720"/>
      </w:pPr>
      <w:rPr>
        <w:rFonts w:ascii="Vinci Sans" w:cs="Times New Roman"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cs="Wingdings" w:hAnsi="Wingdings" w:hint="default"/>
      </w:rPr>
    </w:lvl>
    <w:lvl w:ilvl="3" w:tentative="1" w:tplc="040C0001">
      <w:start w:val="1"/>
      <w:numFmt w:val="bullet"/>
      <w:lvlText w:val=""/>
      <w:lvlJc w:val="left"/>
      <w:pPr>
        <w:ind w:hanging="360" w:left="2880"/>
      </w:pPr>
      <w:rPr>
        <w:rFonts w:ascii="Symbol" w:cs="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cs="Wingdings" w:hAnsi="Wingdings" w:hint="default"/>
      </w:rPr>
    </w:lvl>
    <w:lvl w:ilvl="6" w:tentative="1" w:tplc="040C0001">
      <w:start w:val="1"/>
      <w:numFmt w:val="bullet"/>
      <w:lvlText w:val=""/>
      <w:lvlJc w:val="left"/>
      <w:pPr>
        <w:ind w:hanging="360" w:left="5040"/>
      </w:pPr>
      <w:rPr>
        <w:rFonts w:ascii="Symbol" w:cs="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cs="Wingdings" w:hAnsi="Wingdings" w:hint="default"/>
      </w:rPr>
    </w:lvl>
  </w:abstractNum>
  <w:abstractNum w15:restartNumberingAfterBreak="0" w:abstractNumId="4">
    <w:nsid w:val="2EC91DA3"/>
    <w:multiLevelType w:val="hybridMultilevel"/>
    <w:tmpl w:val="F2F42978"/>
    <w:lvl w:ilvl="0" w:tplc="040C000B">
      <w:start w:val="1"/>
      <w:numFmt w:val="bullet"/>
      <w:lvlText w:val=""/>
      <w:lvlJc w:val="left"/>
      <w:pPr>
        <w:tabs>
          <w:tab w:pos="1068" w:val="num"/>
        </w:tabs>
        <w:ind w:hanging="360" w:left="1068"/>
      </w:pPr>
      <w:rPr>
        <w:rFonts w:ascii="Wingdings" w:hAnsi="Wingdings" w:hint="default"/>
      </w:rPr>
    </w:lvl>
    <w:lvl w:ilvl="1" w:tplc="040C0003">
      <w:start w:val="1"/>
      <w:numFmt w:val="bullet"/>
      <w:lvlText w:val="o"/>
      <w:lvlJc w:val="left"/>
      <w:pPr>
        <w:tabs>
          <w:tab w:pos="1788" w:val="num"/>
        </w:tabs>
        <w:ind w:hanging="360" w:left="1788"/>
      </w:pPr>
      <w:rPr>
        <w:rFonts w:ascii="Courier New" w:cs="Courier New" w:hAnsi="Courier New" w:hint="default"/>
      </w:rPr>
    </w:lvl>
    <w:lvl w:ilvl="2" w:tplc="040C000D">
      <w:start w:val="1"/>
      <w:numFmt w:val="bullet"/>
      <w:lvlText w:val=""/>
      <w:lvlJc w:val="left"/>
      <w:pPr>
        <w:tabs>
          <w:tab w:pos="2340" w:val="num"/>
        </w:tabs>
        <w:ind w:hanging="360" w:left="2340"/>
      </w:pPr>
      <w:rPr>
        <w:rFonts w:ascii="Wingdings" w:hAnsi="Wingdings" w:hint="default"/>
      </w:rPr>
    </w:lvl>
    <w:lvl w:ilvl="3" w:tplc="35E4DDD2">
      <w:start w:val="1"/>
      <w:numFmt w:val="bullet"/>
      <w:pStyle w:val="Listepuces"/>
      <w:lvlText w:val="-"/>
      <w:lvlJc w:val="left"/>
      <w:pPr>
        <w:tabs>
          <w:tab w:pos="2865" w:val="num"/>
        </w:tabs>
        <w:ind w:hanging="207" w:left="3075"/>
      </w:pPr>
      <w:rPr>
        <w:rFonts w:ascii="Verdana" w:hAnsi="Verdana" w:hint="default"/>
        <w:color w:val="auto"/>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5">
    <w:nsid w:val="34880CA4"/>
    <w:multiLevelType w:val="hybridMultilevel"/>
    <w:tmpl w:val="66DA40A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4ADF21CE"/>
    <w:multiLevelType w:val="hybridMultilevel"/>
    <w:tmpl w:val="4D842836"/>
    <w:lvl w:ilvl="0" w:tplc="4C1E857C">
      <w:numFmt w:val="bullet"/>
      <w:lvlText w:val=""/>
      <w:lvlJc w:val="left"/>
      <w:pPr>
        <w:ind w:hanging="360" w:left="720"/>
      </w:pPr>
      <w:rPr>
        <w:rFonts w:ascii="Wingdings" w:cs="Times New Roman"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664A5EDF"/>
    <w:multiLevelType w:val="hybridMultilevel"/>
    <w:tmpl w:val="77AED01E"/>
    <w:lvl w:ilvl="0" w:tplc="ABBE2BA4">
      <w:start w:val="1"/>
      <w:numFmt w:val="bullet"/>
      <w:pStyle w:val="Sansinterligne"/>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70924FB3"/>
    <w:multiLevelType w:val="hybridMultilevel"/>
    <w:tmpl w:val="9FB43294"/>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4"/>
  </w:num>
  <w:num w:numId="2">
    <w:abstractNumId w:val="1"/>
  </w:num>
  <w:num w:numId="3">
    <w:abstractNumId w:val="7"/>
  </w:num>
  <w:num w:numId="4">
    <w:abstractNumId w:val="8"/>
  </w:num>
  <w:num w:numId="5">
    <w:abstractNumId w:val="5"/>
  </w:num>
  <w:num w:numId="6">
    <w:abstractNumId w:val="0"/>
  </w:num>
  <w:num w:numId="7">
    <w:abstractNumId w:val="3"/>
  </w:num>
  <w:num w:numId="8">
    <w:abstractNumId w:val="2"/>
  </w:num>
  <w:num w:numId="9">
    <w:abstractNumId w:val="6"/>
  </w:num>
  <w:numIdMacAtCleanup w:val="7"/>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4097"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58"/>
    <w:rsid w:val="00001E2E"/>
    <w:rsid w:val="000042D6"/>
    <w:rsid w:val="00010748"/>
    <w:rsid w:val="00013FD6"/>
    <w:rsid w:val="0001699C"/>
    <w:rsid w:val="00016DC3"/>
    <w:rsid w:val="000204C6"/>
    <w:rsid w:val="00022C21"/>
    <w:rsid w:val="000272D7"/>
    <w:rsid w:val="00030D81"/>
    <w:rsid w:val="00031CCE"/>
    <w:rsid w:val="00032333"/>
    <w:rsid w:val="0003675F"/>
    <w:rsid w:val="000373D0"/>
    <w:rsid w:val="00041AC7"/>
    <w:rsid w:val="00043A4A"/>
    <w:rsid w:val="00045B33"/>
    <w:rsid w:val="0004648C"/>
    <w:rsid w:val="00046577"/>
    <w:rsid w:val="00046CD7"/>
    <w:rsid w:val="0004781A"/>
    <w:rsid w:val="00055073"/>
    <w:rsid w:val="00055F9E"/>
    <w:rsid w:val="0007000D"/>
    <w:rsid w:val="0007128A"/>
    <w:rsid w:val="000736A8"/>
    <w:rsid w:val="0007474B"/>
    <w:rsid w:val="00075244"/>
    <w:rsid w:val="0008108B"/>
    <w:rsid w:val="000832FC"/>
    <w:rsid w:val="000861BD"/>
    <w:rsid w:val="00094B86"/>
    <w:rsid w:val="0009524B"/>
    <w:rsid w:val="000A0138"/>
    <w:rsid w:val="000A1A76"/>
    <w:rsid w:val="000A1E84"/>
    <w:rsid w:val="000A2520"/>
    <w:rsid w:val="000A778D"/>
    <w:rsid w:val="000B162A"/>
    <w:rsid w:val="000B3FF4"/>
    <w:rsid w:val="000B4C9C"/>
    <w:rsid w:val="000C2E45"/>
    <w:rsid w:val="000D1B2E"/>
    <w:rsid w:val="000D2C32"/>
    <w:rsid w:val="000D40B9"/>
    <w:rsid w:val="000D7EA4"/>
    <w:rsid w:val="000E20B9"/>
    <w:rsid w:val="000E3826"/>
    <w:rsid w:val="000E3ADF"/>
    <w:rsid w:val="000E44FA"/>
    <w:rsid w:val="000E4569"/>
    <w:rsid w:val="000F027C"/>
    <w:rsid w:val="000F1194"/>
    <w:rsid w:val="000F1FCB"/>
    <w:rsid w:val="000F2503"/>
    <w:rsid w:val="000F2E0C"/>
    <w:rsid w:val="000F36DB"/>
    <w:rsid w:val="000F4149"/>
    <w:rsid w:val="000F57BC"/>
    <w:rsid w:val="000F7286"/>
    <w:rsid w:val="000F7AED"/>
    <w:rsid w:val="00102506"/>
    <w:rsid w:val="00113624"/>
    <w:rsid w:val="00117390"/>
    <w:rsid w:val="00121192"/>
    <w:rsid w:val="0012637B"/>
    <w:rsid w:val="00127677"/>
    <w:rsid w:val="00130F49"/>
    <w:rsid w:val="00132A5D"/>
    <w:rsid w:val="001349B1"/>
    <w:rsid w:val="0013748C"/>
    <w:rsid w:val="00137E30"/>
    <w:rsid w:val="00143D92"/>
    <w:rsid w:val="00152545"/>
    <w:rsid w:val="00152C4C"/>
    <w:rsid w:val="00153E26"/>
    <w:rsid w:val="00154B18"/>
    <w:rsid w:val="00155BEA"/>
    <w:rsid w:val="001639EA"/>
    <w:rsid w:val="00163F46"/>
    <w:rsid w:val="0016480E"/>
    <w:rsid w:val="00166BAA"/>
    <w:rsid w:val="00171FE6"/>
    <w:rsid w:val="00173ED9"/>
    <w:rsid w:val="00175A8B"/>
    <w:rsid w:val="00175F40"/>
    <w:rsid w:val="001766D7"/>
    <w:rsid w:val="00176B53"/>
    <w:rsid w:val="00182746"/>
    <w:rsid w:val="00182976"/>
    <w:rsid w:val="0018573E"/>
    <w:rsid w:val="0018733B"/>
    <w:rsid w:val="001911EF"/>
    <w:rsid w:val="00195F42"/>
    <w:rsid w:val="00196B15"/>
    <w:rsid w:val="001A1867"/>
    <w:rsid w:val="001A1C25"/>
    <w:rsid w:val="001A6AC8"/>
    <w:rsid w:val="001B44D7"/>
    <w:rsid w:val="001B55DB"/>
    <w:rsid w:val="001C0FF0"/>
    <w:rsid w:val="001C1D74"/>
    <w:rsid w:val="001C2CC0"/>
    <w:rsid w:val="001C592D"/>
    <w:rsid w:val="001C5C49"/>
    <w:rsid w:val="001C5F43"/>
    <w:rsid w:val="001D1650"/>
    <w:rsid w:val="001D30DF"/>
    <w:rsid w:val="001D362B"/>
    <w:rsid w:val="001D3BE1"/>
    <w:rsid w:val="001D3C5C"/>
    <w:rsid w:val="001D4CBE"/>
    <w:rsid w:val="001E406B"/>
    <w:rsid w:val="001E6F09"/>
    <w:rsid w:val="001F0F27"/>
    <w:rsid w:val="001F51CF"/>
    <w:rsid w:val="001F6292"/>
    <w:rsid w:val="001F77F4"/>
    <w:rsid w:val="001F7D0E"/>
    <w:rsid w:val="00202006"/>
    <w:rsid w:val="00203251"/>
    <w:rsid w:val="0020371B"/>
    <w:rsid w:val="002074B2"/>
    <w:rsid w:val="0021079A"/>
    <w:rsid w:val="00213C97"/>
    <w:rsid w:val="002150AE"/>
    <w:rsid w:val="002161E9"/>
    <w:rsid w:val="002214D0"/>
    <w:rsid w:val="00222817"/>
    <w:rsid w:val="002233AF"/>
    <w:rsid w:val="0022581A"/>
    <w:rsid w:val="00226232"/>
    <w:rsid w:val="00226881"/>
    <w:rsid w:val="00227347"/>
    <w:rsid w:val="00227CE1"/>
    <w:rsid w:val="00235708"/>
    <w:rsid w:val="00235D90"/>
    <w:rsid w:val="00236438"/>
    <w:rsid w:val="00236FE1"/>
    <w:rsid w:val="002417AE"/>
    <w:rsid w:val="00241C0A"/>
    <w:rsid w:val="00246CB4"/>
    <w:rsid w:val="00250472"/>
    <w:rsid w:val="002579E5"/>
    <w:rsid w:val="00261776"/>
    <w:rsid w:val="002637A0"/>
    <w:rsid w:val="00265047"/>
    <w:rsid w:val="002679EC"/>
    <w:rsid w:val="00270392"/>
    <w:rsid w:val="0027545F"/>
    <w:rsid w:val="00277224"/>
    <w:rsid w:val="00280088"/>
    <w:rsid w:val="002838D9"/>
    <w:rsid w:val="00292A4A"/>
    <w:rsid w:val="00293557"/>
    <w:rsid w:val="00295784"/>
    <w:rsid w:val="00297841"/>
    <w:rsid w:val="002A12D4"/>
    <w:rsid w:val="002A23F4"/>
    <w:rsid w:val="002A654D"/>
    <w:rsid w:val="002B6C87"/>
    <w:rsid w:val="002C04C1"/>
    <w:rsid w:val="002C3AC4"/>
    <w:rsid w:val="002C64BB"/>
    <w:rsid w:val="002C6AB6"/>
    <w:rsid w:val="002C6B5F"/>
    <w:rsid w:val="002D38DC"/>
    <w:rsid w:val="002D556E"/>
    <w:rsid w:val="002D6A3E"/>
    <w:rsid w:val="002E0A56"/>
    <w:rsid w:val="002E3870"/>
    <w:rsid w:val="002E49D4"/>
    <w:rsid w:val="002E505A"/>
    <w:rsid w:val="002E6C10"/>
    <w:rsid w:val="002F5E62"/>
    <w:rsid w:val="00300637"/>
    <w:rsid w:val="00305092"/>
    <w:rsid w:val="00307D7A"/>
    <w:rsid w:val="00310A2C"/>
    <w:rsid w:val="00312325"/>
    <w:rsid w:val="00315AD4"/>
    <w:rsid w:val="00315FE2"/>
    <w:rsid w:val="0031613F"/>
    <w:rsid w:val="00317D97"/>
    <w:rsid w:val="00320220"/>
    <w:rsid w:val="003206A5"/>
    <w:rsid w:val="0032205C"/>
    <w:rsid w:val="00325BC0"/>
    <w:rsid w:val="00330E57"/>
    <w:rsid w:val="00332D62"/>
    <w:rsid w:val="003330B2"/>
    <w:rsid w:val="003362B5"/>
    <w:rsid w:val="003372A2"/>
    <w:rsid w:val="00340F23"/>
    <w:rsid w:val="003412A2"/>
    <w:rsid w:val="00344781"/>
    <w:rsid w:val="003455B4"/>
    <w:rsid w:val="00345C33"/>
    <w:rsid w:val="00346745"/>
    <w:rsid w:val="00346F67"/>
    <w:rsid w:val="00353120"/>
    <w:rsid w:val="003602B1"/>
    <w:rsid w:val="00361254"/>
    <w:rsid w:val="003612DE"/>
    <w:rsid w:val="003620D6"/>
    <w:rsid w:val="00365E0B"/>
    <w:rsid w:val="003660DE"/>
    <w:rsid w:val="00370149"/>
    <w:rsid w:val="0037580E"/>
    <w:rsid w:val="00376C1B"/>
    <w:rsid w:val="003771AC"/>
    <w:rsid w:val="00383085"/>
    <w:rsid w:val="0038365D"/>
    <w:rsid w:val="00384DE0"/>
    <w:rsid w:val="00386D3D"/>
    <w:rsid w:val="00387BCB"/>
    <w:rsid w:val="0039205E"/>
    <w:rsid w:val="00392832"/>
    <w:rsid w:val="003932C2"/>
    <w:rsid w:val="0039344B"/>
    <w:rsid w:val="0039423F"/>
    <w:rsid w:val="003A01A3"/>
    <w:rsid w:val="003A0403"/>
    <w:rsid w:val="003A2A52"/>
    <w:rsid w:val="003A4EE9"/>
    <w:rsid w:val="003A7455"/>
    <w:rsid w:val="003B1ED5"/>
    <w:rsid w:val="003B524B"/>
    <w:rsid w:val="003B6F47"/>
    <w:rsid w:val="003C12E3"/>
    <w:rsid w:val="003C1C59"/>
    <w:rsid w:val="003C2903"/>
    <w:rsid w:val="003C3326"/>
    <w:rsid w:val="003C3553"/>
    <w:rsid w:val="003C36BD"/>
    <w:rsid w:val="003C3E9B"/>
    <w:rsid w:val="003D22F4"/>
    <w:rsid w:val="003D360D"/>
    <w:rsid w:val="003D70D4"/>
    <w:rsid w:val="003E0DEF"/>
    <w:rsid w:val="003E2E8B"/>
    <w:rsid w:val="003F0267"/>
    <w:rsid w:val="003F05A7"/>
    <w:rsid w:val="003F0880"/>
    <w:rsid w:val="003F2939"/>
    <w:rsid w:val="003F2B3A"/>
    <w:rsid w:val="003F4258"/>
    <w:rsid w:val="003F49DC"/>
    <w:rsid w:val="003F5BCF"/>
    <w:rsid w:val="003F743C"/>
    <w:rsid w:val="00401277"/>
    <w:rsid w:val="00401399"/>
    <w:rsid w:val="00402EED"/>
    <w:rsid w:val="00403636"/>
    <w:rsid w:val="00404DC8"/>
    <w:rsid w:val="004058E9"/>
    <w:rsid w:val="00405D61"/>
    <w:rsid w:val="004076FA"/>
    <w:rsid w:val="00412F50"/>
    <w:rsid w:val="0041772E"/>
    <w:rsid w:val="0042044A"/>
    <w:rsid w:val="0042234E"/>
    <w:rsid w:val="00423390"/>
    <w:rsid w:val="0042626A"/>
    <w:rsid w:val="00430436"/>
    <w:rsid w:val="00431E4C"/>
    <w:rsid w:val="00432036"/>
    <w:rsid w:val="004329BA"/>
    <w:rsid w:val="00435E2B"/>
    <w:rsid w:val="00437C91"/>
    <w:rsid w:val="0044026A"/>
    <w:rsid w:val="00440FD8"/>
    <w:rsid w:val="004424F3"/>
    <w:rsid w:val="00451A42"/>
    <w:rsid w:val="0045419A"/>
    <w:rsid w:val="00456276"/>
    <w:rsid w:val="004576C5"/>
    <w:rsid w:val="00460482"/>
    <w:rsid w:val="0046389E"/>
    <w:rsid w:val="004665B4"/>
    <w:rsid w:val="00467038"/>
    <w:rsid w:val="00470314"/>
    <w:rsid w:val="0047076F"/>
    <w:rsid w:val="00476007"/>
    <w:rsid w:val="00481106"/>
    <w:rsid w:val="00492EEB"/>
    <w:rsid w:val="004939EA"/>
    <w:rsid w:val="004A1595"/>
    <w:rsid w:val="004A24DB"/>
    <w:rsid w:val="004A4831"/>
    <w:rsid w:val="004A4CD0"/>
    <w:rsid w:val="004A5154"/>
    <w:rsid w:val="004A6E65"/>
    <w:rsid w:val="004A781B"/>
    <w:rsid w:val="004B237F"/>
    <w:rsid w:val="004B325A"/>
    <w:rsid w:val="004B52F2"/>
    <w:rsid w:val="004B716C"/>
    <w:rsid w:val="004C02A3"/>
    <w:rsid w:val="004C2194"/>
    <w:rsid w:val="004C2384"/>
    <w:rsid w:val="004C28D0"/>
    <w:rsid w:val="004C31F9"/>
    <w:rsid w:val="004C7732"/>
    <w:rsid w:val="004D69E2"/>
    <w:rsid w:val="004E2CE6"/>
    <w:rsid w:val="004E3D61"/>
    <w:rsid w:val="004E40AB"/>
    <w:rsid w:val="004E584D"/>
    <w:rsid w:val="004E6C71"/>
    <w:rsid w:val="004E73E5"/>
    <w:rsid w:val="004E78F5"/>
    <w:rsid w:val="004E7B3E"/>
    <w:rsid w:val="004F23BE"/>
    <w:rsid w:val="004F4383"/>
    <w:rsid w:val="004F6EBB"/>
    <w:rsid w:val="004F7216"/>
    <w:rsid w:val="004F7C20"/>
    <w:rsid w:val="00505BB0"/>
    <w:rsid w:val="00512F89"/>
    <w:rsid w:val="005154FD"/>
    <w:rsid w:val="005179B2"/>
    <w:rsid w:val="00524998"/>
    <w:rsid w:val="00524A6B"/>
    <w:rsid w:val="00524D97"/>
    <w:rsid w:val="00525041"/>
    <w:rsid w:val="00533642"/>
    <w:rsid w:val="00543FB6"/>
    <w:rsid w:val="00545966"/>
    <w:rsid w:val="005469B4"/>
    <w:rsid w:val="00547D0D"/>
    <w:rsid w:val="00552275"/>
    <w:rsid w:val="00552DDB"/>
    <w:rsid w:val="00555376"/>
    <w:rsid w:val="005562CE"/>
    <w:rsid w:val="00557EDB"/>
    <w:rsid w:val="00561B5F"/>
    <w:rsid w:val="00562667"/>
    <w:rsid w:val="00570D82"/>
    <w:rsid w:val="00570F58"/>
    <w:rsid w:val="00571CB2"/>
    <w:rsid w:val="00573000"/>
    <w:rsid w:val="00583FE9"/>
    <w:rsid w:val="00584FAB"/>
    <w:rsid w:val="0058517A"/>
    <w:rsid w:val="005859E3"/>
    <w:rsid w:val="005908DA"/>
    <w:rsid w:val="0059292C"/>
    <w:rsid w:val="005A0F0B"/>
    <w:rsid w:val="005A2247"/>
    <w:rsid w:val="005A4A5D"/>
    <w:rsid w:val="005A5A69"/>
    <w:rsid w:val="005A60F0"/>
    <w:rsid w:val="005B0E3A"/>
    <w:rsid w:val="005B168F"/>
    <w:rsid w:val="005B3749"/>
    <w:rsid w:val="005B4041"/>
    <w:rsid w:val="005B4480"/>
    <w:rsid w:val="005B4DAC"/>
    <w:rsid w:val="005B5BCE"/>
    <w:rsid w:val="005C424F"/>
    <w:rsid w:val="005C472B"/>
    <w:rsid w:val="005C4F27"/>
    <w:rsid w:val="005C51B1"/>
    <w:rsid w:val="005C5B83"/>
    <w:rsid w:val="005D0341"/>
    <w:rsid w:val="005D17D5"/>
    <w:rsid w:val="005E2356"/>
    <w:rsid w:val="005E3353"/>
    <w:rsid w:val="005E426C"/>
    <w:rsid w:val="005E719A"/>
    <w:rsid w:val="005E7EB3"/>
    <w:rsid w:val="005F1235"/>
    <w:rsid w:val="005F36D1"/>
    <w:rsid w:val="006000FE"/>
    <w:rsid w:val="006002BE"/>
    <w:rsid w:val="00602EE1"/>
    <w:rsid w:val="0060537B"/>
    <w:rsid w:val="00611B42"/>
    <w:rsid w:val="00616E34"/>
    <w:rsid w:val="00620058"/>
    <w:rsid w:val="00622627"/>
    <w:rsid w:val="00623B0D"/>
    <w:rsid w:val="006268D6"/>
    <w:rsid w:val="0062762F"/>
    <w:rsid w:val="00630A8E"/>
    <w:rsid w:val="006330B6"/>
    <w:rsid w:val="006338D4"/>
    <w:rsid w:val="00645598"/>
    <w:rsid w:val="00650A53"/>
    <w:rsid w:val="00652A86"/>
    <w:rsid w:val="00655271"/>
    <w:rsid w:val="00661CF8"/>
    <w:rsid w:val="00662F4B"/>
    <w:rsid w:val="0067013C"/>
    <w:rsid w:val="00672E37"/>
    <w:rsid w:val="00672E59"/>
    <w:rsid w:val="00676373"/>
    <w:rsid w:val="00676975"/>
    <w:rsid w:val="00681CB2"/>
    <w:rsid w:val="00684BFC"/>
    <w:rsid w:val="00686D81"/>
    <w:rsid w:val="00687A83"/>
    <w:rsid w:val="006915D9"/>
    <w:rsid w:val="006930CE"/>
    <w:rsid w:val="00693E49"/>
    <w:rsid w:val="006967DA"/>
    <w:rsid w:val="00696973"/>
    <w:rsid w:val="00696D51"/>
    <w:rsid w:val="006A031D"/>
    <w:rsid w:val="006A5D89"/>
    <w:rsid w:val="006B1090"/>
    <w:rsid w:val="006B57F0"/>
    <w:rsid w:val="006B61AF"/>
    <w:rsid w:val="006B64DF"/>
    <w:rsid w:val="006C035C"/>
    <w:rsid w:val="006C41B6"/>
    <w:rsid w:val="006C5381"/>
    <w:rsid w:val="006C6B89"/>
    <w:rsid w:val="006D26B8"/>
    <w:rsid w:val="006D2B81"/>
    <w:rsid w:val="006D385B"/>
    <w:rsid w:val="006D5B8E"/>
    <w:rsid w:val="006E0A50"/>
    <w:rsid w:val="006E137E"/>
    <w:rsid w:val="006E486E"/>
    <w:rsid w:val="006F2A3C"/>
    <w:rsid w:val="006F397F"/>
    <w:rsid w:val="007040E2"/>
    <w:rsid w:val="00705054"/>
    <w:rsid w:val="0070593E"/>
    <w:rsid w:val="00706F31"/>
    <w:rsid w:val="007121E4"/>
    <w:rsid w:val="00715FD9"/>
    <w:rsid w:val="007161FF"/>
    <w:rsid w:val="00716409"/>
    <w:rsid w:val="0072267F"/>
    <w:rsid w:val="0072378F"/>
    <w:rsid w:val="007309D4"/>
    <w:rsid w:val="00732076"/>
    <w:rsid w:val="00733251"/>
    <w:rsid w:val="00733EAF"/>
    <w:rsid w:val="00737628"/>
    <w:rsid w:val="00745C29"/>
    <w:rsid w:val="007523D1"/>
    <w:rsid w:val="00752D88"/>
    <w:rsid w:val="007610C2"/>
    <w:rsid w:val="007633B1"/>
    <w:rsid w:val="007639F1"/>
    <w:rsid w:val="00773D92"/>
    <w:rsid w:val="007744C8"/>
    <w:rsid w:val="00774D58"/>
    <w:rsid w:val="0078268F"/>
    <w:rsid w:val="0078387E"/>
    <w:rsid w:val="00791B28"/>
    <w:rsid w:val="00796B37"/>
    <w:rsid w:val="007A1028"/>
    <w:rsid w:val="007A11B5"/>
    <w:rsid w:val="007A741C"/>
    <w:rsid w:val="007A7D4F"/>
    <w:rsid w:val="007B394D"/>
    <w:rsid w:val="007B5FC0"/>
    <w:rsid w:val="007B6E18"/>
    <w:rsid w:val="007B7832"/>
    <w:rsid w:val="007C0C99"/>
    <w:rsid w:val="007C14C4"/>
    <w:rsid w:val="007C156A"/>
    <w:rsid w:val="007C1BB1"/>
    <w:rsid w:val="007C2E3B"/>
    <w:rsid w:val="007C475A"/>
    <w:rsid w:val="007C4D6E"/>
    <w:rsid w:val="007D0799"/>
    <w:rsid w:val="007D1465"/>
    <w:rsid w:val="007D23D7"/>
    <w:rsid w:val="007D33FC"/>
    <w:rsid w:val="007D658A"/>
    <w:rsid w:val="007D7762"/>
    <w:rsid w:val="007E27CC"/>
    <w:rsid w:val="007E494D"/>
    <w:rsid w:val="007E4ABE"/>
    <w:rsid w:val="007E5A3E"/>
    <w:rsid w:val="007F4A1E"/>
    <w:rsid w:val="007F54A5"/>
    <w:rsid w:val="007F5B00"/>
    <w:rsid w:val="007F646D"/>
    <w:rsid w:val="00800F6C"/>
    <w:rsid w:val="008027E9"/>
    <w:rsid w:val="00806178"/>
    <w:rsid w:val="00806854"/>
    <w:rsid w:val="008105E1"/>
    <w:rsid w:val="00810DD6"/>
    <w:rsid w:val="0081152D"/>
    <w:rsid w:val="008149C3"/>
    <w:rsid w:val="00815ECD"/>
    <w:rsid w:val="00817118"/>
    <w:rsid w:val="00820DAF"/>
    <w:rsid w:val="008314E2"/>
    <w:rsid w:val="00835E32"/>
    <w:rsid w:val="00841218"/>
    <w:rsid w:val="00844735"/>
    <w:rsid w:val="0084513C"/>
    <w:rsid w:val="0084777C"/>
    <w:rsid w:val="00847D7B"/>
    <w:rsid w:val="00850450"/>
    <w:rsid w:val="0085092C"/>
    <w:rsid w:val="00850A46"/>
    <w:rsid w:val="00853241"/>
    <w:rsid w:val="008538C7"/>
    <w:rsid w:val="00853D1F"/>
    <w:rsid w:val="008546C6"/>
    <w:rsid w:val="00863103"/>
    <w:rsid w:val="00870A8A"/>
    <w:rsid w:val="00874B3F"/>
    <w:rsid w:val="0088022C"/>
    <w:rsid w:val="00880555"/>
    <w:rsid w:val="008810BE"/>
    <w:rsid w:val="008814EF"/>
    <w:rsid w:val="00884C8F"/>
    <w:rsid w:val="00890C4C"/>
    <w:rsid w:val="00892C1A"/>
    <w:rsid w:val="008963B0"/>
    <w:rsid w:val="008A485B"/>
    <w:rsid w:val="008A7F17"/>
    <w:rsid w:val="008B1BFD"/>
    <w:rsid w:val="008B1CEC"/>
    <w:rsid w:val="008B2716"/>
    <w:rsid w:val="008B7EF5"/>
    <w:rsid w:val="008D00CC"/>
    <w:rsid w:val="008D5079"/>
    <w:rsid w:val="008D5EB3"/>
    <w:rsid w:val="008D79FF"/>
    <w:rsid w:val="008E0E0A"/>
    <w:rsid w:val="008E350E"/>
    <w:rsid w:val="008E6D98"/>
    <w:rsid w:val="008F0E5F"/>
    <w:rsid w:val="008F23E1"/>
    <w:rsid w:val="008F40AA"/>
    <w:rsid w:val="008F425C"/>
    <w:rsid w:val="0090446B"/>
    <w:rsid w:val="00904B3E"/>
    <w:rsid w:val="00911236"/>
    <w:rsid w:val="0091288B"/>
    <w:rsid w:val="0091387B"/>
    <w:rsid w:val="00913D6C"/>
    <w:rsid w:val="00913EFC"/>
    <w:rsid w:val="00922AF6"/>
    <w:rsid w:val="00923217"/>
    <w:rsid w:val="00924E58"/>
    <w:rsid w:val="009259F1"/>
    <w:rsid w:val="00932641"/>
    <w:rsid w:val="00933A71"/>
    <w:rsid w:val="009348F0"/>
    <w:rsid w:val="009361A7"/>
    <w:rsid w:val="00942009"/>
    <w:rsid w:val="00943D2C"/>
    <w:rsid w:val="00943E3F"/>
    <w:rsid w:val="0094625F"/>
    <w:rsid w:val="00964A1D"/>
    <w:rsid w:val="009650DC"/>
    <w:rsid w:val="00967237"/>
    <w:rsid w:val="009752FC"/>
    <w:rsid w:val="00975E59"/>
    <w:rsid w:val="00976BE2"/>
    <w:rsid w:val="00981257"/>
    <w:rsid w:val="009840D7"/>
    <w:rsid w:val="00984110"/>
    <w:rsid w:val="00990CE1"/>
    <w:rsid w:val="00993A9C"/>
    <w:rsid w:val="009A0863"/>
    <w:rsid w:val="009A21D5"/>
    <w:rsid w:val="009A2D88"/>
    <w:rsid w:val="009A65F9"/>
    <w:rsid w:val="009A759B"/>
    <w:rsid w:val="009A7CEA"/>
    <w:rsid w:val="009B0BEB"/>
    <w:rsid w:val="009B35F3"/>
    <w:rsid w:val="009B6415"/>
    <w:rsid w:val="009B76CD"/>
    <w:rsid w:val="009C0914"/>
    <w:rsid w:val="009C1B8F"/>
    <w:rsid w:val="009C2620"/>
    <w:rsid w:val="009C505C"/>
    <w:rsid w:val="009C673D"/>
    <w:rsid w:val="009C6F14"/>
    <w:rsid w:val="009D053D"/>
    <w:rsid w:val="009D17D9"/>
    <w:rsid w:val="009D68F0"/>
    <w:rsid w:val="009D7A2C"/>
    <w:rsid w:val="009E1373"/>
    <w:rsid w:val="009E692B"/>
    <w:rsid w:val="009F00E7"/>
    <w:rsid w:val="009F0B68"/>
    <w:rsid w:val="009F0E78"/>
    <w:rsid w:val="009F6FED"/>
    <w:rsid w:val="009F79D7"/>
    <w:rsid w:val="00A0081D"/>
    <w:rsid w:val="00A02304"/>
    <w:rsid w:val="00A11EF4"/>
    <w:rsid w:val="00A1471E"/>
    <w:rsid w:val="00A170DB"/>
    <w:rsid w:val="00A2207A"/>
    <w:rsid w:val="00A22648"/>
    <w:rsid w:val="00A233DC"/>
    <w:rsid w:val="00A26FB3"/>
    <w:rsid w:val="00A31289"/>
    <w:rsid w:val="00A339EA"/>
    <w:rsid w:val="00A34183"/>
    <w:rsid w:val="00A4041D"/>
    <w:rsid w:val="00A40B9B"/>
    <w:rsid w:val="00A42B38"/>
    <w:rsid w:val="00A44412"/>
    <w:rsid w:val="00A44A19"/>
    <w:rsid w:val="00A44D7B"/>
    <w:rsid w:val="00A46ED7"/>
    <w:rsid w:val="00A516D2"/>
    <w:rsid w:val="00A53D79"/>
    <w:rsid w:val="00A545FA"/>
    <w:rsid w:val="00A56847"/>
    <w:rsid w:val="00A6148D"/>
    <w:rsid w:val="00A6431F"/>
    <w:rsid w:val="00A65F9E"/>
    <w:rsid w:val="00A7193A"/>
    <w:rsid w:val="00A809C8"/>
    <w:rsid w:val="00A90BCB"/>
    <w:rsid w:val="00A9190D"/>
    <w:rsid w:val="00A91F08"/>
    <w:rsid w:val="00A92224"/>
    <w:rsid w:val="00A92DDD"/>
    <w:rsid w:val="00A94804"/>
    <w:rsid w:val="00AA3F58"/>
    <w:rsid w:val="00AA473C"/>
    <w:rsid w:val="00AB0F9B"/>
    <w:rsid w:val="00AC1EAD"/>
    <w:rsid w:val="00AC2C65"/>
    <w:rsid w:val="00AC3732"/>
    <w:rsid w:val="00AC5108"/>
    <w:rsid w:val="00AD2FAA"/>
    <w:rsid w:val="00AD57DB"/>
    <w:rsid w:val="00AE28CA"/>
    <w:rsid w:val="00AF27FF"/>
    <w:rsid w:val="00AF5D1C"/>
    <w:rsid w:val="00B02E09"/>
    <w:rsid w:val="00B06CC6"/>
    <w:rsid w:val="00B1687B"/>
    <w:rsid w:val="00B21E31"/>
    <w:rsid w:val="00B2426B"/>
    <w:rsid w:val="00B260B5"/>
    <w:rsid w:val="00B309AE"/>
    <w:rsid w:val="00B4748C"/>
    <w:rsid w:val="00B5027B"/>
    <w:rsid w:val="00B52398"/>
    <w:rsid w:val="00B53288"/>
    <w:rsid w:val="00B53B07"/>
    <w:rsid w:val="00B53C4C"/>
    <w:rsid w:val="00B546C5"/>
    <w:rsid w:val="00B557EB"/>
    <w:rsid w:val="00B6037E"/>
    <w:rsid w:val="00B61010"/>
    <w:rsid w:val="00B61FAC"/>
    <w:rsid w:val="00B64EB6"/>
    <w:rsid w:val="00B6766E"/>
    <w:rsid w:val="00B71D37"/>
    <w:rsid w:val="00B75D81"/>
    <w:rsid w:val="00B77855"/>
    <w:rsid w:val="00B80E25"/>
    <w:rsid w:val="00B84AF9"/>
    <w:rsid w:val="00B8794D"/>
    <w:rsid w:val="00B90F89"/>
    <w:rsid w:val="00B91631"/>
    <w:rsid w:val="00B97B66"/>
    <w:rsid w:val="00BA0103"/>
    <w:rsid w:val="00BA0236"/>
    <w:rsid w:val="00BA1E0D"/>
    <w:rsid w:val="00BA2AA0"/>
    <w:rsid w:val="00BA6F19"/>
    <w:rsid w:val="00BB5954"/>
    <w:rsid w:val="00BB5D04"/>
    <w:rsid w:val="00BB5FC0"/>
    <w:rsid w:val="00BC0D75"/>
    <w:rsid w:val="00BC3160"/>
    <w:rsid w:val="00BD1CCB"/>
    <w:rsid w:val="00BD2F86"/>
    <w:rsid w:val="00BD31CC"/>
    <w:rsid w:val="00BD49B9"/>
    <w:rsid w:val="00BD5FAE"/>
    <w:rsid w:val="00BE0F89"/>
    <w:rsid w:val="00BE17C6"/>
    <w:rsid w:val="00BE4072"/>
    <w:rsid w:val="00BE7B45"/>
    <w:rsid w:val="00BE7CE3"/>
    <w:rsid w:val="00BF0C0D"/>
    <w:rsid w:val="00BF41F9"/>
    <w:rsid w:val="00BF502F"/>
    <w:rsid w:val="00BF617A"/>
    <w:rsid w:val="00C00BB5"/>
    <w:rsid w:val="00C00F58"/>
    <w:rsid w:val="00C01F96"/>
    <w:rsid w:val="00C01FEE"/>
    <w:rsid w:val="00C029AC"/>
    <w:rsid w:val="00C06A15"/>
    <w:rsid w:val="00C16DE1"/>
    <w:rsid w:val="00C22B09"/>
    <w:rsid w:val="00C32B24"/>
    <w:rsid w:val="00C40C41"/>
    <w:rsid w:val="00C41033"/>
    <w:rsid w:val="00C410C7"/>
    <w:rsid w:val="00C43D36"/>
    <w:rsid w:val="00C4619E"/>
    <w:rsid w:val="00C5004B"/>
    <w:rsid w:val="00C503C3"/>
    <w:rsid w:val="00C515D6"/>
    <w:rsid w:val="00C52386"/>
    <w:rsid w:val="00C545B5"/>
    <w:rsid w:val="00C56A99"/>
    <w:rsid w:val="00C610B5"/>
    <w:rsid w:val="00C63646"/>
    <w:rsid w:val="00C63A08"/>
    <w:rsid w:val="00C6451C"/>
    <w:rsid w:val="00C7232E"/>
    <w:rsid w:val="00C73B28"/>
    <w:rsid w:val="00C74C2C"/>
    <w:rsid w:val="00C7692F"/>
    <w:rsid w:val="00C820B3"/>
    <w:rsid w:val="00C822F0"/>
    <w:rsid w:val="00C82398"/>
    <w:rsid w:val="00C85AB8"/>
    <w:rsid w:val="00C869C7"/>
    <w:rsid w:val="00C90C38"/>
    <w:rsid w:val="00C91BD6"/>
    <w:rsid w:val="00C92152"/>
    <w:rsid w:val="00C92F3E"/>
    <w:rsid w:val="00C93B2A"/>
    <w:rsid w:val="00C95722"/>
    <w:rsid w:val="00C97D92"/>
    <w:rsid w:val="00CA075D"/>
    <w:rsid w:val="00CA0E28"/>
    <w:rsid w:val="00CA682D"/>
    <w:rsid w:val="00CB19B9"/>
    <w:rsid w:val="00CB70D0"/>
    <w:rsid w:val="00CC0458"/>
    <w:rsid w:val="00CC2D4C"/>
    <w:rsid w:val="00CC4794"/>
    <w:rsid w:val="00CC53D3"/>
    <w:rsid w:val="00CC571A"/>
    <w:rsid w:val="00CC5A6D"/>
    <w:rsid w:val="00CD4858"/>
    <w:rsid w:val="00CD4B50"/>
    <w:rsid w:val="00CE169F"/>
    <w:rsid w:val="00CE19DE"/>
    <w:rsid w:val="00CE709D"/>
    <w:rsid w:val="00CF0E6E"/>
    <w:rsid w:val="00CF54B0"/>
    <w:rsid w:val="00CF6AB6"/>
    <w:rsid w:val="00D11A6E"/>
    <w:rsid w:val="00D13D20"/>
    <w:rsid w:val="00D1408F"/>
    <w:rsid w:val="00D14E31"/>
    <w:rsid w:val="00D17341"/>
    <w:rsid w:val="00D177F1"/>
    <w:rsid w:val="00D213C6"/>
    <w:rsid w:val="00D21EB0"/>
    <w:rsid w:val="00D22A03"/>
    <w:rsid w:val="00D23C99"/>
    <w:rsid w:val="00D26EAC"/>
    <w:rsid w:val="00D30D04"/>
    <w:rsid w:val="00D31A74"/>
    <w:rsid w:val="00D324BE"/>
    <w:rsid w:val="00D33C08"/>
    <w:rsid w:val="00D340A6"/>
    <w:rsid w:val="00D343A1"/>
    <w:rsid w:val="00D3655F"/>
    <w:rsid w:val="00D37106"/>
    <w:rsid w:val="00D40E16"/>
    <w:rsid w:val="00D412C1"/>
    <w:rsid w:val="00D43310"/>
    <w:rsid w:val="00D4543D"/>
    <w:rsid w:val="00D53893"/>
    <w:rsid w:val="00D57164"/>
    <w:rsid w:val="00D6396C"/>
    <w:rsid w:val="00D64A8E"/>
    <w:rsid w:val="00D65F0F"/>
    <w:rsid w:val="00D6622B"/>
    <w:rsid w:val="00D66E22"/>
    <w:rsid w:val="00D678E8"/>
    <w:rsid w:val="00D67AF8"/>
    <w:rsid w:val="00D70CBB"/>
    <w:rsid w:val="00D7615F"/>
    <w:rsid w:val="00D777CE"/>
    <w:rsid w:val="00D81612"/>
    <w:rsid w:val="00D8381D"/>
    <w:rsid w:val="00D8439A"/>
    <w:rsid w:val="00D85629"/>
    <w:rsid w:val="00D92208"/>
    <w:rsid w:val="00D92588"/>
    <w:rsid w:val="00D932F6"/>
    <w:rsid w:val="00D94D48"/>
    <w:rsid w:val="00D95983"/>
    <w:rsid w:val="00D9601E"/>
    <w:rsid w:val="00D965F1"/>
    <w:rsid w:val="00DA0484"/>
    <w:rsid w:val="00DA1229"/>
    <w:rsid w:val="00DA3A17"/>
    <w:rsid w:val="00DA4973"/>
    <w:rsid w:val="00DA4AAF"/>
    <w:rsid w:val="00DA732A"/>
    <w:rsid w:val="00DA7CC7"/>
    <w:rsid w:val="00DB143C"/>
    <w:rsid w:val="00DB19BF"/>
    <w:rsid w:val="00DB1BFB"/>
    <w:rsid w:val="00DB2F2F"/>
    <w:rsid w:val="00DB3F5A"/>
    <w:rsid w:val="00DB4BB7"/>
    <w:rsid w:val="00DB6CF1"/>
    <w:rsid w:val="00DC0CEE"/>
    <w:rsid w:val="00DC3C74"/>
    <w:rsid w:val="00DD1D9F"/>
    <w:rsid w:val="00DD5FCA"/>
    <w:rsid w:val="00DE550D"/>
    <w:rsid w:val="00DF18C7"/>
    <w:rsid w:val="00DF5C2C"/>
    <w:rsid w:val="00E0005C"/>
    <w:rsid w:val="00E0250E"/>
    <w:rsid w:val="00E15698"/>
    <w:rsid w:val="00E15972"/>
    <w:rsid w:val="00E36CE1"/>
    <w:rsid w:val="00E435F4"/>
    <w:rsid w:val="00E43EBB"/>
    <w:rsid w:val="00E45C6C"/>
    <w:rsid w:val="00E479B3"/>
    <w:rsid w:val="00E508D7"/>
    <w:rsid w:val="00E5159A"/>
    <w:rsid w:val="00E559CD"/>
    <w:rsid w:val="00E60677"/>
    <w:rsid w:val="00E610B4"/>
    <w:rsid w:val="00E6157D"/>
    <w:rsid w:val="00E62F0A"/>
    <w:rsid w:val="00E643DA"/>
    <w:rsid w:val="00E70D9F"/>
    <w:rsid w:val="00E71135"/>
    <w:rsid w:val="00E71709"/>
    <w:rsid w:val="00E718D6"/>
    <w:rsid w:val="00E71BFA"/>
    <w:rsid w:val="00E72067"/>
    <w:rsid w:val="00E73DCB"/>
    <w:rsid w:val="00E74577"/>
    <w:rsid w:val="00E85B26"/>
    <w:rsid w:val="00E87628"/>
    <w:rsid w:val="00E92E8E"/>
    <w:rsid w:val="00E94228"/>
    <w:rsid w:val="00E9532C"/>
    <w:rsid w:val="00E9587E"/>
    <w:rsid w:val="00E966F6"/>
    <w:rsid w:val="00EA06A2"/>
    <w:rsid w:val="00EA0B70"/>
    <w:rsid w:val="00EA4EA5"/>
    <w:rsid w:val="00EA5718"/>
    <w:rsid w:val="00EA739F"/>
    <w:rsid w:val="00EB075F"/>
    <w:rsid w:val="00EB351F"/>
    <w:rsid w:val="00EB5A28"/>
    <w:rsid w:val="00EB5D53"/>
    <w:rsid w:val="00EC135F"/>
    <w:rsid w:val="00EC350E"/>
    <w:rsid w:val="00EC53C5"/>
    <w:rsid w:val="00ED11D7"/>
    <w:rsid w:val="00ED34F5"/>
    <w:rsid w:val="00EE23EC"/>
    <w:rsid w:val="00EE3773"/>
    <w:rsid w:val="00EE440C"/>
    <w:rsid w:val="00EE4FBE"/>
    <w:rsid w:val="00EE62EB"/>
    <w:rsid w:val="00EF053D"/>
    <w:rsid w:val="00EF3242"/>
    <w:rsid w:val="00EF33AC"/>
    <w:rsid w:val="00EF46D6"/>
    <w:rsid w:val="00EF5F37"/>
    <w:rsid w:val="00F00E96"/>
    <w:rsid w:val="00F07052"/>
    <w:rsid w:val="00F077C0"/>
    <w:rsid w:val="00F1230B"/>
    <w:rsid w:val="00F151C4"/>
    <w:rsid w:val="00F16AA4"/>
    <w:rsid w:val="00F24515"/>
    <w:rsid w:val="00F2487B"/>
    <w:rsid w:val="00F2657A"/>
    <w:rsid w:val="00F46FC1"/>
    <w:rsid w:val="00F4749B"/>
    <w:rsid w:val="00F51D12"/>
    <w:rsid w:val="00F53BE6"/>
    <w:rsid w:val="00F552FC"/>
    <w:rsid w:val="00F6112D"/>
    <w:rsid w:val="00F61503"/>
    <w:rsid w:val="00F65979"/>
    <w:rsid w:val="00F7088B"/>
    <w:rsid w:val="00F72C94"/>
    <w:rsid w:val="00F72E47"/>
    <w:rsid w:val="00F73A1D"/>
    <w:rsid w:val="00F747B5"/>
    <w:rsid w:val="00F7602B"/>
    <w:rsid w:val="00F76255"/>
    <w:rsid w:val="00F7654E"/>
    <w:rsid w:val="00F77148"/>
    <w:rsid w:val="00F81236"/>
    <w:rsid w:val="00F825E7"/>
    <w:rsid w:val="00F837DE"/>
    <w:rsid w:val="00F8699E"/>
    <w:rsid w:val="00F8720A"/>
    <w:rsid w:val="00F87567"/>
    <w:rsid w:val="00F924F2"/>
    <w:rsid w:val="00F944B8"/>
    <w:rsid w:val="00F9714F"/>
    <w:rsid w:val="00F97478"/>
    <w:rsid w:val="00FA010F"/>
    <w:rsid w:val="00FA2320"/>
    <w:rsid w:val="00FA28D4"/>
    <w:rsid w:val="00FA687E"/>
    <w:rsid w:val="00FA7124"/>
    <w:rsid w:val="00FA7990"/>
    <w:rsid w:val="00FB1178"/>
    <w:rsid w:val="00FB1E4F"/>
    <w:rsid w:val="00FB65B8"/>
    <w:rsid w:val="00FB72A2"/>
    <w:rsid w:val="00FB7875"/>
    <w:rsid w:val="00FC1A50"/>
    <w:rsid w:val="00FC4F22"/>
    <w:rsid w:val="00FC7694"/>
    <w:rsid w:val="00FD0E85"/>
    <w:rsid w:val="00FD7F73"/>
    <w:rsid w:val="00FE0757"/>
    <w:rsid w:val="00FE434A"/>
    <w:rsid w:val="00FF0212"/>
    <w:rsid w:val="00FF0D53"/>
    <w:rsid w:val="00FF1BF4"/>
    <w:rsid w:val="00FF245C"/>
    <w:rsid w:val="00FF5353"/>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5E52EB0A"/>
  <w15:chartTrackingRefBased/>
  <w15:docId w15:val="{66BB6E44-4D7A-4BD0-B5AC-2CBBC9F3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D0341"/>
    <w:pPr>
      <w:jc w:val="both"/>
    </w:pPr>
    <w:rPr>
      <w:rFonts w:ascii="Vinci Sans" w:hAnsi="Vinci Sans"/>
      <w:sz w:val="22"/>
      <w:lang w:eastAsia="fr-FR" w:val="fr-FR"/>
    </w:rPr>
  </w:style>
  <w:style w:styleId="Titre1" w:type="paragraph">
    <w:name w:val="heading 1"/>
    <w:basedOn w:val="Normal"/>
    <w:next w:val="Normal"/>
    <w:qFormat/>
    <w:rsid w:val="00672E37"/>
    <w:pPr>
      <w:jc w:val="center"/>
      <w:outlineLvl w:val="0"/>
    </w:pPr>
    <w:rPr>
      <w:b/>
      <w:bCs/>
      <w:color w:themeColor="accent2" w:themeShade="80" w:val="234F77"/>
      <w:sz w:val="32"/>
    </w:rPr>
  </w:style>
  <w:style w:styleId="Titre2" w:type="paragraph">
    <w:name w:val="heading 2"/>
    <w:basedOn w:val="Texte"/>
    <w:next w:val="Normal"/>
    <w:link w:val="Titre2Car"/>
    <w:qFormat/>
    <w:rsid w:val="005D0341"/>
    <w:pPr>
      <w:numPr>
        <w:numId w:val="2"/>
      </w:numPr>
      <w:spacing w:before="120"/>
      <w:outlineLvl w:val="1"/>
    </w:pPr>
    <w:rPr>
      <w:rFonts w:ascii="Vinci Sans" w:hAnsi="Vinci Sans"/>
      <w:b/>
      <w:color w:themeColor="accent3" w:themeShade="80" w:val="143F6A"/>
      <w:sz w:val="24"/>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rsid w:val="00295784"/>
    <w:pPr>
      <w:tabs>
        <w:tab w:pos="4536" w:val="center"/>
        <w:tab w:pos="9072" w:val="right"/>
      </w:tabs>
    </w:pPr>
  </w:style>
  <w:style w:styleId="Pieddepage" w:type="paragraph">
    <w:name w:val="footer"/>
    <w:basedOn w:val="Normal"/>
    <w:rsid w:val="00295784"/>
    <w:pPr>
      <w:tabs>
        <w:tab w:pos="4536" w:val="center"/>
        <w:tab w:pos="9072" w:val="right"/>
      </w:tabs>
    </w:pPr>
  </w:style>
  <w:style w:styleId="Numrodepage" w:type="character">
    <w:name w:val="page number"/>
    <w:basedOn w:val="Policepardfaut"/>
    <w:rsid w:val="00295784"/>
  </w:style>
  <w:style w:styleId="Textedebulles" w:type="paragraph">
    <w:name w:val="Balloon Text"/>
    <w:basedOn w:val="Normal"/>
    <w:semiHidden/>
    <w:rsid w:val="00236FE1"/>
    <w:rPr>
      <w:rFonts w:ascii="Tahoma" w:cs="Tahoma" w:hAnsi="Tahoma"/>
      <w:sz w:val="16"/>
      <w:szCs w:val="16"/>
    </w:rPr>
  </w:style>
  <w:style w:customStyle="1" w:styleId="Texte" w:type="paragraph">
    <w:name w:val="Texte"/>
    <w:rsid w:val="0021079A"/>
    <w:pPr>
      <w:ind w:left="567"/>
      <w:jc w:val="both"/>
    </w:pPr>
    <w:rPr>
      <w:rFonts w:ascii="Helvetica" w:hAnsi="Helvetica"/>
      <w:color w:val="000000"/>
      <w:sz w:val="22"/>
      <w:lang w:eastAsia="fr-FR" w:val="fr-FR"/>
    </w:rPr>
  </w:style>
  <w:style w:styleId="Listepuces" w:type="paragraph">
    <w:name w:val="List Bullet"/>
    <w:basedOn w:val="Normal"/>
    <w:rsid w:val="009A21D5"/>
    <w:pPr>
      <w:numPr>
        <w:ilvl w:val="3"/>
        <w:numId w:val="1"/>
      </w:numPr>
    </w:pPr>
  </w:style>
  <w:style w:styleId="Grilledutableau" w:type="table">
    <w:name w:val="Table Grid"/>
    <w:basedOn w:val="TableauNormal"/>
    <w:rsid w:val="005C5B83"/>
    <w:pPr>
      <w:spacing w:after="200" w:line="276" w:lineRule="auto"/>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 w:type="paragraph">
    <w:name w:val="List"/>
    <w:basedOn w:val="Normal"/>
    <w:rsid w:val="005C5B83"/>
    <w:pPr>
      <w:spacing w:after="200" w:line="276" w:lineRule="auto"/>
      <w:ind w:hanging="283" w:left="283"/>
    </w:pPr>
    <w:rPr>
      <w:rFonts w:ascii="Verdana" w:hAnsi="Verdana"/>
      <w:szCs w:val="22"/>
    </w:rPr>
  </w:style>
  <w:style w:styleId="NormalWeb" w:type="paragraph">
    <w:name w:val="Normal (Web)"/>
    <w:basedOn w:val="Normal"/>
    <w:rsid w:val="0072378F"/>
    <w:pPr>
      <w:spacing w:after="100" w:afterAutospacing="1" w:before="100" w:beforeAutospacing="1"/>
    </w:pPr>
  </w:style>
  <w:style w:styleId="Corpsdetexte2" w:type="paragraph">
    <w:name w:val="Body Text 2"/>
    <w:basedOn w:val="Normal"/>
    <w:rsid w:val="0072378F"/>
    <w:rPr>
      <w:rFonts w:ascii="Tahoma" w:cs="Tahoma" w:hAnsi="Tahoma"/>
      <w:b/>
      <w:bCs/>
      <w:u w:val="single"/>
    </w:rPr>
  </w:style>
  <w:style w:styleId="Retraitcorpsdetexte3" w:type="paragraph">
    <w:name w:val="Body Text Indent 3"/>
    <w:basedOn w:val="Normal"/>
    <w:rsid w:val="0072378F"/>
    <w:pPr>
      <w:spacing w:after="120"/>
      <w:ind w:left="283"/>
    </w:pPr>
    <w:rPr>
      <w:sz w:val="16"/>
      <w:szCs w:val="16"/>
    </w:rPr>
  </w:style>
  <w:style w:customStyle="1" w:styleId="Default" w:type="paragraph">
    <w:name w:val="Default"/>
    <w:rsid w:val="003F5BCF"/>
    <w:pPr>
      <w:autoSpaceDE w:val="0"/>
      <w:autoSpaceDN w:val="0"/>
      <w:adjustRightInd w:val="0"/>
    </w:pPr>
    <w:rPr>
      <w:color w:val="000000"/>
      <w:sz w:val="24"/>
      <w:szCs w:val="24"/>
      <w:lang w:eastAsia="fr-FR" w:val="fr-FR"/>
    </w:rPr>
  </w:style>
  <w:style w:styleId="Paragraphedeliste" w:type="paragraph">
    <w:name w:val="List Paragraph"/>
    <w:basedOn w:val="Normal"/>
    <w:uiPriority w:val="34"/>
    <w:qFormat/>
    <w:rsid w:val="00CD4B50"/>
    <w:pPr>
      <w:ind w:left="720"/>
      <w:contextualSpacing/>
    </w:pPr>
  </w:style>
  <w:style w:styleId="Sansinterligne" w:type="paragraph">
    <w:name w:val="No Spacing"/>
    <w:basedOn w:val="Paragraphedeliste"/>
    <w:uiPriority w:val="1"/>
    <w:qFormat/>
    <w:rsid w:val="00CD4B50"/>
    <w:pPr>
      <w:numPr>
        <w:numId w:val="3"/>
      </w:numPr>
    </w:pPr>
    <w:rPr>
      <w:b/>
      <w:i/>
    </w:rPr>
  </w:style>
  <w:style w:styleId="TableauGrille4-Accentuation3" w:type="table">
    <w:name w:val="Grid Table 4 Accent 3"/>
    <w:basedOn w:val="TableauNormal"/>
    <w:uiPriority w:val="49"/>
    <w:rsid w:val="008D5079"/>
    <w:tblPr>
      <w:tblStyleRowBandSize w:val="1"/>
      <w:tblStyleColBandSize w:val="1"/>
      <w:tblBorders>
        <w:top w:color="7EB1E6" w:space="0" w:sz="4" w:themeColor="accent3" w:themeTint="99" w:val="single"/>
        <w:left w:color="7EB1E6" w:space="0" w:sz="4" w:themeColor="accent3" w:themeTint="99" w:val="single"/>
        <w:bottom w:color="7EB1E6" w:space="0" w:sz="4" w:themeColor="accent3" w:themeTint="99" w:val="single"/>
        <w:right w:color="7EB1E6" w:space="0" w:sz="4" w:themeColor="accent3" w:themeTint="99" w:val="single"/>
        <w:insideH w:color="7EB1E6" w:space="0" w:sz="4" w:themeColor="accent3" w:themeTint="99" w:val="single"/>
        <w:insideV w:color="7EB1E6" w:space="0" w:sz="4" w:themeColor="accent3" w:themeTint="99" w:val="single"/>
      </w:tblBorders>
    </w:tblPr>
    <w:tblStylePr w:type="firstRow">
      <w:rPr>
        <w:b/>
        <w:bCs/>
        <w:color w:themeColor="background1" w:val="FFFFFF"/>
      </w:rPr>
      <w:tblPr/>
      <w:tcPr>
        <w:tcBorders>
          <w:top w:color="297FD5" w:space="0" w:sz="4" w:themeColor="accent3" w:val="single"/>
          <w:left w:color="297FD5" w:space="0" w:sz="4" w:themeColor="accent3" w:val="single"/>
          <w:bottom w:color="297FD5" w:space="0" w:sz="4" w:themeColor="accent3" w:val="single"/>
          <w:right w:color="297FD5" w:space="0" w:sz="4" w:themeColor="accent3" w:val="single"/>
          <w:insideH w:val="nil"/>
          <w:insideV w:val="nil"/>
        </w:tcBorders>
        <w:shd w:color="auto" w:fill="297FD5" w:themeFill="accent3" w:val="clear"/>
      </w:tcPr>
    </w:tblStylePr>
    <w:tblStylePr w:type="lastRow">
      <w:rPr>
        <w:b/>
        <w:bCs/>
      </w:rPr>
      <w:tblPr/>
      <w:tcPr>
        <w:tcBorders>
          <w:top w:color="297FD5" w:space="0" w:sz="4" w:themeColor="accent3" w:val="double"/>
        </w:tcBorders>
      </w:tcPr>
    </w:tblStylePr>
    <w:tblStylePr w:type="firstCol">
      <w:rPr>
        <w:b/>
        <w:bCs/>
      </w:rPr>
    </w:tblStylePr>
    <w:tblStylePr w:type="lastCol">
      <w:rPr>
        <w:b/>
        <w:bCs/>
      </w:rPr>
    </w:tblStylePr>
    <w:tblStylePr w:type="band1Vert">
      <w:tblPr/>
      <w:tcPr>
        <w:shd w:color="auto" w:fill="D3E5F6" w:themeFill="accent3" w:themeFillTint="33" w:val="clear"/>
      </w:tcPr>
    </w:tblStylePr>
    <w:tblStylePr w:type="band1Horz">
      <w:tblPr/>
      <w:tcPr>
        <w:shd w:color="auto" w:fill="D3E5F6" w:themeFill="accent3" w:themeFillTint="33" w:val="clear"/>
      </w:tcPr>
    </w:tblStylePr>
  </w:style>
  <w:style w:styleId="TableauGrille5Fonc-Accentuation6" w:type="table">
    <w:name w:val="Grid Table 5 Dark Accent 6"/>
    <w:basedOn w:val="TableauNormal"/>
    <w:uiPriority w:val="50"/>
    <w:rsid w:val="008D507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E8EC"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D90A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D90A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D90A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D90A0" w:themeFill="accent6" w:val="clear"/>
      </w:tcPr>
    </w:tblStylePr>
    <w:tblStylePr w:type="band1Vert">
      <w:tblPr/>
      <w:tcPr>
        <w:shd w:color="auto" w:fill="D7D2D9" w:themeFill="accent6" w:themeFillTint="66" w:val="clear"/>
      </w:tcPr>
    </w:tblStylePr>
    <w:tblStylePr w:type="band1Horz">
      <w:tblPr/>
      <w:tcPr>
        <w:shd w:color="auto" w:fill="D7D2D9" w:themeFill="accent6" w:themeFillTint="66" w:val="clear"/>
      </w:tcPr>
    </w:tblStylePr>
  </w:style>
  <w:style w:styleId="TableauGrille5Fonc-Accentuation2" w:type="table">
    <w:name w:val="Grid Table 5 Dark Accent 2"/>
    <w:basedOn w:val="TableauNormal"/>
    <w:uiPriority w:val="50"/>
    <w:rsid w:val="008D507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FEBF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629DD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629DD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629DD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629DD1" w:themeFill="accent2" w:val="clear"/>
      </w:tcPr>
    </w:tblStylePr>
    <w:tblStylePr w:type="band1Vert">
      <w:tblPr/>
      <w:tcPr>
        <w:shd w:color="auto" w:fill="C0D7EC" w:themeFill="accent2" w:themeFillTint="66" w:val="clear"/>
      </w:tcPr>
    </w:tblStylePr>
    <w:tblStylePr w:type="band1Horz">
      <w:tblPr/>
      <w:tcPr>
        <w:shd w:color="auto" w:fill="C0D7EC" w:themeFill="accent2" w:themeFillTint="66" w:val="clear"/>
      </w:tcPr>
    </w:tblStylePr>
  </w:style>
  <w:style w:styleId="TableauListe6Couleur-Accentuation1" w:type="table">
    <w:name w:val="List Table 6 Colorful Accent 1"/>
    <w:basedOn w:val="TableauNormal"/>
    <w:uiPriority w:val="51"/>
    <w:rsid w:val="008D5079"/>
    <w:rPr>
      <w:color w:themeColor="accent1" w:themeShade="BF" w:val="374C80"/>
    </w:rPr>
    <w:tblPr>
      <w:tblStyleRowBandSize w:val="1"/>
      <w:tblStyleColBandSize w:val="1"/>
      <w:tblBorders>
        <w:top w:color="4A66AC" w:space="0" w:sz="4" w:themeColor="accent1" w:val="single"/>
        <w:bottom w:color="4A66AC" w:space="0" w:sz="4" w:themeColor="accent1" w:val="single"/>
      </w:tblBorders>
    </w:tblPr>
    <w:tblStylePr w:type="firstRow">
      <w:rPr>
        <w:b/>
        <w:bCs/>
      </w:rPr>
      <w:tblPr/>
      <w:tcPr>
        <w:tcBorders>
          <w:bottom w:color="4A66AC" w:space="0" w:sz="4" w:themeColor="accent1" w:val="single"/>
        </w:tcBorders>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Tableausimple5" w:type="table">
    <w:name w:val="Plain Table 5"/>
    <w:basedOn w:val="TableauNormal"/>
    <w:uiPriority w:val="45"/>
    <w:rsid w:val="00FA28D4"/>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enhypertexte" w:type="character">
    <w:name w:val="Hyperlink"/>
    <w:basedOn w:val="Policepardfaut"/>
    <w:rsid w:val="00EE23EC"/>
    <w:rPr>
      <w:color w:themeColor="hyperlink" w:val="9454C3"/>
      <w:u w:val="single"/>
    </w:rPr>
  </w:style>
  <w:style w:styleId="Mentionnonrsolue" w:type="character">
    <w:name w:val="Unresolved Mention"/>
    <w:basedOn w:val="Policepardfaut"/>
    <w:uiPriority w:val="99"/>
    <w:semiHidden/>
    <w:unhideWhenUsed/>
    <w:rsid w:val="00EE23EC"/>
    <w:rPr>
      <w:color w:val="808080"/>
      <w:shd w:color="auto" w:fill="E6E6E6" w:val="clear"/>
    </w:rPr>
  </w:style>
  <w:style w:styleId="TableauGrille1Clair" w:type="table">
    <w:name w:val="Grid Table 1 Light"/>
    <w:basedOn w:val="TableauNormal"/>
    <w:uiPriority w:val="46"/>
    <w:rsid w:val="00C7232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Tableausimple3" w:type="table">
    <w:name w:val="Plain Table 3"/>
    <w:basedOn w:val="TableauNormal"/>
    <w:uiPriority w:val="43"/>
    <w:rsid w:val="00C7232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Titre2Car" w:type="character">
    <w:name w:val="Titre 2 Car"/>
    <w:basedOn w:val="Policepardfaut"/>
    <w:link w:val="Titre2"/>
    <w:rsid w:val="00D43310"/>
    <w:rPr>
      <w:rFonts w:ascii="Vinci Sans" w:hAnsi="Vinci Sans"/>
      <w:b/>
      <w:color w:themeColor="accent3" w:themeShade="80" w:val="143F6A"/>
      <w:sz w:val="24"/>
      <w:u w:val="single"/>
      <w:lang w:eastAsia="fr-FR" w:val="fr-FR"/>
    </w:rPr>
  </w:style>
  <w:style w:styleId="lev" w:type="character">
    <w:name w:val="Strong"/>
    <w:basedOn w:val="Policepardfaut"/>
    <w:qFormat/>
    <w:rsid w:val="00D43310"/>
    <w:rPr>
      <w:b/>
      <w:bCs/>
    </w:rPr>
  </w:style>
  <w:style w:styleId="Lienhypertextesuivivisit" w:type="character">
    <w:name w:val="FollowedHyperlink"/>
    <w:basedOn w:val="Policepardfaut"/>
    <w:rsid w:val="00D33C08"/>
    <w:rPr>
      <w:color w:themeColor="followedHyperlink" w:val="3EBBF0"/>
      <w:u w:val="single"/>
    </w:rPr>
  </w:style>
  <w:style w:styleId="Marquedecommentaire" w:type="character">
    <w:name w:val="annotation reference"/>
    <w:basedOn w:val="Policepardfaut"/>
    <w:rsid w:val="006E137E"/>
    <w:rPr>
      <w:sz w:val="16"/>
      <w:szCs w:val="16"/>
    </w:rPr>
  </w:style>
  <w:style w:styleId="Commentaire" w:type="paragraph">
    <w:name w:val="annotation text"/>
    <w:basedOn w:val="Normal"/>
    <w:link w:val="CommentaireCar"/>
    <w:rsid w:val="006E137E"/>
    <w:rPr>
      <w:sz w:val="20"/>
    </w:rPr>
  </w:style>
  <w:style w:customStyle="1" w:styleId="CommentaireCar" w:type="character">
    <w:name w:val="Commentaire Car"/>
    <w:basedOn w:val="Policepardfaut"/>
    <w:link w:val="Commentaire"/>
    <w:rsid w:val="006E137E"/>
    <w:rPr>
      <w:rFonts w:ascii="Vinci Sans" w:hAnsi="Vinci Sans"/>
      <w:lang w:eastAsia="fr-FR" w:val="fr-FR"/>
    </w:rPr>
  </w:style>
  <w:style w:styleId="Objetducommentaire" w:type="paragraph">
    <w:name w:val="annotation subject"/>
    <w:basedOn w:val="Commentaire"/>
    <w:next w:val="Commentaire"/>
    <w:link w:val="ObjetducommentaireCar"/>
    <w:rsid w:val="006E137E"/>
    <w:rPr>
      <w:b/>
      <w:bCs/>
    </w:rPr>
  </w:style>
  <w:style w:customStyle="1" w:styleId="ObjetducommentaireCar" w:type="character">
    <w:name w:val="Objet du commentaire Car"/>
    <w:basedOn w:val="CommentaireCar"/>
    <w:link w:val="Objetducommentaire"/>
    <w:rsid w:val="006E137E"/>
    <w:rPr>
      <w:rFonts w:ascii="Vinci Sans" w:hAnsi="Vinci Sans"/>
      <w:b/>
      <w:bCs/>
      <w:lang w:eastAsia="fr-FR" w:val="fr-FR"/>
    </w:rPr>
  </w:style>
  <w:style w:styleId="TableauGrille2-Accentuation1" w:type="table">
    <w:name w:val="Grid Table 2 Accent 1"/>
    <w:basedOn w:val="TableauNormal"/>
    <w:uiPriority w:val="47"/>
    <w:rsid w:val="000F1FCB"/>
    <w:tblPr>
      <w:tblStyleRowBandSize w:val="1"/>
      <w:tblStyleColBandSize w:val="1"/>
      <w:tblBorders>
        <w:top w:color="90A1CF" w:space="0" w:sz="2" w:themeColor="accent1" w:themeTint="99" w:val="single"/>
        <w:bottom w:color="90A1CF" w:space="0" w:sz="2" w:themeColor="accent1" w:themeTint="99" w:val="single"/>
        <w:insideH w:color="90A1CF" w:space="0" w:sz="2" w:themeColor="accent1" w:themeTint="99" w:val="single"/>
        <w:insideV w:color="90A1CF" w:space="0" w:sz="2" w:themeColor="accent1" w:themeTint="99" w:val="single"/>
      </w:tblBorders>
    </w:tblPr>
    <w:tblStylePr w:type="firstRow">
      <w:rPr>
        <w:b/>
        <w:bCs/>
      </w:rPr>
      <w:tblPr/>
      <w:tcPr>
        <w:tcBorders>
          <w:top w:val="nil"/>
          <w:bottom w:color="90A1CF" w:space="0" w:sz="12" w:themeColor="accent1" w:themeTint="99" w:val="single"/>
          <w:insideH w:val="nil"/>
          <w:insideV w:val="nil"/>
        </w:tcBorders>
        <w:shd w:color="auto" w:fill="FFFFFF" w:themeFill="background1" w:val="clear"/>
      </w:tcPr>
    </w:tblStylePr>
    <w:tblStylePr w:type="lastRow">
      <w:rPr>
        <w:b/>
        <w:bCs/>
      </w:rPr>
      <w:tblPr/>
      <w:tcPr>
        <w:tcBorders>
          <w:top w:color="90A1CF"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TableauGrille4-Accentuation1" w:type="table">
    <w:name w:val="Grid Table 4 Accent 1"/>
    <w:basedOn w:val="TableauNormal"/>
    <w:uiPriority w:val="49"/>
    <w:rsid w:val="00BD49B9"/>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insideV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insideV w:val="nil"/>
        </w:tcBorders>
        <w:shd w:color="auto" w:fill="4A66AC" w:themeFill="accent1" w:val="clear"/>
      </w:tcPr>
    </w:tblStylePr>
    <w:tblStylePr w:type="lastRow">
      <w:rPr>
        <w:b/>
        <w:bCs/>
      </w:rPr>
      <w:tblPr/>
      <w:tcPr>
        <w:tcBorders>
          <w:top w:color="4A66AC" w:space="0" w:sz="4" w:themeColor="accent1"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 w:styleId="TableauListe3-Accentuation1" w:type="table">
    <w:name w:val="List Table 3 Accent 1"/>
    <w:basedOn w:val="TableauNormal"/>
    <w:uiPriority w:val="48"/>
    <w:rsid w:val="001D4CBE"/>
    <w:tblPr>
      <w:tblStyleRowBandSize w:val="1"/>
      <w:tblStyleColBandSize w:val="1"/>
      <w:tblBorders>
        <w:top w:color="4A66AC" w:space="0" w:sz="4" w:themeColor="accent1" w:val="single"/>
        <w:left w:color="4A66AC" w:space="0" w:sz="4" w:themeColor="accent1" w:val="single"/>
        <w:bottom w:color="4A66AC" w:space="0" w:sz="4" w:themeColor="accent1" w:val="single"/>
        <w:right w:color="4A66AC" w:space="0" w:sz="4" w:themeColor="accent1" w:val="single"/>
      </w:tblBorders>
    </w:tblPr>
    <w:tblStylePr w:type="firstRow">
      <w:rPr>
        <w:b/>
        <w:bCs/>
        <w:color w:themeColor="background1" w:val="FFFFFF"/>
      </w:rPr>
      <w:tblPr/>
      <w:tcPr>
        <w:shd w:color="auto" w:fill="4A66AC" w:themeFill="accent1" w:val="clear"/>
      </w:tcPr>
    </w:tblStylePr>
    <w:tblStylePr w:type="lastRow">
      <w:rPr>
        <w:b/>
        <w:bCs/>
      </w:rPr>
      <w:tblPr/>
      <w:tcPr>
        <w:tcBorders>
          <w:top w:color="4A66AC"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A66AC" w:space="0" w:sz="4" w:themeColor="accent1" w:val="single"/>
          <w:right w:color="4A66AC" w:space="0" w:sz="4" w:themeColor="accent1" w:val="single"/>
        </w:tcBorders>
      </w:tcPr>
    </w:tblStylePr>
    <w:tblStylePr w:type="band1Horz">
      <w:tblPr/>
      <w:tcPr>
        <w:tcBorders>
          <w:top w:color="4A66AC" w:space="0" w:sz="4" w:themeColor="accent1" w:val="single"/>
          <w:bottom w:color="4A66AC"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A66AC" w:space="0" w:sz="4" w:themeColor="accent1" w:val="double"/>
          <w:left w:val="nil"/>
        </w:tcBorders>
      </w:tcPr>
    </w:tblStylePr>
    <w:tblStylePr w:type="swCell">
      <w:tblPr/>
      <w:tcPr>
        <w:tcBorders>
          <w:top w:color="4A66AC" w:space="0" w:sz="4" w:themeColor="accent1" w:val="double"/>
          <w:right w:val="nil"/>
        </w:tcBorders>
      </w:tcPr>
    </w:tblStylePr>
  </w:style>
  <w:style w:styleId="TableauListe4-Accentuation1" w:type="table">
    <w:name w:val="List Table 4 Accent 1"/>
    <w:basedOn w:val="TableauNormal"/>
    <w:uiPriority w:val="49"/>
    <w:rsid w:val="005C424F"/>
    <w:tblPr>
      <w:tblStyleRowBandSize w:val="1"/>
      <w:tblStyleColBandSize w:val="1"/>
      <w:tblBorders>
        <w:top w:color="90A1CF" w:space="0" w:sz="4" w:themeColor="accent1" w:themeTint="99" w:val="single"/>
        <w:left w:color="90A1CF" w:space="0" w:sz="4" w:themeColor="accent1" w:themeTint="99" w:val="single"/>
        <w:bottom w:color="90A1CF" w:space="0" w:sz="4" w:themeColor="accent1" w:themeTint="99" w:val="single"/>
        <w:right w:color="90A1CF" w:space="0" w:sz="4" w:themeColor="accent1" w:themeTint="99" w:val="single"/>
        <w:insideH w:color="90A1CF" w:space="0" w:sz="4" w:themeColor="accent1" w:themeTint="99" w:val="single"/>
      </w:tblBorders>
    </w:tblPr>
    <w:tblStylePr w:type="firstRow">
      <w:rPr>
        <w:b/>
        <w:bCs/>
        <w:color w:themeColor="background1" w:val="FFFFFF"/>
      </w:rPr>
      <w:tblPr/>
      <w:tcPr>
        <w:tcBorders>
          <w:top w:color="4A66AC" w:space="0" w:sz="4" w:themeColor="accent1" w:val="single"/>
          <w:left w:color="4A66AC" w:space="0" w:sz="4" w:themeColor="accent1" w:val="single"/>
          <w:bottom w:color="4A66AC" w:space="0" w:sz="4" w:themeColor="accent1" w:val="single"/>
          <w:right w:color="4A66AC" w:space="0" w:sz="4" w:themeColor="accent1" w:val="single"/>
          <w:insideH w:val="nil"/>
        </w:tcBorders>
        <w:shd w:color="auto" w:fill="4A66AC" w:themeFill="accent1" w:val="clear"/>
      </w:tcPr>
    </w:tblStylePr>
    <w:tblStylePr w:type="lastRow">
      <w:rPr>
        <w:b/>
        <w:bCs/>
      </w:rPr>
      <w:tblPr/>
      <w:tcPr>
        <w:tcBorders>
          <w:top w:color="90A1CF" w:space="0" w:sz="4" w:themeColor="accent1" w:themeTint="99" w:val="double"/>
        </w:tcBorders>
      </w:tcPr>
    </w:tblStylePr>
    <w:tblStylePr w:type="firstCol">
      <w:rPr>
        <w:b/>
        <w:bCs/>
      </w:rPr>
    </w:tblStylePr>
    <w:tblStylePr w:type="lastCol">
      <w:rPr>
        <w:b/>
        <w:bCs/>
      </w:rPr>
    </w:tblStylePr>
    <w:tblStylePr w:type="band1Vert">
      <w:tblPr/>
      <w:tcPr>
        <w:shd w:color="auto" w:fill="D9DFEF" w:themeFill="accent1" w:themeFillTint="33" w:val="clear"/>
      </w:tcPr>
    </w:tblStylePr>
    <w:tblStylePr w:type="band1Horz">
      <w:tblPr/>
      <w:tcPr>
        <w:shd w:color="auto" w:fill="D9DFEF"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05">
      <w:bodyDiv w:val="1"/>
      <w:marLeft w:val="0"/>
      <w:marRight w:val="0"/>
      <w:marTop w:val="0"/>
      <w:marBottom w:val="0"/>
      <w:divBdr>
        <w:top w:val="none" w:sz="0" w:space="0" w:color="auto"/>
        <w:left w:val="none" w:sz="0" w:space="0" w:color="auto"/>
        <w:bottom w:val="none" w:sz="0" w:space="0" w:color="auto"/>
        <w:right w:val="none" w:sz="0" w:space="0" w:color="auto"/>
      </w:divBdr>
    </w:div>
    <w:div w:id="23602544">
      <w:bodyDiv w:val="1"/>
      <w:marLeft w:val="0"/>
      <w:marRight w:val="0"/>
      <w:marTop w:val="0"/>
      <w:marBottom w:val="0"/>
      <w:divBdr>
        <w:top w:val="none" w:sz="0" w:space="0" w:color="auto"/>
        <w:left w:val="none" w:sz="0" w:space="0" w:color="auto"/>
        <w:bottom w:val="none" w:sz="0" w:space="0" w:color="auto"/>
        <w:right w:val="none" w:sz="0" w:space="0" w:color="auto"/>
      </w:divBdr>
    </w:div>
    <w:div w:id="31658665">
      <w:bodyDiv w:val="1"/>
      <w:marLeft w:val="0"/>
      <w:marRight w:val="0"/>
      <w:marTop w:val="0"/>
      <w:marBottom w:val="0"/>
      <w:divBdr>
        <w:top w:val="none" w:sz="0" w:space="0" w:color="auto"/>
        <w:left w:val="none" w:sz="0" w:space="0" w:color="auto"/>
        <w:bottom w:val="none" w:sz="0" w:space="0" w:color="auto"/>
        <w:right w:val="none" w:sz="0" w:space="0" w:color="auto"/>
      </w:divBdr>
    </w:div>
    <w:div w:id="46420107">
      <w:bodyDiv w:val="1"/>
      <w:marLeft w:val="0"/>
      <w:marRight w:val="0"/>
      <w:marTop w:val="0"/>
      <w:marBottom w:val="0"/>
      <w:divBdr>
        <w:top w:val="none" w:sz="0" w:space="0" w:color="auto"/>
        <w:left w:val="none" w:sz="0" w:space="0" w:color="auto"/>
        <w:bottom w:val="none" w:sz="0" w:space="0" w:color="auto"/>
        <w:right w:val="none" w:sz="0" w:space="0" w:color="auto"/>
      </w:divBdr>
    </w:div>
    <w:div w:id="137235673">
      <w:bodyDiv w:val="1"/>
      <w:marLeft w:val="0"/>
      <w:marRight w:val="0"/>
      <w:marTop w:val="0"/>
      <w:marBottom w:val="0"/>
      <w:divBdr>
        <w:top w:val="none" w:sz="0" w:space="0" w:color="auto"/>
        <w:left w:val="none" w:sz="0" w:space="0" w:color="auto"/>
        <w:bottom w:val="none" w:sz="0" w:space="0" w:color="auto"/>
        <w:right w:val="none" w:sz="0" w:space="0" w:color="auto"/>
      </w:divBdr>
    </w:div>
    <w:div w:id="139471028">
      <w:bodyDiv w:val="1"/>
      <w:marLeft w:val="0"/>
      <w:marRight w:val="0"/>
      <w:marTop w:val="0"/>
      <w:marBottom w:val="0"/>
      <w:divBdr>
        <w:top w:val="none" w:sz="0" w:space="0" w:color="auto"/>
        <w:left w:val="none" w:sz="0" w:space="0" w:color="auto"/>
        <w:bottom w:val="none" w:sz="0" w:space="0" w:color="auto"/>
        <w:right w:val="none" w:sz="0" w:space="0" w:color="auto"/>
      </w:divBdr>
    </w:div>
    <w:div w:id="168369594">
      <w:bodyDiv w:val="1"/>
      <w:marLeft w:val="0"/>
      <w:marRight w:val="0"/>
      <w:marTop w:val="0"/>
      <w:marBottom w:val="0"/>
      <w:divBdr>
        <w:top w:val="none" w:sz="0" w:space="0" w:color="auto"/>
        <w:left w:val="none" w:sz="0" w:space="0" w:color="auto"/>
        <w:bottom w:val="none" w:sz="0" w:space="0" w:color="auto"/>
        <w:right w:val="none" w:sz="0" w:space="0" w:color="auto"/>
      </w:divBdr>
    </w:div>
    <w:div w:id="175509579">
      <w:bodyDiv w:val="1"/>
      <w:marLeft w:val="0"/>
      <w:marRight w:val="0"/>
      <w:marTop w:val="0"/>
      <w:marBottom w:val="0"/>
      <w:divBdr>
        <w:top w:val="none" w:sz="0" w:space="0" w:color="auto"/>
        <w:left w:val="none" w:sz="0" w:space="0" w:color="auto"/>
        <w:bottom w:val="none" w:sz="0" w:space="0" w:color="auto"/>
        <w:right w:val="none" w:sz="0" w:space="0" w:color="auto"/>
      </w:divBdr>
    </w:div>
    <w:div w:id="253587107">
      <w:bodyDiv w:val="1"/>
      <w:marLeft w:val="0"/>
      <w:marRight w:val="0"/>
      <w:marTop w:val="0"/>
      <w:marBottom w:val="0"/>
      <w:divBdr>
        <w:top w:val="none" w:sz="0" w:space="0" w:color="auto"/>
        <w:left w:val="none" w:sz="0" w:space="0" w:color="auto"/>
        <w:bottom w:val="none" w:sz="0" w:space="0" w:color="auto"/>
        <w:right w:val="none" w:sz="0" w:space="0" w:color="auto"/>
      </w:divBdr>
    </w:div>
    <w:div w:id="302317810">
      <w:bodyDiv w:val="1"/>
      <w:marLeft w:val="0"/>
      <w:marRight w:val="0"/>
      <w:marTop w:val="0"/>
      <w:marBottom w:val="0"/>
      <w:divBdr>
        <w:top w:val="none" w:sz="0" w:space="0" w:color="auto"/>
        <w:left w:val="none" w:sz="0" w:space="0" w:color="auto"/>
        <w:bottom w:val="none" w:sz="0" w:space="0" w:color="auto"/>
        <w:right w:val="none" w:sz="0" w:space="0" w:color="auto"/>
      </w:divBdr>
    </w:div>
    <w:div w:id="336419549">
      <w:bodyDiv w:val="1"/>
      <w:marLeft w:val="0"/>
      <w:marRight w:val="0"/>
      <w:marTop w:val="0"/>
      <w:marBottom w:val="0"/>
      <w:divBdr>
        <w:top w:val="none" w:sz="0" w:space="0" w:color="auto"/>
        <w:left w:val="none" w:sz="0" w:space="0" w:color="auto"/>
        <w:bottom w:val="none" w:sz="0" w:space="0" w:color="auto"/>
        <w:right w:val="none" w:sz="0" w:space="0" w:color="auto"/>
      </w:divBdr>
    </w:div>
    <w:div w:id="361784612">
      <w:bodyDiv w:val="1"/>
      <w:marLeft w:val="0"/>
      <w:marRight w:val="0"/>
      <w:marTop w:val="0"/>
      <w:marBottom w:val="0"/>
      <w:divBdr>
        <w:top w:val="none" w:sz="0" w:space="0" w:color="auto"/>
        <w:left w:val="none" w:sz="0" w:space="0" w:color="auto"/>
        <w:bottom w:val="none" w:sz="0" w:space="0" w:color="auto"/>
        <w:right w:val="none" w:sz="0" w:space="0" w:color="auto"/>
      </w:divBdr>
    </w:div>
    <w:div w:id="365713531">
      <w:bodyDiv w:val="1"/>
      <w:marLeft w:val="0"/>
      <w:marRight w:val="0"/>
      <w:marTop w:val="0"/>
      <w:marBottom w:val="0"/>
      <w:divBdr>
        <w:top w:val="none" w:sz="0" w:space="0" w:color="auto"/>
        <w:left w:val="none" w:sz="0" w:space="0" w:color="auto"/>
        <w:bottom w:val="none" w:sz="0" w:space="0" w:color="auto"/>
        <w:right w:val="none" w:sz="0" w:space="0" w:color="auto"/>
      </w:divBdr>
    </w:div>
    <w:div w:id="410810570">
      <w:bodyDiv w:val="1"/>
      <w:marLeft w:val="0"/>
      <w:marRight w:val="0"/>
      <w:marTop w:val="0"/>
      <w:marBottom w:val="0"/>
      <w:divBdr>
        <w:top w:val="none" w:sz="0" w:space="0" w:color="auto"/>
        <w:left w:val="none" w:sz="0" w:space="0" w:color="auto"/>
        <w:bottom w:val="none" w:sz="0" w:space="0" w:color="auto"/>
        <w:right w:val="none" w:sz="0" w:space="0" w:color="auto"/>
      </w:divBdr>
    </w:div>
    <w:div w:id="491138822">
      <w:bodyDiv w:val="1"/>
      <w:marLeft w:val="0"/>
      <w:marRight w:val="0"/>
      <w:marTop w:val="0"/>
      <w:marBottom w:val="0"/>
      <w:divBdr>
        <w:top w:val="none" w:sz="0" w:space="0" w:color="auto"/>
        <w:left w:val="none" w:sz="0" w:space="0" w:color="auto"/>
        <w:bottom w:val="none" w:sz="0" w:space="0" w:color="auto"/>
        <w:right w:val="none" w:sz="0" w:space="0" w:color="auto"/>
      </w:divBdr>
    </w:div>
    <w:div w:id="501896982">
      <w:bodyDiv w:val="1"/>
      <w:marLeft w:val="0"/>
      <w:marRight w:val="0"/>
      <w:marTop w:val="0"/>
      <w:marBottom w:val="0"/>
      <w:divBdr>
        <w:top w:val="none" w:sz="0" w:space="0" w:color="auto"/>
        <w:left w:val="none" w:sz="0" w:space="0" w:color="auto"/>
        <w:bottom w:val="none" w:sz="0" w:space="0" w:color="auto"/>
        <w:right w:val="none" w:sz="0" w:space="0" w:color="auto"/>
      </w:divBdr>
      <w:divsChild>
        <w:div w:id="2066952867">
          <w:marLeft w:val="0"/>
          <w:marRight w:val="0"/>
          <w:marTop w:val="0"/>
          <w:marBottom w:val="0"/>
          <w:divBdr>
            <w:top w:val="none" w:sz="0" w:space="0" w:color="auto"/>
            <w:left w:val="none" w:sz="0" w:space="0" w:color="auto"/>
            <w:bottom w:val="none" w:sz="0" w:space="0" w:color="auto"/>
            <w:right w:val="none" w:sz="0" w:space="0" w:color="auto"/>
          </w:divBdr>
          <w:divsChild>
            <w:div w:id="256256099">
              <w:marLeft w:val="0"/>
              <w:marRight w:val="0"/>
              <w:marTop w:val="0"/>
              <w:marBottom w:val="0"/>
              <w:divBdr>
                <w:top w:val="none" w:sz="0" w:space="0" w:color="auto"/>
                <w:left w:val="none" w:sz="0" w:space="0" w:color="auto"/>
                <w:bottom w:val="none" w:sz="0" w:space="0" w:color="auto"/>
                <w:right w:val="none" w:sz="0" w:space="0" w:color="auto"/>
              </w:divBdr>
              <w:divsChild>
                <w:div w:id="527371485">
                  <w:marLeft w:val="0"/>
                  <w:marRight w:val="0"/>
                  <w:marTop w:val="0"/>
                  <w:marBottom w:val="0"/>
                  <w:divBdr>
                    <w:top w:val="none" w:sz="0" w:space="0" w:color="auto"/>
                    <w:left w:val="none" w:sz="0" w:space="0" w:color="auto"/>
                    <w:bottom w:val="none" w:sz="0" w:space="0" w:color="auto"/>
                    <w:right w:val="none" w:sz="0" w:space="0" w:color="auto"/>
                  </w:divBdr>
                  <w:divsChild>
                    <w:div w:id="913126207">
                      <w:marLeft w:val="0"/>
                      <w:marRight w:val="0"/>
                      <w:marTop w:val="0"/>
                      <w:marBottom w:val="0"/>
                      <w:divBdr>
                        <w:top w:val="none" w:sz="0" w:space="0" w:color="auto"/>
                        <w:left w:val="none" w:sz="0" w:space="0" w:color="auto"/>
                        <w:bottom w:val="none" w:sz="0" w:space="0" w:color="auto"/>
                        <w:right w:val="none" w:sz="0" w:space="0" w:color="auto"/>
                      </w:divBdr>
                      <w:divsChild>
                        <w:div w:id="848637790">
                          <w:marLeft w:val="0"/>
                          <w:marRight w:val="0"/>
                          <w:marTop w:val="0"/>
                          <w:marBottom w:val="0"/>
                          <w:divBdr>
                            <w:top w:val="none" w:sz="0" w:space="0" w:color="auto"/>
                            <w:left w:val="none" w:sz="0" w:space="0" w:color="auto"/>
                            <w:bottom w:val="none" w:sz="0" w:space="0" w:color="auto"/>
                            <w:right w:val="none" w:sz="0" w:space="0" w:color="auto"/>
                          </w:divBdr>
                          <w:divsChild>
                            <w:div w:id="5568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651378">
      <w:bodyDiv w:val="1"/>
      <w:marLeft w:val="0"/>
      <w:marRight w:val="0"/>
      <w:marTop w:val="0"/>
      <w:marBottom w:val="0"/>
      <w:divBdr>
        <w:top w:val="none" w:sz="0" w:space="0" w:color="auto"/>
        <w:left w:val="none" w:sz="0" w:space="0" w:color="auto"/>
        <w:bottom w:val="none" w:sz="0" w:space="0" w:color="auto"/>
        <w:right w:val="none" w:sz="0" w:space="0" w:color="auto"/>
      </w:divBdr>
    </w:div>
    <w:div w:id="576865703">
      <w:bodyDiv w:val="1"/>
      <w:marLeft w:val="0"/>
      <w:marRight w:val="0"/>
      <w:marTop w:val="0"/>
      <w:marBottom w:val="0"/>
      <w:divBdr>
        <w:top w:val="none" w:sz="0" w:space="0" w:color="auto"/>
        <w:left w:val="none" w:sz="0" w:space="0" w:color="auto"/>
        <w:bottom w:val="none" w:sz="0" w:space="0" w:color="auto"/>
        <w:right w:val="none" w:sz="0" w:space="0" w:color="auto"/>
      </w:divBdr>
    </w:div>
    <w:div w:id="662272592">
      <w:bodyDiv w:val="1"/>
      <w:marLeft w:val="0"/>
      <w:marRight w:val="0"/>
      <w:marTop w:val="0"/>
      <w:marBottom w:val="0"/>
      <w:divBdr>
        <w:top w:val="none" w:sz="0" w:space="0" w:color="auto"/>
        <w:left w:val="none" w:sz="0" w:space="0" w:color="auto"/>
        <w:bottom w:val="none" w:sz="0" w:space="0" w:color="auto"/>
        <w:right w:val="none" w:sz="0" w:space="0" w:color="auto"/>
      </w:divBdr>
    </w:div>
    <w:div w:id="679509670">
      <w:bodyDiv w:val="1"/>
      <w:marLeft w:val="0"/>
      <w:marRight w:val="0"/>
      <w:marTop w:val="0"/>
      <w:marBottom w:val="0"/>
      <w:divBdr>
        <w:top w:val="none" w:sz="0" w:space="0" w:color="auto"/>
        <w:left w:val="none" w:sz="0" w:space="0" w:color="auto"/>
        <w:bottom w:val="none" w:sz="0" w:space="0" w:color="auto"/>
        <w:right w:val="none" w:sz="0" w:space="0" w:color="auto"/>
      </w:divBdr>
    </w:div>
    <w:div w:id="690302654">
      <w:bodyDiv w:val="1"/>
      <w:marLeft w:val="0"/>
      <w:marRight w:val="0"/>
      <w:marTop w:val="0"/>
      <w:marBottom w:val="0"/>
      <w:divBdr>
        <w:top w:val="none" w:sz="0" w:space="0" w:color="auto"/>
        <w:left w:val="none" w:sz="0" w:space="0" w:color="auto"/>
        <w:bottom w:val="none" w:sz="0" w:space="0" w:color="auto"/>
        <w:right w:val="none" w:sz="0" w:space="0" w:color="auto"/>
      </w:divBdr>
    </w:div>
    <w:div w:id="698117915">
      <w:bodyDiv w:val="1"/>
      <w:marLeft w:val="0"/>
      <w:marRight w:val="0"/>
      <w:marTop w:val="0"/>
      <w:marBottom w:val="0"/>
      <w:divBdr>
        <w:top w:val="none" w:sz="0" w:space="0" w:color="auto"/>
        <w:left w:val="none" w:sz="0" w:space="0" w:color="auto"/>
        <w:bottom w:val="none" w:sz="0" w:space="0" w:color="auto"/>
        <w:right w:val="none" w:sz="0" w:space="0" w:color="auto"/>
      </w:divBdr>
    </w:div>
    <w:div w:id="714505068">
      <w:bodyDiv w:val="1"/>
      <w:marLeft w:val="0"/>
      <w:marRight w:val="0"/>
      <w:marTop w:val="0"/>
      <w:marBottom w:val="0"/>
      <w:divBdr>
        <w:top w:val="none" w:sz="0" w:space="0" w:color="auto"/>
        <w:left w:val="none" w:sz="0" w:space="0" w:color="auto"/>
        <w:bottom w:val="none" w:sz="0" w:space="0" w:color="auto"/>
        <w:right w:val="none" w:sz="0" w:space="0" w:color="auto"/>
      </w:divBdr>
    </w:div>
    <w:div w:id="749428135">
      <w:bodyDiv w:val="1"/>
      <w:marLeft w:val="0"/>
      <w:marRight w:val="0"/>
      <w:marTop w:val="0"/>
      <w:marBottom w:val="0"/>
      <w:divBdr>
        <w:top w:val="none" w:sz="0" w:space="0" w:color="auto"/>
        <w:left w:val="none" w:sz="0" w:space="0" w:color="auto"/>
        <w:bottom w:val="none" w:sz="0" w:space="0" w:color="auto"/>
        <w:right w:val="none" w:sz="0" w:space="0" w:color="auto"/>
      </w:divBdr>
    </w:div>
    <w:div w:id="801070608">
      <w:bodyDiv w:val="1"/>
      <w:marLeft w:val="0"/>
      <w:marRight w:val="0"/>
      <w:marTop w:val="0"/>
      <w:marBottom w:val="0"/>
      <w:divBdr>
        <w:top w:val="none" w:sz="0" w:space="0" w:color="auto"/>
        <w:left w:val="none" w:sz="0" w:space="0" w:color="auto"/>
        <w:bottom w:val="none" w:sz="0" w:space="0" w:color="auto"/>
        <w:right w:val="none" w:sz="0" w:space="0" w:color="auto"/>
      </w:divBdr>
    </w:div>
    <w:div w:id="822236477">
      <w:bodyDiv w:val="1"/>
      <w:marLeft w:val="0"/>
      <w:marRight w:val="0"/>
      <w:marTop w:val="0"/>
      <w:marBottom w:val="0"/>
      <w:divBdr>
        <w:top w:val="none" w:sz="0" w:space="0" w:color="auto"/>
        <w:left w:val="none" w:sz="0" w:space="0" w:color="auto"/>
        <w:bottom w:val="none" w:sz="0" w:space="0" w:color="auto"/>
        <w:right w:val="none" w:sz="0" w:space="0" w:color="auto"/>
      </w:divBdr>
    </w:div>
    <w:div w:id="868839292">
      <w:bodyDiv w:val="1"/>
      <w:marLeft w:val="0"/>
      <w:marRight w:val="0"/>
      <w:marTop w:val="0"/>
      <w:marBottom w:val="0"/>
      <w:divBdr>
        <w:top w:val="none" w:sz="0" w:space="0" w:color="auto"/>
        <w:left w:val="none" w:sz="0" w:space="0" w:color="auto"/>
        <w:bottom w:val="none" w:sz="0" w:space="0" w:color="auto"/>
        <w:right w:val="none" w:sz="0" w:space="0" w:color="auto"/>
      </w:divBdr>
    </w:div>
    <w:div w:id="886260815">
      <w:bodyDiv w:val="1"/>
      <w:marLeft w:val="0"/>
      <w:marRight w:val="0"/>
      <w:marTop w:val="0"/>
      <w:marBottom w:val="0"/>
      <w:divBdr>
        <w:top w:val="none" w:sz="0" w:space="0" w:color="auto"/>
        <w:left w:val="none" w:sz="0" w:space="0" w:color="auto"/>
        <w:bottom w:val="none" w:sz="0" w:space="0" w:color="auto"/>
        <w:right w:val="none" w:sz="0" w:space="0" w:color="auto"/>
      </w:divBdr>
    </w:div>
    <w:div w:id="903300563">
      <w:bodyDiv w:val="1"/>
      <w:marLeft w:val="0"/>
      <w:marRight w:val="0"/>
      <w:marTop w:val="0"/>
      <w:marBottom w:val="0"/>
      <w:divBdr>
        <w:top w:val="none" w:sz="0" w:space="0" w:color="auto"/>
        <w:left w:val="none" w:sz="0" w:space="0" w:color="auto"/>
        <w:bottom w:val="none" w:sz="0" w:space="0" w:color="auto"/>
        <w:right w:val="none" w:sz="0" w:space="0" w:color="auto"/>
      </w:divBdr>
    </w:div>
    <w:div w:id="944657488">
      <w:bodyDiv w:val="1"/>
      <w:marLeft w:val="0"/>
      <w:marRight w:val="0"/>
      <w:marTop w:val="0"/>
      <w:marBottom w:val="0"/>
      <w:divBdr>
        <w:top w:val="none" w:sz="0" w:space="0" w:color="auto"/>
        <w:left w:val="none" w:sz="0" w:space="0" w:color="auto"/>
        <w:bottom w:val="none" w:sz="0" w:space="0" w:color="auto"/>
        <w:right w:val="none" w:sz="0" w:space="0" w:color="auto"/>
      </w:divBdr>
    </w:div>
    <w:div w:id="970016838">
      <w:bodyDiv w:val="1"/>
      <w:marLeft w:val="0"/>
      <w:marRight w:val="0"/>
      <w:marTop w:val="0"/>
      <w:marBottom w:val="0"/>
      <w:divBdr>
        <w:top w:val="none" w:sz="0" w:space="0" w:color="auto"/>
        <w:left w:val="none" w:sz="0" w:space="0" w:color="auto"/>
        <w:bottom w:val="none" w:sz="0" w:space="0" w:color="auto"/>
        <w:right w:val="none" w:sz="0" w:space="0" w:color="auto"/>
      </w:divBdr>
    </w:div>
    <w:div w:id="974916133">
      <w:bodyDiv w:val="1"/>
      <w:marLeft w:val="0"/>
      <w:marRight w:val="0"/>
      <w:marTop w:val="0"/>
      <w:marBottom w:val="0"/>
      <w:divBdr>
        <w:top w:val="none" w:sz="0" w:space="0" w:color="auto"/>
        <w:left w:val="none" w:sz="0" w:space="0" w:color="auto"/>
        <w:bottom w:val="none" w:sz="0" w:space="0" w:color="auto"/>
        <w:right w:val="none" w:sz="0" w:space="0" w:color="auto"/>
      </w:divBdr>
    </w:div>
    <w:div w:id="1063411048">
      <w:bodyDiv w:val="1"/>
      <w:marLeft w:val="0"/>
      <w:marRight w:val="0"/>
      <w:marTop w:val="0"/>
      <w:marBottom w:val="0"/>
      <w:divBdr>
        <w:top w:val="none" w:sz="0" w:space="0" w:color="auto"/>
        <w:left w:val="none" w:sz="0" w:space="0" w:color="auto"/>
        <w:bottom w:val="none" w:sz="0" w:space="0" w:color="auto"/>
        <w:right w:val="none" w:sz="0" w:space="0" w:color="auto"/>
      </w:divBdr>
    </w:div>
    <w:div w:id="1086727725">
      <w:bodyDiv w:val="1"/>
      <w:marLeft w:val="0"/>
      <w:marRight w:val="0"/>
      <w:marTop w:val="0"/>
      <w:marBottom w:val="0"/>
      <w:divBdr>
        <w:top w:val="none" w:sz="0" w:space="0" w:color="auto"/>
        <w:left w:val="none" w:sz="0" w:space="0" w:color="auto"/>
        <w:bottom w:val="none" w:sz="0" w:space="0" w:color="auto"/>
        <w:right w:val="none" w:sz="0" w:space="0" w:color="auto"/>
      </w:divBdr>
    </w:div>
    <w:div w:id="1206992107">
      <w:bodyDiv w:val="1"/>
      <w:marLeft w:val="0"/>
      <w:marRight w:val="0"/>
      <w:marTop w:val="0"/>
      <w:marBottom w:val="0"/>
      <w:divBdr>
        <w:top w:val="none" w:sz="0" w:space="0" w:color="auto"/>
        <w:left w:val="none" w:sz="0" w:space="0" w:color="auto"/>
        <w:bottom w:val="none" w:sz="0" w:space="0" w:color="auto"/>
        <w:right w:val="none" w:sz="0" w:space="0" w:color="auto"/>
      </w:divBdr>
    </w:div>
    <w:div w:id="1256481667">
      <w:bodyDiv w:val="1"/>
      <w:marLeft w:val="0"/>
      <w:marRight w:val="0"/>
      <w:marTop w:val="0"/>
      <w:marBottom w:val="0"/>
      <w:divBdr>
        <w:top w:val="none" w:sz="0" w:space="0" w:color="auto"/>
        <w:left w:val="none" w:sz="0" w:space="0" w:color="auto"/>
        <w:bottom w:val="none" w:sz="0" w:space="0" w:color="auto"/>
        <w:right w:val="none" w:sz="0" w:space="0" w:color="auto"/>
      </w:divBdr>
    </w:div>
    <w:div w:id="1257249928">
      <w:bodyDiv w:val="1"/>
      <w:marLeft w:val="0"/>
      <w:marRight w:val="0"/>
      <w:marTop w:val="0"/>
      <w:marBottom w:val="0"/>
      <w:divBdr>
        <w:top w:val="none" w:sz="0" w:space="0" w:color="auto"/>
        <w:left w:val="none" w:sz="0" w:space="0" w:color="auto"/>
        <w:bottom w:val="none" w:sz="0" w:space="0" w:color="auto"/>
        <w:right w:val="none" w:sz="0" w:space="0" w:color="auto"/>
      </w:divBdr>
    </w:div>
    <w:div w:id="1282226065">
      <w:bodyDiv w:val="1"/>
      <w:marLeft w:val="0"/>
      <w:marRight w:val="0"/>
      <w:marTop w:val="0"/>
      <w:marBottom w:val="0"/>
      <w:divBdr>
        <w:top w:val="none" w:sz="0" w:space="0" w:color="auto"/>
        <w:left w:val="none" w:sz="0" w:space="0" w:color="auto"/>
        <w:bottom w:val="none" w:sz="0" w:space="0" w:color="auto"/>
        <w:right w:val="none" w:sz="0" w:space="0" w:color="auto"/>
      </w:divBdr>
    </w:div>
    <w:div w:id="1393387522">
      <w:bodyDiv w:val="1"/>
      <w:marLeft w:val="0"/>
      <w:marRight w:val="0"/>
      <w:marTop w:val="0"/>
      <w:marBottom w:val="0"/>
      <w:divBdr>
        <w:top w:val="none" w:sz="0" w:space="0" w:color="auto"/>
        <w:left w:val="none" w:sz="0" w:space="0" w:color="auto"/>
        <w:bottom w:val="none" w:sz="0" w:space="0" w:color="auto"/>
        <w:right w:val="none" w:sz="0" w:space="0" w:color="auto"/>
      </w:divBdr>
    </w:div>
    <w:div w:id="1404570449">
      <w:bodyDiv w:val="1"/>
      <w:marLeft w:val="0"/>
      <w:marRight w:val="0"/>
      <w:marTop w:val="0"/>
      <w:marBottom w:val="0"/>
      <w:divBdr>
        <w:top w:val="none" w:sz="0" w:space="0" w:color="auto"/>
        <w:left w:val="none" w:sz="0" w:space="0" w:color="auto"/>
        <w:bottom w:val="none" w:sz="0" w:space="0" w:color="auto"/>
        <w:right w:val="none" w:sz="0" w:space="0" w:color="auto"/>
      </w:divBdr>
    </w:div>
    <w:div w:id="1430002711">
      <w:bodyDiv w:val="1"/>
      <w:marLeft w:val="0"/>
      <w:marRight w:val="0"/>
      <w:marTop w:val="0"/>
      <w:marBottom w:val="0"/>
      <w:divBdr>
        <w:top w:val="none" w:sz="0" w:space="0" w:color="auto"/>
        <w:left w:val="none" w:sz="0" w:space="0" w:color="auto"/>
        <w:bottom w:val="none" w:sz="0" w:space="0" w:color="auto"/>
        <w:right w:val="none" w:sz="0" w:space="0" w:color="auto"/>
      </w:divBdr>
    </w:div>
    <w:div w:id="1569070877">
      <w:bodyDiv w:val="1"/>
      <w:marLeft w:val="0"/>
      <w:marRight w:val="0"/>
      <w:marTop w:val="0"/>
      <w:marBottom w:val="0"/>
      <w:divBdr>
        <w:top w:val="none" w:sz="0" w:space="0" w:color="auto"/>
        <w:left w:val="none" w:sz="0" w:space="0" w:color="auto"/>
        <w:bottom w:val="none" w:sz="0" w:space="0" w:color="auto"/>
        <w:right w:val="none" w:sz="0" w:space="0" w:color="auto"/>
      </w:divBdr>
    </w:div>
    <w:div w:id="1569461249">
      <w:bodyDiv w:val="1"/>
      <w:marLeft w:val="0"/>
      <w:marRight w:val="0"/>
      <w:marTop w:val="0"/>
      <w:marBottom w:val="0"/>
      <w:divBdr>
        <w:top w:val="none" w:sz="0" w:space="0" w:color="auto"/>
        <w:left w:val="none" w:sz="0" w:space="0" w:color="auto"/>
        <w:bottom w:val="none" w:sz="0" w:space="0" w:color="auto"/>
        <w:right w:val="none" w:sz="0" w:space="0" w:color="auto"/>
      </w:divBdr>
    </w:div>
    <w:div w:id="1598368807">
      <w:bodyDiv w:val="1"/>
      <w:marLeft w:val="0"/>
      <w:marRight w:val="0"/>
      <w:marTop w:val="0"/>
      <w:marBottom w:val="0"/>
      <w:divBdr>
        <w:top w:val="none" w:sz="0" w:space="0" w:color="auto"/>
        <w:left w:val="none" w:sz="0" w:space="0" w:color="auto"/>
        <w:bottom w:val="none" w:sz="0" w:space="0" w:color="auto"/>
        <w:right w:val="none" w:sz="0" w:space="0" w:color="auto"/>
      </w:divBdr>
    </w:div>
    <w:div w:id="1634825926">
      <w:bodyDiv w:val="1"/>
      <w:marLeft w:val="0"/>
      <w:marRight w:val="0"/>
      <w:marTop w:val="0"/>
      <w:marBottom w:val="0"/>
      <w:divBdr>
        <w:top w:val="none" w:sz="0" w:space="0" w:color="auto"/>
        <w:left w:val="none" w:sz="0" w:space="0" w:color="auto"/>
        <w:bottom w:val="none" w:sz="0" w:space="0" w:color="auto"/>
        <w:right w:val="none" w:sz="0" w:space="0" w:color="auto"/>
      </w:divBdr>
    </w:div>
    <w:div w:id="1670980268">
      <w:bodyDiv w:val="1"/>
      <w:marLeft w:val="0"/>
      <w:marRight w:val="0"/>
      <w:marTop w:val="0"/>
      <w:marBottom w:val="0"/>
      <w:divBdr>
        <w:top w:val="none" w:sz="0" w:space="0" w:color="auto"/>
        <w:left w:val="none" w:sz="0" w:space="0" w:color="auto"/>
        <w:bottom w:val="none" w:sz="0" w:space="0" w:color="auto"/>
        <w:right w:val="none" w:sz="0" w:space="0" w:color="auto"/>
      </w:divBdr>
      <w:divsChild>
        <w:div w:id="31342941">
          <w:marLeft w:val="835"/>
          <w:marRight w:val="0"/>
          <w:marTop w:val="77"/>
          <w:marBottom w:val="0"/>
          <w:divBdr>
            <w:top w:val="none" w:sz="0" w:space="0" w:color="auto"/>
            <w:left w:val="none" w:sz="0" w:space="0" w:color="auto"/>
            <w:bottom w:val="none" w:sz="0" w:space="0" w:color="auto"/>
            <w:right w:val="none" w:sz="0" w:space="0" w:color="auto"/>
          </w:divBdr>
        </w:div>
        <w:div w:id="163666427">
          <w:marLeft w:val="835"/>
          <w:marRight w:val="0"/>
          <w:marTop w:val="77"/>
          <w:marBottom w:val="0"/>
          <w:divBdr>
            <w:top w:val="none" w:sz="0" w:space="0" w:color="auto"/>
            <w:left w:val="none" w:sz="0" w:space="0" w:color="auto"/>
            <w:bottom w:val="none" w:sz="0" w:space="0" w:color="auto"/>
            <w:right w:val="none" w:sz="0" w:space="0" w:color="auto"/>
          </w:divBdr>
        </w:div>
        <w:div w:id="343483991">
          <w:marLeft w:val="835"/>
          <w:marRight w:val="0"/>
          <w:marTop w:val="77"/>
          <w:marBottom w:val="0"/>
          <w:divBdr>
            <w:top w:val="none" w:sz="0" w:space="0" w:color="auto"/>
            <w:left w:val="none" w:sz="0" w:space="0" w:color="auto"/>
            <w:bottom w:val="none" w:sz="0" w:space="0" w:color="auto"/>
            <w:right w:val="none" w:sz="0" w:space="0" w:color="auto"/>
          </w:divBdr>
        </w:div>
        <w:div w:id="517038880">
          <w:marLeft w:val="835"/>
          <w:marRight w:val="0"/>
          <w:marTop w:val="77"/>
          <w:marBottom w:val="0"/>
          <w:divBdr>
            <w:top w:val="none" w:sz="0" w:space="0" w:color="auto"/>
            <w:left w:val="none" w:sz="0" w:space="0" w:color="auto"/>
            <w:bottom w:val="none" w:sz="0" w:space="0" w:color="auto"/>
            <w:right w:val="none" w:sz="0" w:space="0" w:color="auto"/>
          </w:divBdr>
        </w:div>
        <w:div w:id="527792698">
          <w:marLeft w:val="835"/>
          <w:marRight w:val="0"/>
          <w:marTop w:val="77"/>
          <w:marBottom w:val="0"/>
          <w:divBdr>
            <w:top w:val="none" w:sz="0" w:space="0" w:color="auto"/>
            <w:left w:val="none" w:sz="0" w:space="0" w:color="auto"/>
            <w:bottom w:val="none" w:sz="0" w:space="0" w:color="auto"/>
            <w:right w:val="none" w:sz="0" w:space="0" w:color="auto"/>
          </w:divBdr>
        </w:div>
        <w:div w:id="582299001">
          <w:marLeft w:val="835"/>
          <w:marRight w:val="0"/>
          <w:marTop w:val="77"/>
          <w:marBottom w:val="0"/>
          <w:divBdr>
            <w:top w:val="none" w:sz="0" w:space="0" w:color="auto"/>
            <w:left w:val="none" w:sz="0" w:space="0" w:color="auto"/>
            <w:bottom w:val="none" w:sz="0" w:space="0" w:color="auto"/>
            <w:right w:val="none" w:sz="0" w:space="0" w:color="auto"/>
          </w:divBdr>
        </w:div>
        <w:div w:id="682249816">
          <w:marLeft w:val="835"/>
          <w:marRight w:val="0"/>
          <w:marTop w:val="77"/>
          <w:marBottom w:val="0"/>
          <w:divBdr>
            <w:top w:val="none" w:sz="0" w:space="0" w:color="auto"/>
            <w:left w:val="none" w:sz="0" w:space="0" w:color="auto"/>
            <w:bottom w:val="none" w:sz="0" w:space="0" w:color="auto"/>
            <w:right w:val="none" w:sz="0" w:space="0" w:color="auto"/>
          </w:divBdr>
        </w:div>
        <w:div w:id="1001084863">
          <w:marLeft w:val="835"/>
          <w:marRight w:val="0"/>
          <w:marTop w:val="77"/>
          <w:marBottom w:val="0"/>
          <w:divBdr>
            <w:top w:val="none" w:sz="0" w:space="0" w:color="auto"/>
            <w:left w:val="none" w:sz="0" w:space="0" w:color="auto"/>
            <w:bottom w:val="none" w:sz="0" w:space="0" w:color="auto"/>
            <w:right w:val="none" w:sz="0" w:space="0" w:color="auto"/>
          </w:divBdr>
        </w:div>
        <w:div w:id="1040934809">
          <w:marLeft w:val="835"/>
          <w:marRight w:val="0"/>
          <w:marTop w:val="77"/>
          <w:marBottom w:val="0"/>
          <w:divBdr>
            <w:top w:val="none" w:sz="0" w:space="0" w:color="auto"/>
            <w:left w:val="none" w:sz="0" w:space="0" w:color="auto"/>
            <w:bottom w:val="none" w:sz="0" w:space="0" w:color="auto"/>
            <w:right w:val="none" w:sz="0" w:space="0" w:color="auto"/>
          </w:divBdr>
        </w:div>
        <w:div w:id="1047296576">
          <w:marLeft w:val="835"/>
          <w:marRight w:val="0"/>
          <w:marTop w:val="77"/>
          <w:marBottom w:val="0"/>
          <w:divBdr>
            <w:top w:val="none" w:sz="0" w:space="0" w:color="auto"/>
            <w:left w:val="none" w:sz="0" w:space="0" w:color="auto"/>
            <w:bottom w:val="none" w:sz="0" w:space="0" w:color="auto"/>
            <w:right w:val="none" w:sz="0" w:space="0" w:color="auto"/>
          </w:divBdr>
        </w:div>
        <w:div w:id="1183864182">
          <w:marLeft w:val="835"/>
          <w:marRight w:val="0"/>
          <w:marTop w:val="77"/>
          <w:marBottom w:val="0"/>
          <w:divBdr>
            <w:top w:val="none" w:sz="0" w:space="0" w:color="auto"/>
            <w:left w:val="none" w:sz="0" w:space="0" w:color="auto"/>
            <w:bottom w:val="none" w:sz="0" w:space="0" w:color="auto"/>
            <w:right w:val="none" w:sz="0" w:space="0" w:color="auto"/>
          </w:divBdr>
        </w:div>
        <w:div w:id="1536230010">
          <w:marLeft w:val="835"/>
          <w:marRight w:val="0"/>
          <w:marTop w:val="77"/>
          <w:marBottom w:val="0"/>
          <w:divBdr>
            <w:top w:val="none" w:sz="0" w:space="0" w:color="auto"/>
            <w:left w:val="none" w:sz="0" w:space="0" w:color="auto"/>
            <w:bottom w:val="none" w:sz="0" w:space="0" w:color="auto"/>
            <w:right w:val="none" w:sz="0" w:space="0" w:color="auto"/>
          </w:divBdr>
        </w:div>
        <w:div w:id="1678574259">
          <w:marLeft w:val="835"/>
          <w:marRight w:val="0"/>
          <w:marTop w:val="77"/>
          <w:marBottom w:val="0"/>
          <w:divBdr>
            <w:top w:val="none" w:sz="0" w:space="0" w:color="auto"/>
            <w:left w:val="none" w:sz="0" w:space="0" w:color="auto"/>
            <w:bottom w:val="none" w:sz="0" w:space="0" w:color="auto"/>
            <w:right w:val="none" w:sz="0" w:space="0" w:color="auto"/>
          </w:divBdr>
        </w:div>
        <w:div w:id="1766686590">
          <w:marLeft w:val="835"/>
          <w:marRight w:val="0"/>
          <w:marTop w:val="77"/>
          <w:marBottom w:val="0"/>
          <w:divBdr>
            <w:top w:val="none" w:sz="0" w:space="0" w:color="auto"/>
            <w:left w:val="none" w:sz="0" w:space="0" w:color="auto"/>
            <w:bottom w:val="none" w:sz="0" w:space="0" w:color="auto"/>
            <w:right w:val="none" w:sz="0" w:space="0" w:color="auto"/>
          </w:divBdr>
        </w:div>
      </w:divsChild>
    </w:div>
    <w:div w:id="1709261678">
      <w:bodyDiv w:val="1"/>
      <w:marLeft w:val="0"/>
      <w:marRight w:val="0"/>
      <w:marTop w:val="0"/>
      <w:marBottom w:val="0"/>
      <w:divBdr>
        <w:top w:val="none" w:sz="0" w:space="0" w:color="auto"/>
        <w:left w:val="none" w:sz="0" w:space="0" w:color="auto"/>
        <w:bottom w:val="none" w:sz="0" w:space="0" w:color="auto"/>
        <w:right w:val="none" w:sz="0" w:space="0" w:color="auto"/>
      </w:divBdr>
    </w:div>
    <w:div w:id="1721246532">
      <w:bodyDiv w:val="1"/>
      <w:marLeft w:val="0"/>
      <w:marRight w:val="0"/>
      <w:marTop w:val="0"/>
      <w:marBottom w:val="0"/>
      <w:divBdr>
        <w:top w:val="none" w:sz="0" w:space="0" w:color="auto"/>
        <w:left w:val="none" w:sz="0" w:space="0" w:color="auto"/>
        <w:bottom w:val="none" w:sz="0" w:space="0" w:color="auto"/>
        <w:right w:val="none" w:sz="0" w:space="0" w:color="auto"/>
      </w:divBdr>
    </w:div>
    <w:div w:id="1724599162">
      <w:bodyDiv w:val="1"/>
      <w:marLeft w:val="0"/>
      <w:marRight w:val="0"/>
      <w:marTop w:val="0"/>
      <w:marBottom w:val="0"/>
      <w:divBdr>
        <w:top w:val="none" w:sz="0" w:space="0" w:color="auto"/>
        <w:left w:val="none" w:sz="0" w:space="0" w:color="auto"/>
        <w:bottom w:val="none" w:sz="0" w:space="0" w:color="auto"/>
        <w:right w:val="none" w:sz="0" w:space="0" w:color="auto"/>
      </w:divBdr>
    </w:div>
    <w:div w:id="1758675627">
      <w:bodyDiv w:val="1"/>
      <w:marLeft w:val="0"/>
      <w:marRight w:val="0"/>
      <w:marTop w:val="0"/>
      <w:marBottom w:val="0"/>
      <w:divBdr>
        <w:top w:val="none" w:sz="0" w:space="0" w:color="auto"/>
        <w:left w:val="none" w:sz="0" w:space="0" w:color="auto"/>
        <w:bottom w:val="none" w:sz="0" w:space="0" w:color="auto"/>
        <w:right w:val="none" w:sz="0" w:space="0" w:color="auto"/>
      </w:divBdr>
    </w:div>
    <w:div w:id="1784182818">
      <w:bodyDiv w:val="1"/>
      <w:marLeft w:val="0"/>
      <w:marRight w:val="0"/>
      <w:marTop w:val="0"/>
      <w:marBottom w:val="0"/>
      <w:divBdr>
        <w:top w:val="none" w:sz="0" w:space="0" w:color="auto"/>
        <w:left w:val="none" w:sz="0" w:space="0" w:color="auto"/>
        <w:bottom w:val="none" w:sz="0" w:space="0" w:color="auto"/>
        <w:right w:val="none" w:sz="0" w:space="0" w:color="auto"/>
      </w:divBdr>
    </w:div>
    <w:div w:id="1822848518">
      <w:bodyDiv w:val="1"/>
      <w:marLeft w:val="0"/>
      <w:marRight w:val="0"/>
      <w:marTop w:val="0"/>
      <w:marBottom w:val="0"/>
      <w:divBdr>
        <w:top w:val="none" w:sz="0" w:space="0" w:color="auto"/>
        <w:left w:val="none" w:sz="0" w:space="0" w:color="auto"/>
        <w:bottom w:val="none" w:sz="0" w:space="0" w:color="auto"/>
        <w:right w:val="none" w:sz="0" w:space="0" w:color="auto"/>
      </w:divBdr>
    </w:div>
    <w:div w:id="1836188677">
      <w:bodyDiv w:val="1"/>
      <w:marLeft w:val="0"/>
      <w:marRight w:val="0"/>
      <w:marTop w:val="0"/>
      <w:marBottom w:val="0"/>
      <w:divBdr>
        <w:top w:val="none" w:sz="0" w:space="0" w:color="auto"/>
        <w:left w:val="none" w:sz="0" w:space="0" w:color="auto"/>
        <w:bottom w:val="none" w:sz="0" w:space="0" w:color="auto"/>
        <w:right w:val="none" w:sz="0" w:space="0" w:color="auto"/>
      </w:divBdr>
    </w:div>
    <w:div w:id="1852639248">
      <w:bodyDiv w:val="1"/>
      <w:marLeft w:val="0"/>
      <w:marRight w:val="0"/>
      <w:marTop w:val="0"/>
      <w:marBottom w:val="0"/>
      <w:divBdr>
        <w:top w:val="none" w:sz="0" w:space="0" w:color="auto"/>
        <w:left w:val="none" w:sz="0" w:space="0" w:color="auto"/>
        <w:bottom w:val="none" w:sz="0" w:space="0" w:color="auto"/>
        <w:right w:val="none" w:sz="0" w:space="0" w:color="auto"/>
      </w:divBdr>
    </w:div>
    <w:div w:id="1871453765">
      <w:bodyDiv w:val="1"/>
      <w:marLeft w:val="0"/>
      <w:marRight w:val="0"/>
      <w:marTop w:val="0"/>
      <w:marBottom w:val="0"/>
      <w:divBdr>
        <w:top w:val="none" w:sz="0" w:space="0" w:color="auto"/>
        <w:left w:val="none" w:sz="0" w:space="0" w:color="auto"/>
        <w:bottom w:val="none" w:sz="0" w:space="0" w:color="auto"/>
        <w:right w:val="none" w:sz="0" w:space="0" w:color="auto"/>
      </w:divBdr>
    </w:div>
    <w:div w:id="1898121776">
      <w:bodyDiv w:val="1"/>
      <w:marLeft w:val="0"/>
      <w:marRight w:val="0"/>
      <w:marTop w:val="0"/>
      <w:marBottom w:val="0"/>
      <w:divBdr>
        <w:top w:val="none" w:sz="0" w:space="0" w:color="auto"/>
        <w:left w:val="none" w:sz="0" w:space="0" w:color="auto"/>
        <w:bottom w:val="none" w:sz="0" w:space="0" w:color="auto"/>
        <w:right w:val="none" w:sz="0" w:space="0" w:color="auto"/>
      </w:divBdr>
    </w:div>
    <w:div w:id="1901013972">
      <w:bodyDiv w:val="1"/>
      <w:marLeft w:val="0"/>
      <w:marRight w:val="0"/>
      <w:marTop w:val="0"/>
      <w:marBottom w:val="0"/>
      <w:divBdr>
        <w:top w:val="none" w:sz="0" w:space="0" w:color="auto"/>
        <w:left w:val="none" w:sz="0" w:space="0" w:color="auto"/>
        <w:bottom w:val="none" w:sz="0" w:space="0" w:color="auto"/>
        <w:right w:val="none" w:sz="0" w:space="0" w:color="auto"/>
      </w:divBdr>
    </w:div>
    <w:div w:id="1901860919">
      <w:bodyDiv w:val="1"/>
      <w:marLeft w:val="0"/>
      <w:marRight w:val="0"/>
      <w:marTop w:val="0"/>
      <w:marBottom w:val="0"/>
      <w:divBdr>
        <w:top w:val="none" w:sz="0" w:space="0" w:color="auto"/>
        <w:left w:val="none" w:sz="0" w:space="0" w:color="auto"/>
        <w:bottom w:val="none" w:sz="0" w:space="0" w:color="auto"/>
        <w:right w:val="none" w:sz="0" w:space="0" w:color="auto"/>
      </w:divBdr>
    </w:div>
    <w:div w:id="1934895403">
      <w:bodyDiv w:val="1"/>
      <w:marLeft w:val="0"/>
      <w:marRight w:val="0"/>
      <w:marTop w:val="0"/>
      <w:marBottom w:val="0"/>
      <w:divBdr>
        <w:top w:val="none" w:sz="0" w:space="0" w:color="auto"/>
        <w:left w:val="none" w:sz="0" w:space="0" w:color="auto"/>
        <w:bottom w:val="none" w:sz="0" w:space="0" w:color="auto"/>
        <w:right w:val="none" w:sz="0" w:space="0" w:color="auto"/>
      </w:divBdr>
    </w:div>
    <w:div w:id="1986471898">
      <w:bodyDiv w:val="1"/>
      <w:marLeft w:val="0"/>
      <w:marRight w:val="0"/>
      <w:marTop w:val="0"/>
      <w:marBottom w:val="0"/>
      <w:divBdr>
        <w:top w:val="none" w:sz="0" w:space="0" w:color="auto"/>
        <w:left w:val="none" w:sz="0" w:space="0" w:color="auto"/>
        <w:bottom w:val="none" w:sz="0" w:space="0" w:color="auto"/>
        <w:right w:val="none" w:sz="0" w:space="0" w:color="auto"/>
      </w:divBdr>
    </w:div>
    <w:div w:id="1988238478">
      <w:bodyDiv w:val="1"/>
      <w:marLeft w:val="0"/>
      <w:marRight w:val="0"/>
      <w:marTop w:val="0"/>
      <w:marBottom w:val="0"/>
      <w:divBdr>
        <w:top w:val="none" w:sz="0" w:space="0" w:color="auto"/>
        <w:left w:val="none" w:sz="0" w:space="0" w:color="auto"/>
        <w:bottom w:val="none" w:sz="0" w:space="0" w:color="auto"/>
        <w:right w:val="none" w:sz="0" w:space="0" w:color="auto"/>
      </w:divBdr>
    </w:div>
    <w:div w:id="1991211227">
      <w:bodyDiv w:val="1"/>
      <w:marLeft w:val="0"/>
      <w:marRight w:val="0"/>
      <w:marTop w:val="0"/>
      <w:marBottom w:val="0"/>
      <w:divBdr>
        <w:top w:val="none" w:sz="0" w:space="0" w:color="auto"/>
        <w:left w:val="none" w:sz="0" w:space="0" w:color="auto"/>
        <w:bottom w:val="none" w:sz="0" w:space="0" w:color="auto"/>
        <w:right w:val="none" w:sz="0" w:space="0" w:color="auto"/>
      </w:divBdr>
    </w:div>
    <w:div w:id="2001425795">
      <w:bodyDiv w:val="1"/>
      <w:marLeft w:val="0"/>
      <w:marRight w:val="0"/>
      <w:marTop w:val="0"/>
      <w:marBottom w:val="0"/>
      <w:divBdr>
        <w:top w:val="none" w:sz="0" w:space="0" w:color="auto"/>
        <w:left w:val="none" w:sz="0" w:space="0" w:color="auto"/>
        <w:bottom w:val="none" w:sz="0" w:space="0" w:color="auto"/>
        <w:right w:val="none" w:sz="0" w:space="0" w:color="auto"/>
      </w:divBdr>
    </w:div>
    <w:div w:id="2031251550">
      <w:bodyDiv w:val="1"/>
      <w:marLeft w:val="0"/>
      <w:marRight w:val="0"/>
      <w:marTop w:val="0"/>
      <w:marBottom w:val="0"/>
      <w:divBdr>
        <w:top w:val="none" w:sz="0" w:space="0" w:color="auto"/>
        <w:left w:val="none" w:sz="0" w:space="0" w:color="auto"/>
        <w:bottom w:val="none" w:sz="0" w:space="0" w:color="auto"/>
        <w:right w:val="none" w:sz="0" w:space="0" w:color="auto"/>
      </w:divBdr>
    </w:div>
    <w:div w:id="2121216306">
      <w:bodyDiv w:val="1"/>
      <w:marLeft w:val="0"/>
      <w:marRight w:val="0"/>
      <w:marTop w:val="0"/>
      <w:marBottom w:val="0"/>
      <w:divBdr>
        <w:top w:val="none" w:sz="0" w:space="0" w:color="auto"/>
        <w:left w:val="none" w:sz="0" w:space="0" w:color="auto"/>
        <w:bottom w:val="none" w:sz="0" w:space="0" w:color="auto"/>
        <w:right w:val="none" w:sz="0" w:space="0" w:color="auto"/>
      </w:divBdr>
    </w:div>
    <w:div w:id="2125271976">
      <w:bodyDiv w:val="1"/>
      <w:marLeft w:val="0"/>
      <w:marRight w:val="0"/>
      <w:marTop w:val="0"/>
      <w:marBottom w:val="0"/>
      <w:divBdr>
        <w:top w:val="none" w:sz="0" w:space="0" w:color="auto"/>
        <w:left w:val="none" w:sz="0" w:space="0" w:color="auto"/>
        <w:bottom w:val="none" w:sz="0" w:space="0" w:color="auto"/>
        <w:right w:val="none" w:sz="0" w:space="0" w:color="auto"/>
      </w:divBdr>
    </w:div>
    <w:div w:id="21318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oter2.xml" Type="http://schemas.openxmlformats.org/officeDocument/2006/relationships/footer"/><Relationship Id="rId14" Target="charts/chart1.xml" Type="http://schemas.openxmlformats.org/officeDocument/2006/relationships/chart"/><Relationship Id="rId15" Target="https://www.teleaccords.travail-emploi.gouv.fr/PortailTeleprocedures/" TargetMode="External" Type="http://schemas.openxmlformats.org/officeDocument/2006/relationships/hyperlink"/><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insee.fr/fr/statistiques/6688389" TargetMode="External" Type="http://schemas.openxmlformats.org/officeDocument/2006/relationships/hyperlink"/><Relationship Id="rId9" Target="header1.xml" Type="http://schemas.openxmlformats.org/officeDocument/2006/relationships/header"/></Relationships>
</file>

<file path=word/charts/_rels/chart1.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file://///S-CZ284305LS-B1.dom1.vinci-energies.net/Service%20du%20personnel/Accords,%20RI,%20contrats%20CLEMANCON/NAO/NAO%202023/Donn&#233;es/2022%20-%20Info%20du%20perso.xlsx" TargetMode="External" Type="http://schemas.openxmlformats.org/officeDocument/2006/relationships/oleObject"/></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[2022 - Info du perso.xlsx]Tranche d'âge!Tableau croisé dynamique1</c:name>
    <c:fmtId val="5"/>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'Tranche d''âge'!$B$3:$B$5</c:f>
              <c:strCache>
                <c:ptCount val="1"/>
                <c:pt idx="0">
                  <c:v>Cadres - Féminin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'Tranche d''âge'!$A$6:$A$15</c:f>
              <c:strCache>
                <c:ptCount val="9"/>
                <c:pt idx="0">
                  <c:v>moins de 26 ans</c:v>
                </c:pt>
                <c:pt idx="1">
                  <c:v>26 - 30 ans</c:v>
                </c:pt>
                <c:pt idx="2">
                  <c:v>31 - 35 ans</c:v>
                </c:pt>
                <c:pt idx="3">
                  <c:v>36 - 40 ans</c:v>
                </c:pt>
                <c:pt idx="4">
                  <c:v>41 - 45 ans</c:v>
                </c:pt>
                <c:pt idx="5">
                  <c:v>46 - 50 ans</c:v>
                </c:pt>
                <c:pt idx="6">
                  <c:v>51 - 55 ans</c:v>
                </c:pt>
                <c:pt idx="7">
                  <c:v>56 - 60 ans</c:v>
                </c:pt>
                <c:pt idx="8">
                  <c:v>plus de 60 ans</c:v>
                </c:pt>
              </c:strCache>
            </c:strRef>
          </c:cat>
          <c:val>
            <c:numRef>
              <c:f>'Tranche d''âge'!$B$6:$B$15</c:f>
              <c:numCache>
                <c:formatCode>General</c:formatCode>
                <c:ptCount val="9"/>
                <c:pt idx="1">
                  <c:v>1</c:v>
                </c:pt>
                <c:pt idx="2">
                  <c:v>1</c:v>
                </c:pt>
              </c:numCache>
            </c:numRef>
          </c:val>
          <c:extLst>
            <c:ext xmlns:c16="http://schemas.microsoft.com/office/drawing/2014/chart" uri="{C3380CC4-5D6E-409C-BE32-E72D297353CC}">
              <c16:uniqueId val="{00000000-7CE2-4079-B7CE-537C1D02BB54}"/>
            </c:ext>
          </c:extLst>
        </c:ser>
        <c:ser>
          <c:idx val="1"/>
          <c:order val="1"/>
          <c:tx>
            <c:strRef>
              <c:f>'Tranche d''âge'!$C$3:$C$5</c:f>
              <c:strCache>
                <c:ptCount val="1"/>
                <c:pt idx="0">
                  <c:v>Cadres - Masculin</c:v>
                </c:pt>
              </c:strCache>
            </c:strRef>
          </c:tx>
          <c:spPr>
            <a:solidFill>
              <a:srgbClr val="FFFF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'Tranche d''âge'!$A$6:$A$15</c:f>
              <c:strCache>
                <c:ptCount val="9"/>
                <c:pt idx="0">
                  <c:v>moins de 26 ans</c:v>
                </c:pt>
                <c:pt idx="1">
                  <c:v>26 - 30 ans</c:v>
                </c:pt>
                <c:pt idx="2">
                  <c:v>31 - 35 ans</c:v>
                </c:pt>
                <c:pt idx="3">
                  <c:v>36 - 40 ans</c:v>
                </c:pt>
                <c:pt idx="4">
                  <c:v>41 - 45 ans</c:v>
                </c:pt>
                <c:pt idx="5">
                  <c:v>46 - 50 ans</c:v>
                </c:pt>
                <c:pt idx="6">
                  <c:v>51 - 55 ans</c:v>
                </c:pt>
                <c:pt idx="7">
                  <c:v>56 - 60 ans</c:v>
                </c:pt>
                <c:pt idx="8">
                  <c:v>plus de 60 ans</c:v>
                </c:pt>
              </c:strCache>
            </c:strRef>
          </c:cat>
          <c:val>
            <c:numRef>
              <c:f>'Tranche d''âge'!$C$6:$C$15</c:f>
              <c:numCache>
                <c:formatCode>General</c:formatCode>
                <c:ptCount val="9"/>
                <c:pt idx="0">
                  <c:v>2</c:v>
                </c:pt>
                <c:pt idx="1">
                  <c:v>5</c:v>
                </c:pt>
                <c:pt idx="2">
                  <c:v>3</c:v>
                </c:pt>
                <c:pt idx="3">
                  <c:v>3</c:v>
                </c:pt>
                <c:pt idx="4">
                  <c:v>1</c:v>
                </c:pt>
                <c:pt idx="5">
                  <c:v>4</c:v>
                </c:pt>
                <c:pt idx="6">
                  <c:v>2</c:v>
                </c:pt>
                <c:pt idx="7">
                  <c:v>1</c:v>
                </c:pt>
              </c:numCache>
            </c:numRef>
          </c:val>
          <c:extLst>
            <c:ext xmlns:c16="http://schemas.microsoft.com/office/drawing/2014/chart" uri="{C3380CC4-5D6E-409C-BE32-E72D297353CC}">
              <c16:uniqueId val="{00000001-7CE2-4079-B7CE-537C1D02BB54}"/>
            </c:ext>
          </c:extLst>
        </c:ser>
        <c:ser>
          <c:idx val="2"/>
          <c:order val="2"/>
          <c:tx>
            <c:strRef>
              <c:f>'Tranche d''âge'!$E$3:$E$5</c:f>
              <c:strCache>
                <c:ptCount val="1"/>
                <c:pt idx="0">
                  <c:v>ETAM - Féminin</c:v>
                </c:pt>
              </c:strCache>
            </c:strRef>
          </c:tx>
          <c:spPr>
            <a:solidFill>
              <a:srgbClr val="FF99F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'Tranche d''âge'!$A$6:$A$15</c:f>
              <c:strCache>
                <c:ptCount val="9"/>
                <c:pt idx="0">
                  <c:v>moins de 26 ans</c:v>
                </c:pt>
                <c:pt idx="1">
                  <c:v>26 - 30 ans</c:v>
                </c:pt>
                <c:pt idx="2">
                  <c:v>31 - 35 ans</c:v>
                </c:pt>
                <c:pt idx="3">
                  <c:v>36 - 40 ans</c:v>
                </c:pt>
                <c:pt idx="4">
                  <c:v>41 - 45 ans</c:v>
                </c:pt>
                <c:pt idx="5">
                  <c:v>46 - 50 ans</c:v>
                </c:pt>
                <c:pt idx="6">
                  <c:v>51 - 55 ans</c:v>
                </c:pt>
                <c:pt idx="7">
                  <c:v>56 - 60 ans</c:v>
                </c:pt>
                <c:pt idx="8">
                  <c:v>plus de 60 ans</c:v>
                </c:pt>
              </c:strCache>
            </c:strRef>
          </c:cat>
          <c:val>
            <c:numRef>
              <c:f>'Tranche d''âge'!$E$6:$E$15</c:f>
              <c:numCache>
                <c:formatCode>General</c:formatCode>
                <c:ptCount val="9"/>
                <c:pt idx="3">
                  <c:v>2</c:v>
                </c:pt>
                <c:pt idx="4">
                  <c:v>1</c:v>
                </c:pt>
                <c:pt idx="5">
                  <c:v>1</c:v>
                </c:pt>
                <c:pt idx="6">
                  <c:v>1</c:v>
                </c:pt>
              </c:numCache>
            </c:numRef>
          </c:val>
          <c:extLst>
            <c:ext xmlns:c16="http://schemas.microsoft.com/office/drawing/2014/chart" uri="{C3380CC4-5D6E-409C-BE32-E72D297353CC}">
              <c16:uniqueId val="{00000002-7CE2-4079-B7CE-537C1D02BB54}"/>
            </c:ext>
          </c:extLst>
        </c:ser>
        <c:ser>
          <c:idx val="3"/>
          <c:order val="3"/>
          <c:tx>
            <c:strRef>
              <c:f>'Tranche d''âge'!$F$3:$F$5</c:f>
              <c:strCache>
                <c:ptCount val="1"/>
                <c:pt idx="0">
                  <c:v>ETAM - Masculin</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'Tranche d''âge'!$A$6:$A$15</c:f>
              <c:strCache>
                <c:ptCount val="9"/>
                <c:pt idx="0">
                  <c:v>moins de 26 ans</c:v>
                </c:pt>
                <c:pt idx="1">
                  <c:v>26 - 30 ans</c:v>
                </c:pt>
                <c:pt idx="2">
                  <c:v>31 - 35 ans</c:v>
                </c:pt>
                <c:pt idx="3">
                  <c:v>36 - 40 ans</c:v>
                </c:pt>
                <c:pt idx="4">
                  <c:v>41 - 45 ans</c:v>
                </c:pt>
                <c:pt idx="5">
                  <c:v>46 - 50 ans</c:v>
                </c:pt>
                <c:pt idx="6">
                  <c:v>51 - 55 ans</c:v>
                </c:pt>
                <c:pt idx="7">
                  <c:v>56 - 60 ans</c:v>
                </c:pt>
                <c:pt idx="8">
                  <c:v>plus de 60 ans</c:v>
                </c:pt>
              </c:strCache>
            </c:strRef>
          </c:cat>
          <c:val>
            <c:numRef>
              <c:f>'Tranche d''âge'!$F$6:$F$15</c:f>
              <c:numCache>
                <c:formatCode>General</c:formatCode>
                <c:ptCount val="9"/>
                <c:pt idx="0">
                  <c:v>2</c:v>
                </c:pt>
                <c:pt idx="1">
                  <c:v>1</c:v>
                </c:pt>
                <c:pt idx="2">
                  <c:v>1</c:v>
                </c:pt>
                <c:pt idx="3">
                  <c:v>1</c:v>
                </c:pt>
                <c:pt idx="5">
                  <c:v>6</c:v>
                </c:pt>
                <c:pt idx="6">
                  <c:v>6</c:v>
                </c:pt>
                <c:pt idx="7">
                  <c:v>1</c:v>
                </c:pt>
                <c:pt idx="8">
                  <c:v>1</c:v>
                </c:pt>
              </c:numCache>
            </c:numRef>
          </c:val>
          <c:extLst>
            <c:ext xmlns:c16="http://schemas.microsoft.com/office/drawing/2014/chart" uri="{C3380CC4-5D6E-409C-BE32-E72D297353CC}">
              <c16:uniqueId val="{00000003-7CE2-4079-B7CE-537C1D02BB54}"/>
            </c:ext>
          </c:extLst>
        </c:ser>
        <c:ser>
          <c:idx val="4"/>
          <c:order val="4"/>
          <c:tx>
            <c:strRef>
              <c:f>'Tranche d''âge'!$H$3:$H$5</c:f>
              <c:strCache>
                <c:ptCount val="1"/>
                <c:pt idx="0">
                  <c:v>Ouvriers - Masculin</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'Tranche d''âge'!$A$6:$A$15</c:f>
              <c:strCache>
                <c:ptCount val="9"/>
                <c:pt idx="0">
                  <c:v>moins de 26 ans</c:v>
                </c:pt>
                <c:pt idx="1">
                  <c:v>26 - 30 ans</c:v>
                </c:pt>
                <c:pt idx="2">
                  <c:v>31 - 35 ans</c:v>
                </c:pt>
                <c:pt idx="3">
                  <c:v>36 - 40 ans</c:v>
                </c:pt>
                <c:pt idx="4">
                  <c:v>41 - 45 ans</c:v>
                </c:pt>
                <c:pt idx="5">
                  <c:v>46 - 50 ans</c:v>
                </c:pt>
                <c:pt idx="6">
                  <c:v>51 - 55 ans</c:v>
                </c:pt>
                <c:pt idx="7">
                  <c:v>56 - 60 ans</c:v>
                </c:pt>
                <c:pt idx="8">
                  <c:v>plus de 60 ans</c:v>
                </c:pt>
              </c:strCache>
            </c:strRef>
          </c:cat>
          <c:val>
            <c:numRef>
              <c:f>'Tranche d''âge'!$H$6:$H$15</c:f>
              <c:numCache>
                <c:formatCode>General</c:formatCode>
                <c:ptCount val="9"/>
                <c:pt idx="0">
                  <c:v>9</c:v>
                </c:pt>
                <c:pt idx="1">
                  <c:v>3</c:v>
                </c:pt>
                <c:pt idx="2">
                  <c:v>5</c:v>
                </c:pt>
                <c:pt idx="3">
                  <c:v>2</c:v>
                </c:pt>
                <c:pt idx="4">
                  <c:v>4</c:v>
                </c:pt>
                <c:pt idx="5">
                  <c:v>1</c:v>
                </c:pt>
                <c:pt idx="6">
                  <c:v>2</c:v>
                </c:pt>
                <c:pt idx="7">
                  <c:v>3</c:v>
                </c:pt>
                <c:pt idx="8">
                  <c:v>2</c:v>
                </c:pt>
              </c:numCache>
            </c:numRef>
          </c:val>
          <c:extLst>
            <c:ext xmlns:c16="http://schemas.microsoft.com/office/drawing/2014/chart" uri="{C3380CC4-5D6E-409C-BE32-E72D297353CC}">
              <c16:uniqueId val="{00000004-7CE2-4079-B7CE-537C1D02BB54}"/>
            </c:ext>
          </c:extLst>
        </c:ser>
        <c:dLbls>
          <c:showLegendKey val="0"/>
          <c:showVal val="0"/>
          <c:showCatName val="0"/>
          <c:showSerName val="0"/>
          <c:showPercent val="0"/>
          <c:showBubbleSize val="0"/>
        </c:dLbls>
        <c:gapWidth val="182"/>
        <c:overlap val="100"/>
        <c:axId val="817126000"/>
        <c:axId val="817125344"/>
      </c:barChart>
      <c:catAx>
        <c:axId val="817126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7125344"/>
        <c:crosses val="autoZero"/>
        <c:auto val="1"/>
        <c:lblAlgn val="ctr"/>
        <c:lblOffset val="100"/>
        <c:noMultiLvlLbl val="0"/>
      </c:catAx>
      <c:valAx>
        <c:axId val="817125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17126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5CA5-FFC2-4FDB-9544-FB5E16F1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7</Pages>
  <Words>2361</Words>
  <Characters>12670</Characters>
  <Application>Microsoft Office Word</Application>
  <DocSecurity>0</DocSecurity>
  <Lines>105</Lines>
  <Paragraphs>30</Paragraphs>
  <ScaleCrop>false</ScaleCrop>
  <HeadingPairs>
    <vt:vector baseType="variant" size="2">
      <vt:variant>
        <vt:lpstr>Titre</vt:lpstr>
      </vt:variant>
      <vt:variant>
        <vt:i4>1</vt:i4>
      </vt:variant>
    </vt:vector>
  </HeadingPairs>
  <TitlesOfParts>
    <vt:vector baseType="lpstr" size="1">
      <vt:lpstr>NEGOCIATION ANNUELLE OBLIGATOIRE</vt:lpstr>
    </vt:vector>
  </TitlesOfParts>
  <Company>Bonna Sabla</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2021-01-07T16:19:00Z</dcterms:created>
  <cp:lastPrinted>2023-01-26T14:06:00Z</cp:lastPrinted>
  <dcterms:modified xsi:type="dcterms:W3CDTF">2023-01-27T10:12:00Z</dcterms:modified>
  <cp:revision>199</cp:revision>
  <dc:title>NEGOCIATION ANNUELLE OBLIGATOIRE</dc:title>
</cp:coreProperties>
</file>