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7E6B4E3B" w14:textId="77777777" w:rsidR="00F90E5D" w:rsidRDefault="00A824E0">
      <w:pPr>
        <w:tabs>
          <w:tab w:pos="5529" w:val="left"/>
        </w:tabs>
        <w:ind w:firstLine="4958" w:left="-1418" w:right="-286"/>
        <w:jc w:val="both"/>
        <w:rPr>
          <w:rFonts w:ascii="Arial" w:cs="Arial" w:eastAsia="Arial" w:hAnsi="Arial"/>
          <w:sz w:val="24"/>
          <w:szCs w:val="24"/>
        </w:rPr>
      </w:pPr>
      <w:bookmarkStart w:id="0" w:name="_GoBack"/>
      <w:bookmarkEnd w:id="0"/>
      <w:r>
        <w:rPr>
          <w:rFonts w:ascii="Arial" w:cs="Arial" w:eastAsia="Arial" w:hAnsi="Arial"/>
          <w:noProof/>
          <w:sz w:val="24"/>
          <w:szCs w:val="24"/>
        </w:rPr>
        <w:drawing>
          <wp:anchor allowOverlap="1" behindDoc="1" distB="0" distL="114300" distR="114300" distT="0" layoutInCell="1" locked="0" relativeHeight="251658240" simplePos="0" wp14:anchorId="09E7C923" wp14:editId="1C1BF3AC">
            <wp:simplePos x="0" y="0"/>
            <wp:positionH relativeFrom="column">
              <wp:posOffset>-147320</wp:posOffset>
            </wp:positionH>
            <wp:positionV relativeFrom="paragraph">
              <wp:posOffset>-110491</wp:posOffset>
            </wp:positionV>
            <wp:extent cx="1333500" cy="960693"/>
            <wp:effectExtent b="0" l="0" r="0" t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 pet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465" cy="976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525C4" w14:textId="77777777" w:rsidR="00F90E5D" w:rsidRDefault="00F90E5D">
      <w:pPr>
        <w:jc w:val="center"/>
        <w:rPr>
          <w:rFonts w:ascii="Arial" w:cs="Arial" w:eastAsia="Arial" w:hAnsi="Arial"/>
          <w:b/>
          <w:smallCaps/>
          <w:sz w:val="28"/>
          <w:szCs w:val="28"/>
        </w:rPr>
      </w:pPr>
    </w:p>
    <w:p w14:paraId="5BA6C59D" w14:textId="77777777" w:rsidR="00F90E5D" w:rsidRDefault="00F90E5D">
      <w:pPr>
        <w:jc w:val="center"/>
        <w:rPr>
          <w:rFonts w:ascii="Arial" w:cs="Arial" w:eastAsia="Arial" w:hAnsi="Arial"/>
          <w:b/>
          <w:smallCaps/>
          <w:sz w:val="28"/>
          <w:szCs w:val="28"/>
        </w:rPr>
      </w:pPr>
    </w:p>
    <w:p w14:paraId="27F80A27" w14:textId="6647752D" w:rsidR="00F90E5D" w:rsidRDefault="00F90E5D">
      <w:pPr>
        <w:jc w:val="center"/>
        <w:rPr>
          <w:rFonts w:ascii="Arial" w:cs="Arial" w:eastAsia="Arial" w:hAnsi="Arial"/>
          <w:b/>
          <w:smallCaps/>
          <w:sz w:val="28"/>
          <w:szCs w:val="28"/>
        </w:rPr>
      </w:pPr>
    </w:p>
    <w:p w14:paraId="5E6739B4" w14:textId="77777777" w:rsidR="00EE1532" w:rsidRDefault="00EE1532">
      <w:pPr>
        <w:jc w:val="center"/>
        <w:rPr>
          <w:rFonts w:ascii="Arial" w:cs="Arial" w:eastAsia="Arial" w:hAnsi="Arial"/>
          <w:b/>
          <w:smallCaps/>
          <w:sz w:val="28"/>
          <w:szCs w:val="28"/>
        </w:rPr>
      </w:pPr>
    </w:p>
    <w:p w14:paraId="71AA4624" w14:textId="77777777" w:rsidR="00A824E0" w:rsidRDefault="00A824E0">
      <w:pPr>
        <w:jc w:val="center"/>
        <w:rPr>
          <w:rFonts w:ascii="Arial" w:cs="Arial" w:eastAsia="Arial" w:hAnsi="Arial"/>
          <w:b/>
          <w:smallCaps/>
          <w:sz w:val="28"/>
          <w:szCs w:val="28"/>
        </w:rPr>
      </w:pPr>
    </w:p>
    <w:p w14:paraId="2C51DA53" w14:textId="77777777" w:rsidR="00F90E5D" w:rsidRDefault="00CA748E">
      <w:pPr>
        <w:jc w:val="center"/>
        <w:rPr>
          <w:rFonts w:ascii="Arial" w:cs="Arial" w:eastAsia="Arial" w:hAnsi="Arial"/>
          <w:b/>
          <w:smallCaps/>
          <w:sz w:val="28"/>
          <w:szCs w:val="28"/>
        </w:rPr>
      </w:pPr>
      <w:r>
        <w:rPr>
          <w:rFonts w:ascii="Arial" w:cs="Arial" w:eastAsia="Arial" w:hAnsi="Arial"/>
          <w:b/>
          <w:smallCaps/>
          <w:sz w:val="28"/>
          <w:szCs w:val="28"/>
        </w:rPr>
        <w:t xml:space="preserve">Négociations annuelles obligatoires </w:t>
      </w:r>
      <w:r w:rsidR="00A824E0">
        <w:rPr>
          <w:rFonts w:ascii="Arial" w:cs="Arial" w:eastAsia="Arial" w:hAnsi="Arial"/>
          <w:b/>
          <w:smallCaps/>
          <w:sz w:val="28"/>
          <w:szCs w:val="28"/>
        </w:rPr>
        <w:t>202</w:t>
      </w:r>
      <w:r w:rsidR="00A51D5E">
        <w:rPr>
          <w:rFonts w:ascii="Arial" w:cs="Arial" w:eastAsia="Arial" w:hAnsi="Arial"/>
          <w:b/>
          <w:smallCaps/>
          <w:sz w:val="28"/>
          <w:szCs w:val="28"/>
        </w:rPr>
        <w:t>2</w:t>
      </w:r>
    </w:p>
    <w:p w14:paraId="5B3176BF" w14:textId="4455416E" w:rsidR="00F90E5D" w:rsidRDefault="00F90E5D">
      <w:pPr>
        <w:rPr>
          <w:rFonts w:ascii="Arial" w:cs="Arial" w:eastAsia="Arial" w:hAnsi="Arial"/>
          <w:sz w:val="28"/>
          <w:szCs w:val="28"/>
        </w:rPr>
      </w:pPr>
    </w:p>
    <w:p w14:paraId="15BBF234" w14:textId="77777777" w:rsidR="00EE1532" w:rsidRDefault="00EE1532">
      <w:pPr>
        <w:rPr>
          <w:rFonts w:ascii="Arial" w:cs="Arial" w:eastAsia="Arial" w:hAnsi="Arial"/>
          <w:sz w:val="28"/>
          <w:szCs w:val="28"/>
        </w:rPr>
      </w:pPr>
    </w:p>
    <w:p w14:paraId="13A55A00" w14:textId="77777777" w:rsidR="00F90E5D" w:rsidRDefault="00F90E5D">
      <w:pPr>
        <w:rPr>
          <w:rFonts w:ascii="Arial" w:cs="Arial" w:eastAsia="Arial" w:hAnsi="Arial"/>
          <w:sz w:val="24"/>
          <w:szCs w:val="24"/>
        </w:rPr>
      </w:pPr>
    </w:p>
    <w:p w14:paraId="497A78F5" w14:textId="77777777" w:rsidR="00F90E5D" w:rsidRDefault="00CA748E" w:rsidRPr="00EE1532">
      <w:pPr>
        <w:rPr>
          <w:rFonts w:ascii="Arial" w:cs="Arial" w:eastAsia="Arial" w:hAnsi="Arial"/>
          <w:b/>
          <w:sz w:val="24"/>
          <w:szCs w:val="24"/>
        </w:rPr>
      </w:pPr>
      <w:r w:rsidRPr="00EE1532">
        <w:rPr>
          <w:rFonts w:ascii="Arial" w:cs="Arial" w:eastAsia="Arial" w:hAnsi="Arial"/>
          <w:b/>
          <w:sz w:val="24"/>
          <w:szCs w:val="24"/>
        </w:rPr>
        <w:t xml:space="preserve">ENTRE </w:t>
      </w:r>
    </w:p>
    <w:p w14:paraId="7A7F295D" w14:textId="77777777" w:rsidR="00F90E5D" w:rsidRDefault="00F90E5D" w:rsidRPr="00EE1532">
      <w:pPr>
        <w:rPr>
          <w:rFonts w:ascii="Arial" w:cs="Arial" w:eastAsia="Arial" w:hAnsi="Arial"/>
          <w:sz w:val="24"/>
          <w:szCs w:val="24"/>
        </w:rPr>
      </w:pPr>
    </w:p>
    <w:p w14:paraId="7B62D73B" w14:textId="16391DDC" w:rsidR="00F90E5D" w:rsidRDefault="00CA748E" w:rsidRPr="00EE1532">
      <w:pPr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La Direction </w:t>
      </w:r>
      <w:r w:rsidR="00A824E0" w:rsidRPr="00EE1532">
        <w:rPr>
          <w:rFonts w:ascii="Arial" w:cs="Arial" w:eastAsia="Arial" w:hAnsi="Arial"/>
          <w:sz w:val="24"/>
          <w:szCs w:val="24"/>
        </w:rPr>
        <w:t>de Créteil Habitat</w:t>
      </w:r>
      <w:r w:rsidRPr="00EE1532">
        <w:rPr>
          <w:rFonts w:ascii="Arial" w:cs="Arial" w:eastAsia="Arial" w:hAnsi="Arial"/>
          <w:i/>
          <w:sz w:val="24"/>
          <w:szCs w:val="24"/>
        </w:rPr>
        <w:t xml:space="preserve"> </w:t>
      </w:r>
      <w:r w:rsidRPr="00EE1532">
        <w:rPr>
          <w:rFonts w:ascii="Arial" w:cs="Arial" w:eastAsia="Arial" w:hAnsi="Arial"/>
          <w:sz w:val="24"/>
          <w:szCs w:val="24"/>
        </w:rPr>
        <w:t xml:space="preserve">représentée par </w:t>
      </w:r>
      <w:r w:rsidR="001D5C7B">
        <w:rPr>
          <w:rFonts w:ascii="Arial" w:cs="Arial" w:eastAsia="Arial" w:hAnsi="Arial"/>
          <w:sz w:val="24"/>
          <w:szCs w:val="24"/>
        </w:rPr>
        <w:t>&lt;&gt;</w:t>
      </w:r>
      <w:r w:rsidRPr="00EE1532">
        <w:rPr>
          <w:rFonts w:ascii="Arial" w:cs="Arial" w:eastAsia="Arial" w:hAnsi="Arial"/>
          <w:sz w:val="24"/>
          <w:szCs w:val="24"/>
        </w:rPr>
        <w:t xml:space="preserve">, </w:t>
      </w:r>
      <w:r w:rsidR="00A824E0" w:rsidRPr="00EE1532">
        <w:rPr>
          <w:rFonts w:ascii="Arial" w:cs="Arial" w:eastAsia="Arial" w:hAnsi="Arial"/>
          <w:sz w:val="24"/>
          <w:szCs w:val="24"/>
        </w:rPr>
        <w:t>Directeur Général</w:t>
      </w:r>
      <w:r w:rsidR="005A0F1C" w:rsidRPr="00EE1532">
        <w:rPr>
          <w:rFonts w:ascii="Arial" w:cs="Arial" w:eastAsia="Arial" w:hAnsi="Arial"/>
          <w:sz w:val="24"/>
          <w:szCs w:val="24"/>
        </w:rPr>
        <w:t xml:space="preserve"> </w:t>
      </w:r>
      <w:r w:rsidRPr="00EE1532">
        <w:rPr>
          <w:rFonts w:ascii="Arial" w:cs="Arial" w:eastAsia="Arial" w:hAnsi="Arial"/>
          <w:sz w:val="24"/>
          <w:szCs w:val="24"/>
        </w:rPr>
        <w:t>;</w:t>
      </w:r>
    </w:p>
    <w:p w14:paraId="19E7FBC8" w14:textId="77777777" w:rsidR="00F90E5D" w:rsidRDefault="00F90E5D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73B2D92E" w14:textId="77777777" w:rsidR="00F90E5D" w:rsidRDefault="00CA748E" w:rsidRPr="00EE1532">
      <w:pPr>
        <w:jc w:val="both"/>
        <w:rPr>
          <w:rFonts w:ascii="Arial" w:cs="Arial" w:eastAsia="Arial" w:hAnsi="Arial"/>
          <w:sz w:val="24"/>
          <w:szCs w:val="24"/>
        </w:rPr>
      </w:pPr>
      <w:proofErr w:type="gramStart"/>
      <w:r w:rsidRPr="00EE1532">
        <w:rPr>
          <w:rFonts w:ascii="Arial" w:cs="Arial" w:eastAsia="Arial" w:hAnsi="Arial"/>
          <w:sz w:val="24"/>
          <w:szCs w:val="24"/>
        </w:rPr>
        <w:t>d'une</w:t>
      </w:r>
      <w:proofErr w:type="gramEnd"/>
      <w:r w:rsidRPr="00EE1532">
        <w:rPr>
          <w:rFonts w:ascii="Arial" w:cs="Arial" w:eastAsia="Arial" w:hAnsi="Arial"/>
          <w:sz w:val="24"/>
          <w:szCs w:val="24"/>
        </w:rPr>
        <w:t xml:space="preserve"> part ;</w:t>
      </w:r>
    </w:p>
    <w:p w14:paraId="2F42BC63" w14:textId="77777777" w:rsidR="00F90E5D" w:rsidRDefault="00F90E5D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2E41F36A" w14:textId="77777777" w:rsidR="00F90E5D" w:rsidRDefault="00F90E5D" w:rsidRPr="00EE1532">
      <w:pPr>
        <w:rPr>
          <w:rFonts w:ascii="Arial" w:cs="Arial" w:eastAsia="Arial" w:hAnsi="Arial"/>
          <w:sz w:val="24"/>
          <w:szCs w:val="24"/>
        </w:rPr>
      </w:pPr>
    </w:p>
    <w:p w14:paraId="3323EDFE" w14:textId="77777777" w:rsidR="00F90E5D" w:rsidRDefault="00CA748E" w:rsidRPr="00EE1532">
      <w:pPr>
        <w:rPr>
          <w:rFonts w:ascii="Arial" w:cs="Arial" w:eastAsia="Arial" w:hAnsi="Arial"/>
          <w:b/>
          <w:sz w:val="24"/>
          <w:szCs w:val="24"/>
        </w:rPr>
      </w:pPr>
      <w:r w:rsidRPr="00EE1532">
        <w:rPr>
          <w:rFonts w:ascii="Arial" w:cs="Arial" w:eastAsia="Arial" w:hAnsi="Arial"/>
          <w:b/>
          <w:sz w:val="24"/>
          <w:szCs w:val="24"/>
        </w:rPr>
        <w:t>ET</w:t>
      </w:r>
    </w:p>
    <w:p w14:paraId="046E03DE" w14:textId="77777777" w:rsidR="00F90E5D" w:rsidRDefault="00F90E5D" w:rsidRPr="00EE1532">
      <w:pPr>
        <w:rPr>
          <w:rFonts w:ascii="Arial" w:cs="Arial" w:eastAsia="Arial" w:hAnsi="Arial"/>
          <w:b/>
          <w:sz w:val="24"/>
          <w:szCs w:val="24"/>
        </w:rPr>
      </w:pPr>
    </w:p>
    <w:p w14:paraId="0B96FFEB" w14:textId="77777777" w:rsidR="00F90E5D" w:rsidRDefault="00F90E5D" w:rsidRPr="00EE1532">
      <w:pPr>
        <w:rPr>
          <w:rFonts w:ascii="Arial" w:cs="Arial" w:eastAsia="Arial" w:hAnsi="Arial"/>
          <w:sz w:val="24"/>
          <w:szCs w:val="24"/>
        </w:rPr>
      </w:pPr>
    </w:p>
    <w:p w14:paraId="3AE48A8D" w14:textId="77777777" w:rsidR="00F90E5D" w:rsidRDefault="00CA748E" w:rsidRPr="00EE1532">
      <w:pPr>
        <w:rPr>
          <w:rFonts w:ascii="Arial" w:cs="Arial" w:eastAsia="Arial" w:hAnsi="Arial"/>
          <w:sz w:val="24"/>
          <w:szCs w:val="24"/>
        </w:rPr>
      </w:pPr>
      <w:proofErr w:type="gramStart"/>
      <w:r w:rsidRPr="00EE1532">
        <w:rPr>
          <w:rFonts w:ascii="Arial" w:cs="Arial" w:eastAsia="Arial" w:hAnsi="Arial"/>
          <w:sz w:val="24"/>
          <w:szCs w:val="24"/>
        </w:rPr>
        <w:t>les</w:t>
      </w:r>
      <w:proofErr w:type="gramEnd"/>
      <w:r w:rsidRPr="00EE1532">
        <w:rPr>
          <w:rFonts w:ascii="Arial" w:cs="Arial" w:eastAsia="Arial" w:hAnsi="Arial"/>
          <w:sz w:val="24"/>
          <w:szCs w:val="24"/>
        </w:rPr>
        <w:t xml:space="preserve"> organisations syndicales : </w:t>
      </w:r>
    </w:p>
    <w:p w14:paraId="6CA41531" w14:textId="77777777" w:rsidR="00F90E5D" w:rsidRDefault="00F90E5D" w:rsidRPr="00EE1532">
      <w:pPr>
        <w:rPr>
          <w:rFonts w:ascii="Arial" w:cs="Arial" w:eastAsia="Arial" w:hAnsi="Arial"/>
          <w:sz w:val="24"/>
          <w:szCs w:val="24"/>
        </w:rPr>
      </w:pPr>
    </w:p>
    <w:p w14:paraId="6DCDEE10" w14:textId="77777777" w:rsidR="00F90E5D" w:rsidRDefault="00F90E5D" w:rsidRPr="00EE1532">
      <w:pPr>
        <w:rPr>
          <w:rFonts w:ascii="Arial" w:cs="Arial" w:eastAsia="Arial" w:hAnsi="Arial"/>
          <w:sz w:val="24"/>
          <w:szCs w:val="24"/>
        </w:rPr>
      </w:pPr>
    </w:p>
    <w:p w14:paraId="1032BFFF" w14:textId="19606D29" w:rsidR="00F90E5D" w:rsidRDefault="00A824E0" w:rsidRPr="00EE1532">
      <w:pPr>
        <w:tabs>
          <w:tab w:pos="1701" w:val="left"/>
          <w:tab w:pos="4536" w:val="left"/>
        </w:tabs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FO</w:t>
      </w:r>
      <w:r w:rsidR="00CA748E" w:rsidRPr="00EE1532">
        <w:rPr>
          <w:rFonts w:ascii="Arial" w:cs="Arial" w:eastAsia="Arial" w:hAnsi="Arial"/>
          <w:sz w:val="24"/>
          <w:szCs w:val="24"/>
        </w:rPr>
        <w:t xml:space="preserve"> </w:t>
      </w:r>
      <w:r w:rsidR="00CA748E" w:rsidRPr="00EE1532">
        <w:rPr>
          <w:rFonts w:ascii="Arial" w:cs="Arial" w:eastAsia="Arial" w:hAnsi="Arial"/>
          <w:sz w:val="24"/>
          <w:szCs w:val="24"/>
        </w:rPr>
        <w:tab/>
        <w:t xml:space="preserve">représentée par </w:t>
      </w:r>
      <w:r w:rsidR="001D5C7B">
        <w:rPr>
          <w:rFonts w:ascii="Arial" w:cs="Arial" w:eastAsia="Arial" w:hAnsi="Arial"/>
          <w:sz w:val="24"/>
          <w:szCs w:val="24"/>
        </w:rPr>
        <w:t>&lt;&gt;</w:t>
      </w:r>
      <w:r w:rsidRPr="00EE1532">
        <w:rPr>
          <w:rFonts w:ascii="Arial" w:cs="Arial" w:eastAsia="Arial" w:hAnsi="Arial"/>
          <w:sz w:val="24"/>
          <w:szCs w:val="24"/>
        </w:rPr>
        <w:t>, assisté</w:t>
      </w:r>
      <w:r w:rsidR="001D5C7B">
        <w:rPr>
          <w:rFonts w:ascii="Arial" w:cs="Arial" w:eastAsia="Arial" w:hAnsi="Arial"/>
          <w:sz w:val="24"/>
          <w:szCs w:val="24"/>
        </w:rPr>
        <w:t>(</w:t>
      </w:r>
      <w:r w:rsidRPr="00EE1532">
        <w:rPr>
          <w:rFonts w:ascii="Arial" w:cs="Arial" w:eastAsia="Arial" w:hAnsi="Arial"/>
          <w:sz w:val="24"/>
          <w:szCs w:val="24"/>
        </w:rPr>
        <w:t>e</w:t>
      </w:r>
      <w:r w:rsidR="001D5C7B">
        <w:rPr>
          <w:rFonts w:ascii="Arial" w:cs="Arial" w:eastAsia="Arial" w:hAnsi="Arial"/>
          <w:sz w:val="24"/>
          <w:szCs w:val="24"/>
        </w:rPr>
        <w:t>)</w:t>
      </w:r>
      <w:r w:rsidRPr="00EE1532">
        <w:rPr>
          <w:rFonts w:ascii="Arial" w:cs="Arial" w:eastAsia="Arial" w:hAnsi="Arial"/>
          <w:sz w:val="24"/>
          <w:szCs w:val="24"/>
        </w:rPr>
        <w:t xml:space="preserve"> par </w:t>
      </w:r>
      <w:r w:rsidR="001D5C7B">
        <w:rPr>
          <w:rFonts w:ascii="Arial" w:cs="Arial" w:eastAsia="Arial" w:hAnsi="Arial"/>
          <w:sz w:val="24"/>
          <w:szCs w:val="24"/>
        </w:rPr>
        <w:t>&lt;&gt;</w:t>
      </w:r>
    </w:p>
    <w:p w14:paraId="05FC4792" w14:textId="77777777" w:rsidR="00F90E5D" w:rsidRDefault="00F90E5D" w:rsidRPr="00EE1532">
      <w:pPr>
        <w:tabs>
          <w:tab w:pos="1701" w:val="left"/>
          <w:tab w:pos="4536" w:val="left"/>
        </w:tabs>
        <w:rPr>
          <w:rFonts w:ascii="Arial" w:cs="Arial" w:eastAsia="Arial" w:hAnsi="Arial"/>
          <w:sz w:val="24"/>
          <w:szCs w:val="24"/>
        </w:rPr>
      </w:pPr>
    </w:p>
    <w:p w14:paraId="3A526CC7" w14:textId="4A5E8A79" w:rsidR="00F90E5D" w:rsidRDefault="00CA748E" w:rsidRPr="00EE1532">
      <w:pPr>
        <w:tabs>
          <w:tab w:pos="1701" w:val="left"/>
          <w:tab w:pos="4536" w:val="left"/>
        </w:tabs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CGT</w:t>
      </w:r>
      <w:r w:rsidRPr="00EE1532">
        <w:rPr>
          <w:rFonts w:ascii="Arial" w:cs="Arial" w:eastAsia="Arial" w:hAnsi="Arial"/>
          <w:sz w:val="24"/>
          <w:szCs w:val="24"/>
        </w:rPr>
        <w:tab/>
        <w:t xml:space="preserve">représentée par </w:t>
      </w:r>
      <w:r w:rsidR="001D5C7B">
        <w:rPr>
          <w:rFonts w:ascii="Arial" w:cs="Arial" w:eastAsia="Arial" w:hAnsi="Arial"/>
          <w:sz w:val="24"/>
          <w:szCs w:val="24"/>
        </w:rPr>
        <w:t>&lt;&gt;</w:t>
      </w:r>
    </w:p>
    <w:p w14:paraId="0723E5BD" w14:textId="77777777" w:rsidR="00F90E5D" w:rsidRDefault="00F90E5D" w:rsidRPr="00EE1532">
      <w:pPr>
        <w:tabs>
          <w:tab w:pos="1701" w:val="left"/>
          <w:tab w:pos="4536" w:val="left"/>
        </w:tabs>
        <w:rPr>
          <w:rFonts w:ascii="Arial" w:cs="Arial" w:eastAsia="Arial" w:hAnsi="Arial"/>
          <w:sz w:val="24"/>
          <w:szCs w:val="24"/>
        </w:rPr>
      </w:pPr>
    </w:p>
    <w:p w14:paraId="0731362A" w14:textId="77777777" w:rsidR="00F90E5D" w:rsidRDefault="00F90E5D" w:rsidRPr="00EE1532">
      <w:pPr>
        <w:tabs>
          <w:tab w:pos="1701" w:val="left"/>
          <w:tab w:pos="4536" w:val="left"/>
        </w:tabs>
        <w:rPr>
          <w:rFonts w:ascii="Arial" w:cs="Arial" w:eastAsia="Arial" w:hAnsi="Arial"/>
          <w:sz w:val="24"/>
          <w:szCs w:val="24"/>
        </w:rPr>
      </w:pPr>
    </w:p>
    <w:p w14:paraId="05F7AD12" w14:textId="77777777" w:rsidR="00F90E5D" w:rsidRDefault="00F90E5D" w:rsidRPr="00EE1532">
      <w:pPr>
        <w:tabs>
          <w:tab w:pos="1701" w:val="left"/>
          <w:tab w:pos="4536" w:val="left"/>
        </w:tabs>
        <w:rPr>
          <w:rFonts w:ascii="Arial" w:cs="Arial" w:eastAsia="Arial" w:hAnsi="Arial"/>
          <w:sz w:val="24"/>
          <w:szCs w:val="24"/>
        </w:rPr>
      </w:pPr>
    </w:p>
    <w:p w14:paraId="09B74DC8" w14:textId="77777777" w:rsidR="00F90E5D" w:rsidRDefault="00CA748E" w:rsidRPr="00EE1532">
      <w:pPr>
        <w:rPr>
          <w:rFonts w:ascii="Arial" w:cs="Arial" w:eastAsia="Arial" w:hAnsi="Arial"/>
          <w:sz w:val="24"/>
          <w:szCs w:val="24"/>
        </w:rPr>
      </w:pPr>
      <w:proofErr w:type="gramStart"/>
      <w:r w:rsidRPr="00EE1532">
        <w:rPr>
          <w:rFonts w:ascii="Arial" w:cs="Arial" w:eastAsia="Arial" w:hAnsi="Arial"/>
          <w:sz w:val="24"/>
          <w:szCs w:val="24"/>
        </w:rPr>
        <w:t>d’autre</w:t>
      </w:r>
      <w:proofErr w:type="gramEnd"/>
      <w:r w:rsidRPr="00EE1532">
        <w:rPr>
          <w:rFonts w:ascii="Arial" w:cs="Arial" w:eastAsia="Arial" w:hAnsi="Arial"/>
          <w:sz w:val="24"/>
          <w:szCs w:val="24"/>
        </w:rPr>
        <w:t xml:space="preserve"> part ;</w:t>
      </w:r>
    </w:p>
    <w:p w14:paraId="582F94A6" w14:textId="77777777" w:rsidR="00F90E5D" w:rsidRDefault="00F90E5D" w:rsidRPr="00EE1532">
      <w:pPr>
        <w:rPr>
          <w:rFonts w:ascii="Arial" w:cs="Arial" w:eastAsia="Arial" w:hAnsi="Arial"/>
          <w:sz w:val="24"/>
          <w:szCs w:val="24"/>
        </w:rPr>
      </w:pPr>
    </w:p>
    <w:p w14:paraId="3466777A" w14:textId="391D9FFC" w:rsidR="00F90E5D" w:rsidRDefault="00F90E5D" w:rsidRPr="00EE1532">
      <w:pPr>
        <w:rPr>
          <w:rFonts w:ascii="Arial" w:cs="Arial" w:eastAsia="Arial" w:hAnsi="Arial"/>
          <w:sz w:val="24"/>
          <w:szCs w:val="24"/>
        </w:rPr>
      </w:pPr>
    </w:p>
    <w:p w14:paraId="408F481C" w14:textId="77777777" w:rsidR="00EE1532" w:rsidRDefault="00EE1532" w:rsidRPr="00EE1532">
      <w:pPr>
        <w:rPr>
          <w:rFonts w:ascii="Arial" w:cs="Arial" w:eastAsia="Arial" w:hAnsi="Arial"/>
          <w:sz w:val="24"/>
          <w:szCs w:val="24"/>
        </w:rPr>
      </w:pPr>
    </w:p>
    <w:p w14:paraId="5A024E9F" w14:textId="53CE318A" w:rsidR="006A6E45" w:rsidRDefault="006A6E45" w:rsidRPr="00EE1532">
      <w:pPr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Préambule :</w:t>
      </w:r>
    </w:p>
    <w:p w14:paraId="284F4D08" w14:textId="77777777" w:rsidR="00EE1532" w:rsidRDefault="00EE1532" w:rsidRPr="00EE1532">
      <w:pPr>
        <w:rPr>
          <w:rFonts w:ascii="Arial" w:cs="Arial" w:eastAsia="Arial" w:hAnsi="Arial"/>
          <w:sz w:val="24"/>
          <w:szCs w:val="24"/>
        </w:rPr>
      </w:pPr>
    </w:p>
    <w:p w14:paraId="258F18A8" w14:textId="77777777" w:rsidR="006A6E45" w:rsidRDefault="006A6E45" w:rsidRPr="00EE1532">
      <w:pPr>
        <w:rPr>
          <w:rFonts w:ascii="Arial" w:cs="Arial" w:eastAsia="Arial" w:hAnsi="Arial"/>
          <w:sz w:val="24"/>
          <w:szCs w:val="24"/>
        </w:rPr>
      </w:pPr>
    </w:p>
    <w:p w14:paraId="7DB1B846" w14:textId="716333CA" w:rsidP="009C67AB" w:rsidR="00F90E5D" w:rsidRDefault="00CA748E" w:rsidRPr="00EE1532">
      <w:pPr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Les </w:t>
      </w:r>
      <w:r w:rsidR="0028662E" w:rsidRPr="00EE1532">
        <w:rPr>
          <w:rFonts w:ascii="Arial" w:cs="Arial" w:eastAsia="Arial" w:hAnsi="Arial"/>
          <w:sz w:val="24"/>
          <w:szCs w:val="24"/>
        </w:rPr>
        <w:t xml:space="preserve">parties se sont réunies à </w:t>
      </w:r>
      <w:r w:rsidR="00A51D5E" w:rsidRPr="00EE1532">
        <w:rPr>
          <w:rFonts w:ascii="Arial" w:cs="Arial" w:eastAsia="Arial" w:hAnsi="Arial"/>
          <w:sz w:val="24"/>
          <w:szCs w:val="24"/>
        </w:rPr>
        <w:t>trois</w:t>
      </w:r>
      <w:r w:rsidRPr="00EE1532">
        <w:rPr>
          <w:rFonts w:ascii="Arial" w:cs="Arial" w:eastAsia="Arial" w:hAnsi="Arial"/>
          <w:sz w:val="24"/>
          <w:szCs w:val="24"/>
        </w:rPr>
        <w:t xml:space="preserve"> reprises dans le cadre des négociations an</w:t>
      </w:r>
      <w:r w:rsidR="0028662E" w:rsidRPr="00EE1532">
        <w:rPr>
          <w:rFonts w:ascii="Arial" w:cs="Arial" w:eastAsia="Arial" w:hAnsi="Arial"/>
          <w:sz w:val="24"/>
          <w:szCs w:val="24"/>
        </w:rPr>
        <w:t>nuelles obligatoires (NAO)</w:t>
      </w:r>
      <w:r w:rsidR="00392567" w:rsidRPr="00EE1532">
        <w:rPr>
          <w:rFonts w:ascii="Arial" w:cs="Arial" w:eastAsia="Arial" w:hAnsi="Arial"/>
          <w:sz w:val="24"/>
          <w:szCs w:val="24"/>
        </w:rPr>
        <w:t xml:space="preserve"> </w:t>
      </w:r>
      <w:r w:rsidR="00210C2A" w:rsidRPr="00EE1532">
        <w:rPr>
          <w:rFonts w:ascii="Arial" w:cs="Arial" w:eastAsia="Arial" w:hAnsi="Arial"/>
          <w:sz w:val="24"/>
          <w:szCs w:val="24"/>
        </w:rPr>
        <w:t xml:space="preserve">: </w:t>
      </w:r>
      <w:r w:rsidR="0028662E" w:rsidRPr="00EE1532">
        <w:rPr>
          <w:rFonts w:ascii="Arial" w:cs="Arial" w:eastAsia="Arial" w:hAnsi="Arial"/>
          <w:sz w:val="24"/>
          <w:szCs w:val="24"/>
        </w:rPr>
        <w:t xml:space="preserve">le </w:t>
      </w:r>
      <w:r w:rsidR="00A51D5E" w:rsidRPr="00EE1532">
        <w:rPr>
          <w:rFonts w:ascii="Arial" w:cs="Arial" w:eastAsia="Arial" w:hAnsi="Arial"/>
          <w:sz w:val="24"/>
          <w:szCs w:val="24"/>
        </w:rPr>
        <w:t>7</w:t>
      </w:r>
      <w:r w:rsidR="0028662E" w:rsidRPr="00EE1532">
        <w:rPr>
          <w:rFonts w:ascii="Arial" w:cs="Arial" w:eastAsia="Arial" w:hAnsi="Arial"/>
          <w:sz w:val="24"/>
          <w:szCs w:val="24"/>
        </w:rPr>
        <w:t xml:space="preserve"> </w:t>
      </w:r>
      <w:r w:rsidR="00A824E0" w:rsidRPr="00EE1532">
        <w:rPr>
          <w:rFonts w:ascii="Arial" w:cs="Arial" w:eastAsia="Arial" w:hAnsi="Arial"/>
          <w:sz w:val="24"/>
          <w:szCs w:val="24"/>
        </w:rPr>
        <w:t>décembre 202</w:t>
      </w:r>
      <w:r w:rsidR="00A51D5E" w:rsidRPr="00EE1532">
        <w:rPr>
          <w:rFonts w:ascii="Arial" w:cs="Arial" w:eastAsia="Arial" w:hAnsi="Arial"/>
          <w:sz w:val="24"/>
          <w:szCs w:val="24"/>
        </w:rPr>
        <w:t>1</w:t>
      </w:r>
      <w:r w:rsidR="00392567" w:rsidRPr="00EE1532">
        <w:rPr>
          <w:rFonts w:ascii="Arial" w:cs="Arial" w:eastAsia="Arial" w:hAnsi="Arial"/>
          <w:sz w:val="24"/>
          <w:szCs w:val="24"/>
        </w:rPr>
        <w:t xml:space="preserve">, </w:t>
      </w:r>
      <w:r w:rsidR="00A824E0" w:rsidRPr="00EE1532">
        <w:rPr>
          <w:rFonts w:ascii="Arial" w:cs="Arial" w:eastAsia="Arial" w:hAnsi="Arial"/>
          <w:sz w:val="24"/>
          <w:szCs w:val="24"/>
        </w:rPr>
        <w:t xml:space="preserve">le </w:t>
      </w:r>
      <w:r w:rsidR="00A51D5E" w:rsidRPr="00EE1532">
        <w:rPr>
          <w:rFonts w:ascii="Arial" w:cs="Arial" w:eastAsia="Arial" w:hAnsi="Arial"/>
          <w:sz w:val="24"/>
          <w:szCs w:val="24"/>
        </w:rPr>
        <w:t>21 décembre</w:t>
      </w:r>
      <w:r w:rsidR="00A824E0" w:rsidRPr="00EE1532">
        <w:rPr>
          <w:rFonts w:ascii="Arial" w:cs="Arial" w:eastAsia="Arial" w:hAnsi="Arial"/>
          <w:sz w:val="24"/>
          <w:szCs w:val="24"/>
        </w:rPr>
        <w:t xml:space="preserve"> 2021</w:t>
      </w:r>
      <w:r w:rsidR="00392567" w:rsidRPr="00EE1532">
        <w:rPr>
          <w:rFonts w:ascii="Arial" w:cs="Arial" w:eastAsia="Arial" w:hAnsi="Arial"/>
          <w:sz w:val="24"/>
          <w:szCs w:val="24"/>
        </w:rPr>
        <w:t xml:space="preserve"> et le 13 janvier 2022</w:t>
      </w:r>
      <w:r w:rsidR="005A0F1C" w:rsidRPr="00EE1532">
        <w:rPr>
          <w:rFonts w:ascii="Arial" w:cs="Arial" w:eastAsia="Arial" w:hAnsi="Arial"/>
          <w:sz w:val="24"/>
          <w:szCs w:val="24"/>
        </w:rPr>
        <w:t>.</w:t>
      </w:r>
    </w:p>
    <w:p w14:paraId="25F74E11" w14:textId="77777777" w:rsidP="009C67AB" w:rsidR="00F90E5D" w:rsidRDefault="00CA748E" w:rsidRPr="00EE1532">
      <w:p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Lors de la première réunion, la Direction et les organisations syndicales se sont mises d’accord sur le lieu, le calendrier des réunions, les informations qui seraient transmises aux partenaires sociaux. A cet effet, la Direction a présenté aux partenaires à la négociation les éléments sur la situation de l’emploi et des salaires dans l’entreprise, la situation respective des hommes et des femmes, ainsi que les indicateurs liés à l’emploi des personnes handicapées.</w:t>
      </w:r>
    </w:p>
    <w:p w14:paraId="4B5B5BDA" w14:textId="77777777" w:rsidP="009C67AB" w:rsidR="00A51D5E" w:rsidRDefault="00CA748E" w:rsidRPr="00EE1532">
      <w:pPr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Lors des échanges dans le cadre de ces réunions, la Direction a </w:t>
      </w:r>
      <w:r w:rsidR="00A824E0" w:rsidRPr="00EE1532">
        <w:rPr>
          <w:rFonts w:ascii="Arial" w:cs="Arial" w:eastAsia="Arial" w:hAnsi="Arial"/>
          <w:sz w:val="24"/>
          <w:szCs w:val="24"/>
        </w:rPr>
        <w:t xml:space="preserve">rappelé </w:t>
      </w:r>
      <w:r w:rsidR="00A51D5E" w:rsidRPr="00EE1532">
        <w:rPr>
          <w:rFonts w:ascii="Arial" w:cs="Arial" w:eastAsia="Arial" w:hAnsi="Arial"/>
          <w:sz w:val="24"/>
          <w:szCs w:val="24"/>
        </w:rPr>
        <w:t>les engagements qu’elle avait pris pour 2021 à savoir la revalorisation des salaires les plus bas. A ce titre, elle a précisé qu’un effort important avait été fait en matière salariale tant sur l’augmentation collective de janvier 2021 que sur les enveloppes des augmentations individuelles de juillet 2021.</w:t>
      </w:r>
    </w:p>
    <w:p w14:paraId="0ADFA712" w14:textId="77777777" w:rsidP="009C67AB" w:rsidR="00A51D5E" w:rsidRDefault="00A51D5E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41190E18" w14:textId="05C6C000" w:rsidP="00A51D5E" w:rsidR="00A51D5E" w:rsidRDefault="00A51D5E" w:rsidRPr="00EE1532">
      <w:pPr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Elle a également mis en avant les accords négociés avec les partenaires sociaux. En février deux accords ont été signé</w:t>
      </w:r>
      <w:r w:rsidR="00392567" w:rsidRPr="00EE1532">
        <w:rPr>
          <w:rFonts w:ascii="Arial" w:cs="Arial" w:eastAsia="Arial" w:hAnsi="Arial"/>
          <w:sz w:val="24"/>
          <w:szCs w:val="24"/>
        </w:rPr>
        <w:t>s</w:t>
      </w:r>
      <w:r w:rsidRPr="00EE1532">
        <w:rPr>
          <w:rFonts w:ascii="Arial" w:cs="Arial" w:eastAsia="Arial" w:hAnsi="Arial"/>
          <w:sz w:val="24"/>
          <w:szCs w:val="24"/>
        </w:rPr>
        <w:t xml:space="preserve"> relatif aux indemnités de départ à la retraite : un accord d’indemnités exceptionnelles de fin de carrière compensant la disparition de l’accord de retraite sur complémentaire article 39 et un nouvel accord relatif à la retraite complémentaire ar</w:t>
      </w:r>
      <w:r w:rsidR="002F5A2B" w:rsidRPr="00EE1532">
        <w:rPr>
          <w:rFonts w:ascii="Arial" w:cs="Arial" w:eastAsia="Arial" w:hAnsi="Arial"/>
          <w:sz w:val="24"/>
          <w:szCs w:val="24"/>
        </w:rPr>
        <w:t>ticle 83</w:t>
      </w:r>
      <w:r w:rsidRPr="00EE1532">
        <w:rPr>
          <w:rFonts w:ascii="Arial" w:cs="Arial" w:eastAsia="Arial" w:hAnsi="Arial"/>
          <w:sz w:val="24"/>
          <w:szCs w:val="24"/>
        </w:rPr>
        <w:t xml:space="preserve">. </w:t>
      </w:r>
      <w:r w:rsidR="002F5A2B" w:rsidRPr="00EE1532">
        <w:rPr>
          <w:rFonts w:ascii="Arial" w:cs="Arial" w:eastAsia="Arial" w:hAnsi="Arial"/>
          <w:sz w:val="24"/>
          <w:szCs w:val="24"/>
        </w:rPr>
        <w:t>De plus, fin juillet, un accord relatif à la mise en place du télétravail a été signé avec une date de mise en œuvre au 1</w:t>
      </w:r>
      <w:r w:rsidR="002F5A2B" w:rsidRPr="00EE1532">
        <w:rPr>
          <w:rFonts w:ascii="Arial" w:cs="Arial" w:eastAsia="Arial" w:hAnsi="Arial"/>
          <w:sz w:val="24"/>
          <w:szCs w:val="24"/>
          <w:vertAlign w:val="superscript"/>
        </w:rPr>
        <w:t>er</w:t>
      </w:r>
      <w:r w:rsidR="002F5A2B" w:rsidRPr="00EE1532">
        <w:rPr>
          <w:rFonts w:ascii="Arial" w:cs="Arial" w:eastAsia="Arial" w:hAnsi="Arial"/>
          <w:sz w:val="24"/>
          <w:szCs w:val="24"/>
        </w:rPr>
        <w:t xml:space="preserve"> septembre 2021.</w:t>
      </w:r>
    </w:p>
    <w:p w14:paraId="793E7D2A" w14:textId="77777777" w:rsidP="00A51D5E" w:rsidR="002F5A2B" w:rsidRDefault="002F5A2B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6D54BB47" w14:textId="5E44F672" w:rsidP="009C67AB" w:rsidR="005B5793" w:rsidRDefault="002F5A2B" w:rsidRPr="00EE1532">
      <w:pPr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Enfin, la </w:t>
      </w:r>
      <w:r w:rsidR="00392567" w:rsidRPr="00EE1532">
        <w:rPr>
          <w:rFonts w:ascii="Arial" w:cs="Arial" w:eastAsia="Arial" w:hAnsi="Arial"/>
          <w:sz w:val="24"/>
          <w:szCs w:val="24"/>
        </w:rPr>
        <w:t>D</w:t>
      </w:r>
      <w:r w:rsidRPr="00EE1532">
        <w:rPr>
          <w:rFonts w:ascii="Arial" w:cs="Arial" w:eastAsia="Arial" w:hAnsi="Arial"/>
          <w:sz w:val="24"/>
          <w:szCs w:val="24"/>
        </w:rPr>
        <w:t xml:space="preserve">irection </w:t>
      </w:r>
      <w:r w:rsidR="00392567" w:rsidRPr="00EE1532">
        <w:rPr>
          <w:rFonts w:ascii="Arial" w:cs="Arial" w:eastAsia="Arial" w:hAnsi="Arial"/>
          <w:sz w:val="24"/>
          <w:szCs w:val="24"/>
        </w:rPr>
        <w:t>a souligné</w:t>
      </w:r>
      <w:r w:rsidRPr="00EE1532">
        <w:rPr>
          <w:rFonts w:ascii="Arial" w:cs="Arial" w:eastAsia="Arial" w:hAnsi="Arial"/>
          <w:sz w:val="24"/>
          <w:szCs w:val="24"/>
        </w:rPr>
        <w:t xml:space="preserve"> l’investissement </w:t>
      </w:r>
      <w:r w:rsidR="00D24FED" w:rsidRPr="00EE1532">
        <w:rPr>
          <w:rFonts w:ascii="Arial" w:cs="Arial" w:eastAsia="Arial" w:hAnsi="Arial"/>
          <w:sz w:val="24"/>
          <w:szCs w:val="24"/>
        </w:rPr>
        <w:t>de toutes les</w:t>
      </w:r>
      <w:r w:rsidRPr="00EE1532">
        <w:rPr>
          <w:rFonts w:ascii="Arial" w:cs="Arial" w:eastAsia="Arial" w:hAnsi="Arial"/>
          <w:sz w:val="24"/>
          <w:szCs w:val="24"/>
        </w:rPr>
        <w:t xml:space="preserve"> équipes dans </w:t>
      </w:r>
      <w:r w:rsidR="00A824E0" w:rsidRPr="00EE1532">
        <w:rPr>
          <w:rFonts w:ascii="Arial" w:cs="Arial" w:eastAsia="Arial" w:hAnsi="Arial"/>
          <w:sz w:val="24"/>
          <w:szCs w:val="24"/>
        </w:rPr>
        <w:t>le contexte sanitaire</w:t>
      </w:r>
      <w:r w:rsidRPr="00EE1532">
        <w:rPr>
          <w:rFonts w:ascii="Arial" w:cs="Arial" w:eastAsia="Arial" w:hAnsi="Arial"/>
          <w:sz w:val="24"/>
          <w:szCs w:val="24"/>
        </w:rPr>
        <w:t xml:space="preserve"> qui a continué à rythmer l’année 2021 et se poursuivra certainement encore sur 2022. La Direction a maintenu les conditions de travail adaptées </w:t>
      </w:r>
      <w:r w:rsidR="00392567" w:rsidRPr="00EE1532">
        <w:rPr>
          <w:rFonts w:ascii="Arial" w:cs="Arial" w:eastAsia="Arial" w:hAnsi="Arial"/>
          <w:sz w:val="24"/>
          <w:szCs w:val="24"/>
        </w:rPr>
        <w:t xml:space="preserve">notamment </w:t>
      </w:r>
      <w:r w:rsidRPr="00EE1532">
        <w:rPr>
          <w:rFonts w:ascii="Arial" w:cs="Arial" w:eastAsia="Arial" w:hAnsi="Arial"/>
          <w:sz w:val="24"/>
          <w:szCs w:val="24"/>
        </w:rPr>
        <w:t>en privilégiant le télétravail quand cela était possible jusqu’au mois de jui</w:t>
      </w:r>
      <w:r w:rsidR="00392567" w:rsidRPr="00EE1532">
        <w:rPr>
          <w:rFonts w:ascii="Arial" w:cs="Arial" w:eastAsia="Arial" w:hAnsi="Arial"/>
          <w:sz w:val="24"/>
          <w:szCs w:val="24"/>
        </w:rPr>
        <w:t>n</w:t>
      </w:r>
      <w:r w:rsidRPr="00EE1532">
        <w:rPr>
          <w:rFonts w:ascii="Arial" w:cs="Arial" w:eastAsia="Arial" w:hAnsi="Arial"/>
          <w:sz w:val="24"/>
          <w:szCs w:val="24"/>
        </w:rPr>
        <w:t xml:space="preserve">. Le recours à l’activité partielle a été limité et n’a concerné que des personnes vulnérables </w:t>
      </w:r>
      <w:r w:rsidR="00392567" w:rsidRPr="00EE1532">
        <w:rPr>
          <w:rFonts w:ascii="Arial" w:cs="Arial" w:eastAsia="Arial" w:hAnsi="Arial"/>
          <w:sz w:val="24"/>
          <w:szCs w:val="24"/>
        </w:rPr>
        <w:t>ou</w:t>
      </w:r>
      <w:r w:rsidRPr="00EE1532">
        <w:rPr>
          <w:rFonts w:ascii="Arial" w:cs="Arial" w:eastAsia="Arial" w:hAnsi="Arial"/>
          <w:sz w:val="24"/>
          <w:szCs w:val="24"/>
        </w:rPr>
        <w:t xml:space="preserve"> des arrêts garde d’enfant. </w:t>
      </w:r>
    </w:p>
    <w:p w14:paraId="66A178EB" w14:textId="77777777" w:rsidP="009C67AB" w:rsidR="005B5793" w:rsidRDefault="005B5793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73C32801" w14:textId="56AD3324" w:rsidP="009C67AB" w:rsidR="005B5793" w:rsidRDefault="005B5793" w:rsidRPr="00EE1532">
      <w:pPr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La </w:t>
      </w:r>
      <w:r w:rsidR="00392567" w:rsidRPr="00EE1532">
        <w:rPr>
          <w:rFonts w:ascii="Arial" w:cs="Arial" w:eastAsia="Arial" w:hAnsi="Arial"/>
          <w:sz w:val="24"/>
          <w:szCs w:val="24"/>
        </w:rPr>
        <w:t>D</w:t>
      </w:r>
      <w:r w:rsidRPr="00EE1532">
        <w:rPr>
          <w:rFonts w:ascii="Arial" w:cs="Arial" w:eastAsia="Arial" w:hAnsi="Arial"/>
          <w:sz w:val="24"/>
          <w:szCs w:val="24"/>
        </w:rPr>
        <w:t xml:space="preserve">irection </w:t>
      </w:r>
      <w:r w:rsidR="00392567" w:rsidRPr="00EE1532">
        <w:rPr>
          <w:rFonts w:ascii="Arial" w:cs="Arial" w:eastAsia="Arial" w:hAnsi="Arial"/>
          <w:sz w:val="24"/>
          <w:szCs w:val="24"/>
        </w:rPr>
        <w:t>a précisé</w:t>
      </w:r>
      <w:r w:rsidR="002F5A2B" w:rsidRPr="00EE1532">
        <w:rPr>
          <w:rFonts w:ascii="Arial" w:cs="Arial" w:eastAsia="Arial" w:hAnsi="Arial"/>
          <w:sz w:val="24"/>
          <w:szCs w:val="24"/>
        </w:rPr>
        <w:t xml:space="preserve"> que la </w:t>
      </w:r>
      <w:r w:rsidRPr="00EE1532">
        <w:rPr>
          <w:rFonts w:ascii="Arial" w:cs="Arial" w:eastAsia="Arial" w:hAnsi="Arial"/>
          <w:sz w:val="24"/>
          <w:szCs w:val="24"/>
        </w:rPr>
        <w:t xml:space="preserve">situation financière de Créteil Habitat </w:t>
      </w:r>
      <w:r w:rsidR="00392567" w:rsidRPr="00EE1532">
        <w:rPr>
          <w:rFonts w:ascii="Arial" w:cs="Arial" w:eastAsia="Arial" w:hAnsi="Arial"/>
          <w:sz w:val="24"/>
          <w:szCs w:val="24"/>
        </w:rPr>
        <w:t>restait</w:t>
      </w:r>
      <w:r w:rsidRPr="00EE1532">
        <w:rPr>
          <w:rFonts w:ascii="Arial" w:cs="Arial" w:eastAsia="Arial" w:hAnsi="Arial"/>
          <w:sz w:val="24"/>
          <w:szCs w:val="24"/>
        </w:rPr>
        <w:t xml:space="preserve"> bonne</w:t>
      </w:r>
      <w:r w:rsidR="002F5A2B" w:rsidRPr="00EE1532">
        <w:rPr>
          <w:rFonts w:ascii="Arial" w:cs="Arial" w:eastAsia="Arial" w:hAnsi="Arial"/>
          <w:sz w:val="24"/>
          <w:szCs w:val="24"/>
        </w:rPr>
        <w:t xml:space="preserve">. Toutefois, elle </w:t>
      </w:r>
      <w:r w:rsidR="00392567" w:rsidRPr="00EE1532">
        <w:rPr>
          <w:rFonts w:ascii="Arial" w:cs="Arial" w:eastAsia="Arial" w:hAnsi="Arial"/>
          <w:sz w:val="24"/>
          <w:szCs w:val="24"/>
        </w:rPr>
        <w:t>a insisté</w:t>
      </w:r>
      <w:r w:rsidR="002F5A2B" w:rsidRPr="00EE1532">
        <w:rPr>
          <w:rFonts w:ascii="Arial" w:cs="Arial" w:eastAsia="Arial" w:hAnsi="Arial"/>
          <w:sz w:val="24"/>
          <w:szCs w:val="24"/>
        </w:rPr>
        <w:t xml:space="preserve"> sur le fait que les situations exceptionnelles des dernières années </w:t>
      </w:r>
      <w:r w:rsidR="00392567" w:rsidRPr="00EE1532">
        <w:rPr>
          <w:rFonts w:ascii="Arial" w:cs="Arial" w:eastAsia="Arial" w:hAnsi="Arial"/>
          <w:sz w:val="24"/>
          <w:szCs w:val="24"/>
        </w:rPr>
        <w:t>étaient</w:t>
      </w:r>
      <w:r w:rsidR="002F5A2B" w:rsidRPr="00EE1532">
        <w:rPr>
          <w:rFonts w:ascii="Arial" w:cs="Arial" w:eastAsia="Arial" w:hAnsi="Arial"/>
          <w:sz w:val="24"/>
          <w:szCs w:val="24"/>
        </w:rPr>
        <w:t xml:space="preserve"> passées et que nous amor</w:t>
      </w:r>
      <w:r w:rsidR="00392567" w:rsidRPr="00EE1532">
        <w:rPr>
          <w:rFonts w:ascii="Arial" w:cs="Arial" w:eastAsia="Arial" w:hAnsi="Arial"/>
          <w:sz w:val="24"/>
          <w:szCs w:val="24"/>
        </w:rPr>
        <w:t>ci</w:t>
      </w:r>
      <w:r w:rsidR="002F5A2B" w:rsidRPr="00EE1532">
        <w:rPr>
          <w:rFonts w:ascii="Arial" w:cs="Arial" w:eastAsia="Arial" w:hAnsi="Arial"/>
          <w:sz w:val="24"/>
          <w:szCs w:val="24"/>
        </w:rPr>
        <w:t>ons des années avec des résultats moins importants.</w:t>
      </w:r>
    </w:p>
    <w:p w14:paraId="20E2B5E9" w14:textId="77777777" w:rsidP="009C67AB" w:rsidR="005F34BF" w:rsidRDefault="005F34BF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346975C0" w14:textId="77777777" w:rsidP="005F34BF" w:rsidR="005F34BF" w:rsidRDefault="005F34BF" w:rsidRPr="00EE1532">
      <w:p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Suite à cette présentation, les organisations syndicales ont formulé les demandes </w:t>
      </w:r>
      <w:r w:rsidR="002F5A2B" w:rsidRPr="00EE1532">
        <w:rPr>
          <w:rFonts w:ascii="Arial" w:cs="Arial" w:eastAsia="Arial" w:hAnsi="Arial"/>
          <w:sz w:val="24"/>
          <w:szCs w:val="24"/>
        </w:rPr>
        <w:t>suivantes :</w:t>
      </w:r>
    </w:p>
    <w:p w14:paraId="4CD712E0" w14:textId="77777777" w:rsidP="005F34BF" w:rsidR="005F34BF" w:rsidRDefault="005F34BF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Augmentation générale </w:t>
      </w:r>
      <w:r w:rsidR="002F5A2B" w:rsidRPr="00EE1532">
        <w:rPr>
          <w:rFonts w:ascii="Arial" w:cs="Arial" w:eastAsia="Arial" w:hAnsi="Arial"/>
          <w:sz w:val="24"/>
          <w:szCs w:val="24"/>
        </w:rPr>
        <w:t>80€</w:t>
      </w:r>
    </w:p>
    <w:p w14:paraId="71FC0A31" w14:textId="77777777" w:rsidP="005F34BF" w:rsidR="005F34BF" w:rsidRDefault="005F34BF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Augmentation individuelle de </w:t>
      </w:r>
      <w:r w:rsidR="002F5A2B" w:rsidRPr="00EE1532">
        <w:rPr>
          <w:rFonts w:ascii="Arial" w:cs="Arial" w:eastAsia="Arial" w:hAnsi="Arial"/>
          <w:sz w:val="24"/>
          <w:szCs w:val="24"/>
        </w:rPr>
        <w:t>2</w:t>
      </w:r>
      <w:r w:rsidRPr="00EE1532">
        <w:rPr>
          <w:rFonts w:ascii="Arial" w:cs="Arial" w:eastAsia="Arial" w:hAnsi="Arial"/>
          <w:sz w:val="24"/>
          <w:szCs w:val="24"/>
        </w:rPr>
        <w:t>%</w:t>
      </w:r>
    </w:p>
    <w:p w14:paraId="6D1FEC70" w14:textId="77777777" w:rsidP="005F34BF" w:rsidR="005F34BF" w:rsidRDefault="005F34BF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Versement d’une prime exceptionnelle pouvoir d’achat </w:t>
      </w:r>
    </w:p>
    <w:p w14:paraId="7CBE8197" w14:textId="77777777" w:rsidP="005F34BF" w:rsidR="002F5A2B" w:rsidRDefault="002F5A2B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Equité de la prime de participation</w:t>
      </w:r>
    </w:p>
    <w:p w14:paraId="337E7644" w14:textId="77777777" w:rsidP="005F34BF" w:rsidR="005F34BF" w:rsidRDefault="005F34BF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Mise en place d’un </w:t>
      </w:r>
      <w:r w:rsidR="002F5A2B" w:rsidRPr="00EE1532">
        <w:rPr>
          <w:rFonts w:ascii="Arial" w:cs="Arial" w:eastAsia="Arial" w:hAnsi="Arial"/>
          <w:sz w:val="24"/>
          <w:szCs w:val="24"/>
        </w:rPr>
        <w:t>compte épargne temps</w:t>
      </w:r>
    </w:p>
    <w:p w14:paraId="158BE4A6" w14:textId="77777777" w:rsidP="005F34BF" w:rsidR="005F34BF" w:rsidRDefault="002F5A2B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Généralisation </w:t>
      </w:r>
      <w:proofErr w:type="gramStart"/>
      <w:r w:rsidRPr="00EE1532">
        <w:rPr>
          <w:rFonts w:ascii="Arial" w:cs="Arial" w:eastAsia="Arial" w:hAnsi="Arial"/>
          <w:sz w:val="24"/>
          <w:szCs w:val="24"/>
        </w:rPr>
        <w:t>de la prime vacances</w:t>
      </w:r>
      <w:proofErr w:type="gramEnd"/>
      <w:r w:rsidRPr="00EE1532">
        <w:rPr>
          <w:rFonts w:ascii="Arial" w:cs="Arial" w:eastAsia="Arial" w:hAnsi="Arial"/>
          <w:sz w:val="24"/>
          <w:szCs w:val="24"/>
        </w:rPr>
        <w:t xml:space="preserve"> aux administratifs</w:t>
      </w:r>
    </w:p>
    <w:p w14:paraId="32CF74E5" w14:textId="77777777" w:rsidP="005F34BF" w:rsidR="005F34BF" w:rsidRDefault="006A6E45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Extension des tickets restaurant aux gardiens + revalorisation de la valeur faciale à 9€ + révision de la répartition 60% employeur / 40% salarié + versement sur 12 mois</w:t>
      </w:r>
    </w:p>
    <w:p w14:paraId="5BC43EB2" w14:textId="77777777" w:rsidP="005F34BF" w:rsidR="005F34BF" w:rsidRDefault="006A6E45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Grille salariale + équité homme femme</w:t>
      </w:r>
    </w:p>
    <w:p w14:paraId="12A613C6" w14:textId="77777777" w:rsidP="005F34BF" w:rsidR="005F34BF" w:rsidRDefault="006A6E45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Budget inter-service pour convivialité</w:t>
      </w:r>
    </w:p>
    <w:p w14:paraId="085155FF" w14:textId="77777777" w:rsidP="005F34BF" w:rsidR="006A6E45" w:rsidRDefault="006A6E45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Revalorisation des frais kilométriques pour tenir compte de l’inflation du carburant</w:t>
      </w:r>
    </w:p>
    <w:p w14:paraId="335CBA8E" w14:textId="77777777" w:rsidP="005F34BF" w:rsidR="006A6E45" w:rsidRDefault="006A6E45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Mise en place de prime d’objectif pour les administratifs</w:t>
      </w:r>
    </w:p>
    <w:p w14:paraId="076DA5CB" w14:textId="77777777" w:rsidP="005F34BF" w:rsidR="006A6E45" w:rsidRDefault="006A6E45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Mise en place d’une prime pénibilité pour les gardiens</w:t>
      </w:r>
    </w:p>
    <w:p w14:paraId="147E05CF" w14:textId="77777777" w:rsidP="005F34BF" w:rsidR="006A6E45" w:rsidRDefault="006A6E45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Remboursement des factures de chauffage sur le secteur 2 ou autres secteurs qui sont équipés de chaudière individuelle</w:t>
      </w:r>
    </w:p>
    <w:p w14:paraId="41B19E5B" w14:textId="77777777" w:rsidP="005F34BF" w:rsidR="006A6E45" w:rsidRDefault="006A6E45" w:rsidRPr="00EE1532">
      <w:pPr>
        <w:pStyle w:val="Paragraphedeliste"/>
        <w:numPr>
          <w:ilvl w:val="0"/>
          <w:numId w:val="4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Adaptation du logement de fonction à la composition familiale</w:t>
      </w:r>
    </w:p>
    <w:p w14:paraId="5614DFD3" w14:textId="77777777" w:rsidP="009C67AB" w:rsidR="005B5793" w:rsidRDefault="005B5793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2209FEA1" w14:textId="77777777" w:rsidP="009C67AB" w:rsidR="00392567" w:rsidRDefault="005B5793" w:rsidRPr="00EE1532">
      <w:pPr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L</w:t>
      </w:r>
      <w:r w:rsidR="00CA748E" w:rsidRPr="00EE1532">
        <w:rPr>
          <w:rFonts w:ascii="Arial" w:cs="Arial" w:eastAsia="Arial" w:hAnsi="Arial"/>
          <w:sz w:val="24"/>
          <w:szCs w:val="24"/>
        </w:rPr>
        <w:t xml:space="preserve">a direction a souhaité </w:t>
      </w:r>
      <w:r w:rsidR="005F34BF" w:rsidRPr="00EE1532">
        <w:rPr>
          <w:rFonts w:ascii="Arial" w:cs="Arial" w:eastAsia="Arial" w:hAnsi="Arial"/>
          <w:sz w:val="24"/>
          <w:szCs w:val="24"/>
        </w:rPr>
        <w:t>donn</w:t>
      </w:r>
      <w:r w:rsidR="006867F5" w:rsidRPr="00EE1532">
        <w:rPr>
          <w:rFonts w:ascii="Arial" w:cs="Arial" w:eastAsia="Arial" w:hAnsi="Arial"/>
          <w:sz w:val="24"/>
          <w:szCs w:val="24"/>
        </w:rPr>
        <w:t>er</w:t>
      </w:r>
      <w:r w:rsidR="005F34BF" w:rsidRPr="00EE1532">
        <w:rPr>
          <w:rFonts w:ascii="Arial" w:cs="Arial" w:eastAsia="Arial" w:hAnsi="Arial"/>
          <w:sz w:val="24"/>
          <w:szCs w:val="24"/>
        </w:rPr>
        <w:t xml:space="preserve"> suite à certaines de ces demandes. </w:t>
      </w:r>
    </w:p>
    <w:p w14:paraId="0C7F1C2E" w14:textId="77777777" w:rsidP="009C67AB" w:rsidR="00392567" w:rsidRDefault="00392567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79DB8887" w14:textId="295FEAA9" w:rsidP="009C67AB" w:rsidR="00F90E5D" w:rsidRDefault="005F34BF" w:rsidRPr="00EE1532">
      <w:pPr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Elle a </w:t>
      </w:r>
      <w:r w:rsidR="005B5793" w:rsidRPr="00EE1532">
        <w:rPr>
          <w:rFonts w:ascii="Arial" w:cs="Arial" w:eastAsia="Arial" w:hAnsi="Arial"/>
          <w:sz w:val="24"/>
          <w:szCs w:val="24"/>
        </w:rPr>
        <w:t>donc</w:t>
      </w:r>
      <w:r w:rsidR="0028662E" w:rsidRPr="00EE1532">
        <w:rPr>
          <w:rFonts w:ascii="Arial" w:cs="Arial" w:eastAsia="Arial" w:hAnsi="Arial"/>
          <w:sz w:val="24"/>
          <w:szCs w:val="24"/>
        </w:rPr>
        <w:t xml:space="preserve"> </w:t>
      </w:r>
      <w:r w:rsidR="00CA748E" w:rsidRPr="00EE1532">
        <w:rPr>
          <w:rFonts w:ascii="Arial" w:cs="Arial" w:eastAsia="Arial" w:hAnsi="Arial"/>
          <w:sz w:val="24"/>
          <w:szCs w:val="24"/>
        </w:rPr>
        <w:t>propos</w:t>
      </w:r>
      <w:r w:rsidRPr="00EE1532">
        <w:rPr>
          <w:rFonts w:ascii="Arial" w:cs="Arial" w:eastAsia="Arial" w:hAnsi="Arial"/>
          <w:sz w:val="24"/>
          <w:szCs w:val="24"/>
        </w:rPr>
        <w:t>é</w:t>
      </w:r>
      <w:r w:rsidR="00CA748E" w:rsidRPr="00EE1532">
        <w:rPr>
          <w:rFonts w:ascii="Arial" w:cs="Arial" w:eastAsia="Arial" w:hAnsi="Arial"/>
          <w:sz w:val="24"/>
          <w:szCs w:val="24"/>
        </w:rPr>
        <w:t xml:space="preserve"> </w:t>
      </w:r>
      <w:r w:rsidRPr="00EE1532">
        <w:rPr>
          <w:rFonts w:ascii="Arial" w:cs="Arial" w:eastAsia="Arial" w:hAnsi="Arial"/>
          <w:sz w:val="24"/>
          <w:szCs w:val="24"/>
        </w:rPr>
        <w:t>une</w:t>
      </w:r>
      <w:r w:rsidR="00CA748E" w:rsidRPr="00EE1532">
        <w:rPr>
          <w:rFonts w:ascii="Arial" w:cs="Arial" w:eastAsia="Arial" w:hAnsi="Arial"/>
          <w:sz w:val="24"/>
          <w:szCs w:val="24"/>
        </w:rPr>
        <w:t xml:space="preserve"> augmentation</w:t>
      </w:r>
      <w:r w:rsidRPr="00EE1532">
        <w:rPr>
          <w:rFonts w:ascii="Arial" w:cs="Arial" w:eastAsia="Arial" w:hAnsi="Arial"/>
          <w:sz w:val="24"/>
          <w:szCs w:val="24"/>
        </w:rPr>
        <w:t xml:space="preserve"> </w:t>
      </w:r>
      <w:r w:rsidR="00392567" w:rsidRPr="00EE1532">
        <w:rPr>
          <w:rFonts w:ascii="Arial" w:cs="Arial" w:eastAsia="Arial" w:hAnsi="Arial"/>
          <w:sz w:val="24"/>
          <w:szCs w:val="24"/>
        </w:rPr>
        <w:t xml:space="preserve">de la masse salariale en 2022 </w:t>
      </w:r>
      <w:r w:rsidRPr="00EE1532">
        <w:rPr>
          <w:rFonts w:ascii="Arial" w:cs="Arial" w:eastAsia="Arial" w:hAnsi="Arial"/>
          <w:sz w:val="24"/>
          <w:szCs w:val="24"/>
        </w:rPr>
        <w:t>de 1.</w:t>
      </w:r>
      <w:r w:rsidR="00392567" w:rsidRPr="00EE1532">
        <w:rPr>
          <w:rFonts w:ascii="Arial" w:cs="Arial" w:eastAsia="Arial" w:hAnsi="Arial"/>
          <w:sz w:val="24"/>
          <w:szCs w:val="24"/>
        </w:rPr>
        <w:t>5</w:t>
      </w:r>
      <w:r w:rsidRPr="00EE1532">
        <w:rPr>
          <w:rFonts w:ascii="Arial" w:cs="Arial" w:eastAsia="Arial" w:hAnsi="Arial"/>
          <w:sz w:val="24"/>
          <w:szCs w:val="24"/>
        </w:rPr>
        <w:t>%</w:t>
      </w:r>
      <w:r w:rsidR="0028662E" w:rsidRPr="00EE1532">
        <w:rPr>
          <w:rFonts w:ascii="Arial" w:cs="Arial" w:eastAsia="Arial" w:hAnsi="Arial"/>
          <w:sz w:val="24"/>
          <w:szCs w:val="24"/>
        </w:rPr>
        <w:t xml:space="preserve"> </w:t>
      </w:r>
      <w:r w:rsidR="005B5793" w:rsidRPr="00EE1532">
        <w:rPr>
          <w:rFonts w:ascii="Arial" w:cs="Arial" w:eastAsia="Arial" w:hAnsi="Arial"/>
          <w:sz w:val="24"/>
          <w:szCs w:val="24"/>
        </w:rPr>
        <w:t xml:space="preserve">et </w:t>
      </w:r>
      <w:r w:rsidR="00392567" w:rsidRPr="00EE1532">
        <w:rPr>
          <w:rFonts w:ascii="Arial" w:cs="Arial" w:eastAsia="Arial" w:hAnsi="Arial"/>
          <w:sz w:val="24"/>
          <w:szCs w:val="24"/>
        </w:rPr>
        <w:t>n’</w:t>
      </w:r>
      <w:r w:rsidR="005B5793" w:rsidRPr="00EE1532">
        <w:rPr>
          <w:rFonts w:ascii="Arial" w:cs="Arial" w:eastAsia="Arial" w:hAnsi="Arial"/>
          <w:sz w:val="24"/>
          <w:szCs w:val="24"/>
        </w:rPr>
        <w:t xml:space="preserve">a </w:t>
      </w:r>
      <w:r w:rsidR="00D24FED" w:rsidRPr="00EE1532">
        <w:rPr>
          <w:rFonts w:ascii="Arial" w:cs="Arial" w:eastAsia="Arial" w:hAnsi="Arial"/>
          <w:sz w:val="24"/>
          <w:szCs w:val="24"/>
        </w:rPr>
        <w:t>souhaité appliquer de nouveau</w:t>
      </w:r>
      <w:r w:rsidR="00392567" w:rsidRPr="00EE1532">
        <w:rPr>
          <w:rFonts w:ascii="Arial" w:cs="Arial" w:eastAsia="Arial" w:hAnsi="Arial"/>
          <w:sz w:val="24"/>
          <w:szCs w:val="24"/>
        </w:rPr>
        <w:t xml:space="preserve"> </w:t>
      </w:r>
      <w:r w:rsidR="005B5793" w:rsidRPr="00EE1532">
        <w:rPr>
          <w:rFonts w:ascii="Arial" w:cs="Arial" w:eastAsia="Arial" w:hAnsi="Arial"/>
          <w:sz w:val="24"/>
          <w:szCs w:val="24"/>
        </w:rPr>
        <w:t>un montant forfaitaire</w:t>
      </w:r>
      <w:r w:rsidR="00392567" w:rsidRPr="00EE1532">
        <w:rPr>
          <w:rFonts w:ascii="Arial" w:cs="Arial" w:eastAsia="Arial" w:hAnsi="Arial"/>
          <w:sz w:val="24"/>
          <w:szCs w:val="24"/>
        </w:rPr>
        <w:t>.</w:t>
      </w:r>
      <w:r w:rsidR="005B5793" w:rsidRPr="00EE1532">
        <w:rPr>
          <w:rFonts w:ascii="Arial" w:cs="Arial" w:eastAsia="Arial" w:hAnsi="Arial"/>
          <w:sz w:val="24"/>
          <w:szCs w:val="24"/>
        </w:rPr>
        <w:t xml:space="preserve"> </w:t>
      </w:r>
      <w:r w:rsidR="00392567" w:rsidRPr="00EE1532">
        <w:rPr>
          <w:rFonts w:ascii="Arial" w:cs="Arial" w:eastAsia="Arial" w:hAnsi="Arial"/>
          <w:sz w:val="24"/>
          <w:szCs w:val="24"/>
        </w:rPr>
        <w:t>L’augmentation générale proposée par la Direction est de 1% applicable au 1</w:t>
      </w:r>
      <w:r w:rsidR="00392567" w:rsidRPr="00EE1532">
        <w:rPr>
          <w:rFonts w:ascii="Arial" w:cs="Arial" w:eastAsia="Arial" w:hAnsi="Arial"/>
          <w:sz w:val="24"/>
          <w:szCs w:val="24"/>
          <w:vertAlign w:val="superscript"/>
        </w:rPr>
        <w:t>er</w:t>
      </w:r>
      <w:r w:rsidR="00392567" w:rsidRPr="00EE1532">
        <w:rPr>
          <w:rFonts w:ascii="Arial" w:cs="Arial" w:eastAsia="Arial" w:hAnsi="Arial"/>
          <w:sz w:val="24"/>
          <w:szCs w:val="24"/>
        </w:rPr>
        <w:t xml:space="preserve"> janvier 2022. Les enveloppes pour les augmentations individuelles </w:t>
      </w:r>
      <w:r w:rsidR="002F50DA" w:rsidRPr="00EE1532">
        <w:rPr>
          <w:rFonts w:ascii="Arial" w:cs="Arial" w:eastAsia="Arial" w:hAnsi="Arial"/>
          <w:sz w:val="24"/>
          <w:szCs w:val="24"/>
        </w:rPr>
        <w:t>seront de 0.5% de la masse salariale.</w:t>
      </w:r>
    </w:p>
    <w:p w14:paraId="39AD03A3" w14:textId="3D714F4B" w:rsidP="009C67AB" w:rsidR="002F50DA" w:rsidRDefault="002F50DA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3EFBCA3C" w14:textId="65702C21" w:rsidP="009C67AB" w:rsidR="002F50DA" w:rsidRDefault="002F50DA" w:rsidRPr="00EE1532">
      <w:pPr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Sur la question des tickets restaurant, la Direction a rappelé que depuis le 1</w:t>
      </w:r>
      <w:r w:rsidRPr="00EE1532">
        <w:rPr>
          <w:rFonts w:ascii="Arial" w:cs="Arial" w:eastAsia="Arial" w:hAnsi="Arial"/>
          <w:sz w:val="24"/>
          <w:szCs w:val="24"/>
          <w:vertAlign w:val="superscript"/>
        </w:rPr>
        <w:t>er</w:t>
      </w:r>
      <w:r w:rsidRPr="00EE1532">
        <w:rPr>
          <w:rFonts w:ascii="Arial" w:cs="Arial" w:eastAsia="Arial" w:hAnsi="Arial"/>
          <w:sz w:val="24"/>
          <w:szCs w:val="24"/>
        </w:rPr>
        <w:t xml:space="preserve"> janvier 2022, les salariés sont dotés de carte ticket restaurant permettant une dépense au </w:t>
      </w:r>
      <w:r w:rsidRPr="00EE1532">
        <w:rPr>
          <w:rFonts w:ascii="Arial" w:cs="Arial" w:eastAsia="Arial" w:hAnsi="Arial"/>
          <w:sz w:val="24"/>
          <w:szCs w:val="24"/>
        </w:rPr>
        <w:lastRenderedPageBreak/>
        <w:t>centime près, source de gain de pouvoir d’achat. La Direction valide la demande de nouvelle répartition de prise en charge des tickets restaurant à 60% pour l’employeur.</w:t>
      </w:r>
    </w:p>
    <w:p w14:paraId="33417521" w14:textId="5A9D43BD" w:rsidP="009C67AB" w:rsidR="002F50DA" w:rsidRDefault="002F50DA" w:rsidRPr="00EE1532">
      <w:pPr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La Direction s’engage à initier en 2022 la négociation d’accord en particulier celui relatif à l’égalité femme / homme. De plus, la Direction propose de mettre en place des réunions sur des thématiques abordées en réunion de CSE : la climatisation des loges et des BA, les grilles d’entretien annuel et professionnel, la charte de bien vivre / Qualité de vie au travail, le handicap.</w:t>
      </w:r>
    </w:p>
    <w:p w14:paraId="76118BF1" w14:textId="77777777" w:rsidP="009C67AB" w:rsidR="005F34BF" w:rsidRDefault="005F34BF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227562B5" w14:textId="2D4897AE" w:rsidP="009C67AB" w:rsidR="005F34BF" w:rsidRDefault="002F50DA" w:rsidRPr="00EE1532">
      <w:pPr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La Direction a entendu la demande des élus qui souhaitent qu’une réflexion soit engagée pour créer plus de collectif. Elle s’engage à réfléchir à des dispositifs qui pourraient être proposés aux salariés.</w:t>
      </w:r>
    </w:p>
    <w:p w14:paraId="54EFB4CB" w14:textId="0AF7ADA3" w:rsidP="009C67AB" w:rsidR="001040C6" w:rsidRDefault="001040C6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5ACCEA2E" w14:textId="559F4CF2" w:rsidP="009C67AB" w:rsidR="001040C6" w:rsidRDefault="001040C6" w:rsidRPr="00EE1532">
      <w:pPr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La Direction a également été sensible aux arguments des élus concernés la taille des logements de fonction des gardiens. Il a été décidé de revoir la règle. Le logement de fonction sera adapté à la composition familiale mais il ne pourra pas excéder un appartement de type F4. </w:t>
      </w:r>
    </w:p>
    <w:p w14:paraId="5B57D1A7" w14:textId="5312E988" w:rsidP="009C67AB" w:rsidR="00EE1532" w:rsidRDefault="00EE1532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53D943CD" w14:textId="77777777" w:rsidP="009C67AB" w:rsidR="001040C6" w:rsidRDefault="00435717" w:rsidRPr="00EE1532">
      <w:pPr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Sur les autres points, la direction </w:t>
      </w:r>
      <w:r w:rsidR="001040C6" w:rsidRPr="00EE1532">
        <w:rPr>
          <w:rFonts w:ascii="Arial" w:cs="Arial" w:eastAsia="Arial" w:hAnsi="Arial"/>
          <w:sz w:val="24"/>
          <w:szCs w:val="24"/>
        </w:rPr>
        <w:t>n’</w:t>
      </w:r>
      <w:r w:rsidRPr="00EE1532">
        <w:rPr>
          <w:rFonts w:ascii="Arial" w:cs="Arial" w:eastAsia="Arial" w:hAnsi="Arial"/>
          <w:sz w:val="24"/>
          <w:szCs w:val="24"/>
        </w:rPr>
        <w:t xml:space="preserve">a </w:t>
      </w:r>
      <w:r w:rsidR="001040C6" w:rsidRPr="00EE1532">
        <w:rPr>
          <w:rFonts w:ascii="Arial" w:cs="Arial" w:eastAsia="Arial" w:hAnsi="Arial"/>
          <w:sz w:val="24"/>
          <w:szCs w:val="24"/>
        </w:rPr>
        <w:t xml:space="preserve">pas souhaité donner de suite favorable. </w:t>
      </w:r>
    </w:p>
    <w:p w14:paraId="3F4E31CC" w14:textId="731B49B4" w:rsidP="009C67AB" w:rsidR="00F90E5D" w:rsidRDefault="00F90E5D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78E78077" w14:textId="64383BA8" w:rsidP="009C67AB" w:rsidR="001040C6" w:rsidRDefault="001040C6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5C55818F" w14:textId="77777777" w:rsidP="009C67AB" w:rsidR="001040C6" w:rsidRDefault="001040C6" w:rsidRPr="00EE1532">
      <w:pPr>
        <w:jc w:val="both"/>
        <w:rPr>
          <w:rFonts w:ascii="Arial" w:cs="Arial" w:eastAsia="Arial" w:hAnsi="Arial"/>
          <w:sz w:val="24"/>
          <w:szCs w:val="24"/>
        </w:rPr>
      </w:pPr>
    </w:p>
    <w:p w14:paraId="35D92CE3" w14:textId="77777777" w:rsidP="009C67AB" w:rsidR="00085BD9" w:rsidRDefault="00CA748E" w:rsidRPr="00EE1532">
      <w:p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Les parties sont convenues de</w:t>
      </w:r>
      <w:r w:rsidR="0054016B" w:rsidRPr="00EE1532">
        <w:rPr>
          <w:rFonts w:ascii="Arial" w:cs="Arial" w:eastAsia="Arial" w:hAnsi="Arial"/>
          <w:sz w:val="24"/>
          <w:szCs w:val="24"/>
        </w:rPr>
        <w:t> :</w:t>
      </w:r>
    </w:p>
    <w:p w14:paraId="679BC8C5" w14:textId="77777777" w:rsidP="009C67AB" w:rsidR="0054016B" w:rsidRDefault="0054016B" w:rsidRPr="00EE1532">
      <w:pPr>
        <w:spacing w:after="120" w:before="120"/>
        <w:jc w:val="both"/>
        <w:rPr>
          <w:rFonts w:ascii="Arial" w:cs="Arial" w:eastAsia="Arial" w:hAnsi="Arial"/>
          <w:b/>
          <w:sz w:val="24"/>
          <w:szCs w:val="24"/>
        </w:rPr>
      </w:pPr>
    </w:p>
    <w:p w14:paraId="5E721245" w14:textId="77777777" w:rsidP="0054016B" w:rsidR="00F90E5D" w:rsidRDefault="0054016B" w:rsidRPr="00EE1532">
      <w:pPr>
        <w:pStyle w:val="Paragraphedeliste"/>
        <w:numPr>
          <w:ilvl w:val="0"/>
          <w:numId w:val="5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b/>
          <w:sz w:val="24"/>
          <w:szCs w:val="24"/>
        </w:rPr>
        <w:t>L’augmentation</w:t>
      </w:r>
      <w:r w:rsidR="00CA748E" w:rsidRPr="00EE1532">
        <w:rPr>
          <w:rFonts w:ascii="Arial" w:cs="Arial" w:eastAsia="Arial" w:hAnsi="Arial"/>
          <w:b/>
          <w:sz w:val="24"/>
          <w:szCs w:val="24"/>
        </w:rPr>
        <w:t xml:space="preserve"> collective suivante</w:t>
      </w:r>
      <w:r w:rsidR="00CA748E" w:rsidRPr="00EE1532">
        <w:rPr>
          <w:rFonts w:ascii="Arial" w:cs="Arial" w:eastAsia="Arial" w:hAnsi="Arial"/>
          <w:sz w:val="24"/>
          <w:szCs w:val="24"/>
        </w:rPr>
        <w:t xml:space="preserve"> :</w:t>
      </w:r>
    </w:p>
    <w:p w14:paraId="5933BFB3" w14:textId="77777777" w:rsidP="001C6E1B" w:rsidR="001C6E1B" w:rsidRDefault="001C6E1B" w:rsidRPr="00EE1532">
      <w:pPr>
        <w:spacing w:after="160" w:before="16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Tous catégories confondues :</w:t>
      </w:r>
    </w:p>
    <w:p w14:paraId="314E1FAD" w14:textId="77777777" w:rsidP="001C6E1B" w:rsidR="005A0F1C" w:rsidRDefault="001C6E1B" w:rsidRPr="00EE1532">
      <w:pPr>
        <w:spacing w:after="160" w:before="160"/>
        <w:jc w:val="both"/>
        <w:rPr>
          <w:rFonts w:ascii="Arial" w:cs="Arial" w:eastAsia="Arial" w:hAnsi="Arial"/>
          <w:b/>
          <w:sz w:val="24"/>
          <w:szCs w:val="24"/>
          <w:u w:val="single"/>
        </w:rPr>
      </w:pPr>
      <w:r w:rsidRPr="00EE1532">
        <w:rPr>
          <w:rFonts w:ascii="Arial" w:cs="Arial" w:eastAsia="Arial" w:hAnsi="Arial"/>
          <w:sz w:val="24"/>
          <w:szCs w:val="24"/>
        </w:rPr>
        <w:t>I</w:t>
      </w:r>
      <w:r w:rsidR="007A4D54" w:rsidRPr="00EE1532">
        <w:rPr>
          <w:rFonts w:ascii="Arial" w:cs="Arial" w:eastAsia="Arial" w:hAnsi="Arial"/>
          <w:sz w:val="24"/>
          <w:szCs w:val="24"/>
        </w:rPr>
        <w:t>l est prévu</w:t>
      </w:r>
      <w:r w:rsidR="005A0F1C" w:rsidRPr="00EE1532">
        <w:rPr>
          <w:rFonts w:ascii="Arial" w:cs="Arial" w:eastAsia="Arial" w:hAnsi="Arial"/>
          <w:sz w:val="24"/>
          <w:szCs w:val="24"/>
        </w:rPr>
        <w:t> :</w:t>
      </w:r>
    </w:p>
    <w:p w14:paraId="1D220E09" w14:textId="3EDC944C" w:rsidP="009C67AB" w:rsidR="007A4D54" w:rsidRDefault="005A0F1C" w:rsidRPr="00EE1532">
      <w:pPr>
        <w:pStyle w:val="Paragraphedeliste"/>
        <w:numPr>
          <w:ilvl w:val="0"/>
          <w:numId w:val="2"/>
        </w:numPr>
        <w:spacing w:after="120" w:before="240"/>
        <w:ind w:hanging="357" w:left="714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Au 1</w:t>
      </w:r>
      <w:r w:rsidRPr="00EE1532">
        <w:rPr>
          <w:rFonts w:ascii="Arial" w:cs="Arial" w:eastAsia="Arial" w:hAnsi="Arial"/>
          <w:sz w:val="24"/>
          <w:szCs w:val="24"/>
          <w:vertAlign w:val="superscript"/>
        </w:rPr>
        <w:t>er</w:t>
      </w:r>
      <w:r w:rsidRPr="00EE1532">
        <w:rPr>
          <w:rFonts w:ascii="Arial" w:cs="Arial" w:eastAsia="Arial" w:hAnsi="Arial"/>
          <w:sz w:val="24"/>
          <w:szCs w:val="24"/>
        </w:rPr>
        <w:t xml:space="preserve"> janvier 20</w:t>
      </w:r>
      <w:r w:rsidR="00085BD9" w:rsidRPr="00EE1532">
        <w:rPr>
          <w:rFonts w:ascii="Arial" w:cs="Arial" w:eastAsia="Arial" w:hAnsi="Arial"/>
          <w:sz w:val="24"/>
          <w:szCs w:val="24"/>
        </w:rPr>
        <w:t>2</w:t>
      </w:r>
      <w:r w:rsidR="0025338B">
        <w:rPr>
          <w:rFonts w:ascii="Arial" w:cs="Arial" w:eastAsia="Arial" w:hAnsi="Arial"/>
          <w:sz w:val="24"/>
          <w:szCs w:val="24"/>
        </w:rPr>
        <w:t>2</w:t>
      </w:r>
      <w:r w:rsidRPr="00EE1532">
        <w:rPr>
          <w:rFonts w:ascii="Arial" w:cs="Arial" w:eastAsia="Arial" w:hAnsi="Arial"/>
          <w:sz w:val="24"/>
          <w:szCs w:val="24"/>
        </w:rPr>
        <w:t xml:space="preserve"> : </w:t>
      </w:r>
      <w:r w:rsidR="007A4D54" w:rsidRPr="00EE1532">
        <w:rPr>
          <w:rFonts w:ascii="Arial" w:cs="Arial" w:eastAsia="Arial" w:hAnsi="Arial"/>
          <w:sz w:val="24"/>
          <w:szCs w:val="24"/>
        </w:rPr>
        <w:t xml:space="preserve">une augmentation de </w:t>
      </w:r>
      <w:r w:rsidR="001040C6" w:rsidRPr="00EE1532">
        <w:rPr>
          <w:rFonts w:ascii="Arial" w:cs="Arial" w:eastAsia="Arial" w:hAnsi="Arial"/>
          <w:sz w:val="24"/>
          <w:szCs w:val="24"/>
        </w:rPr>
        <w:t>1%</w:t>
      </w:r>
      <w:r w:rsidRPr="00EE1532">
        <w:rPr>
          <w:rFonts w:ascii="Arial" w:cs="Arial" w:eastAsia="Arial" w:hAnsi="Arial"/>
          <w:sz w:val="24"/>
          <w:szCs w:val="24"/>
        </w:rPr>
        <w:t xml:space="preserve"> du salaire </w:t>
      </w:r>
      <w:r w:rsidR="001C6E1B" w:rsidRPr="00EE1532">
        <w:rPr>
          <w:rFonts w:ascii="Arial" w:cs="Arial" w:eastAsia="Arial" w:hAnsi="Arial"/>
          <w:sz w:val="24"/>
          <w:szCs w:val="24"/>
        </w:rPr>
        <w:t>brut mensuel équivalent temps plein</w:t>
      </w:r>
      <w:r w:rsidRPr="00EE1532">
        <w:rPr>
          <w:rFonts w:ascii="Arial" w:cs="Arial" w:eastAsia="Arial" w:hAnsi="Arial"/>
          <w:sz w:val="24"/>
          <w:szCs w:val="24"/>
        </w:rPr>
        <w:t>,</w:t>
      </w:r>
    </w:p>
    <w:p w14:paraId="3E812F1C" w14:textId="75EC9DDB" w:rsidR="001C6E1B" w:rsidRDefault="00CA748E" w:rsidRPr="00EE1532">
      <w:p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b/>
          <w:sz w:val="24"/>
          <w:szCs w:val="24"/>
        </w:rPr>
        <w:t xml:space="preserve">L’ensemble de ces mesures s’applique aux salariés </w:t>
      </w:r>
      <w:r w:rsidR="001C6E1B" w:rsidRPr="00EE1532">
        <w:rPr>
          <w:rFonts w:ascii="Arial" w:cs="Arial" w:eastAsia="Arial" w:hAnsi="Arial"/>
          <w:b/>
          <w:sz w:val="24"/>
          <w:szCs w:val="24"/>
        </w:rPr>
        <w:t>en CDI ou en CDD longs (plus de 6 mois) présents dans l’entreprise au 30/11/202</w:t>
      </w:r>
      <w:r w:rsidR="001040C6" w:rsidRPr="00EE1532">
        <w:rPr>
          <w:rFonts w:ascii="Arial" w:cs="Arial" w:eastAsia="Arial" w:hAnsi="Arial"/>
          <w:b/>
          <w:sz w:val="24"/>
          <w:szCs w:val="24"/>
        </w:rPr>
        <w:t>1</w:t>
      </w:r>
      <w:r w:rsidR="001C6E1B" w:rsidRPr="00EE1532">
        <w:rPr>
          <w:rFonts w:ascii="Arial" w:cs="Arial" w:eastAsia="Arial" w:hAnsi="Arial"/>
          <w:sz w:val="24"/>
          <w:szCs w:val="24"/>
        </w:rPr>
        <w:t>.</w:t>
      </w:r>
    </w:p>
    <w:p w14:paraId="7CF915B7" w14:textId="77777777" w:rsidR="00085BD9" w:rsidRDefault="00085BD9" w:rsidRPr="00EE1532">
      <w:p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</w:p>
    <w:p w14:paraId="7AC317CB" w14:textId="77777777" w:rsidP="0054016B" w:rsidR="00085BD9" w:rsidRDefault="0054016B" w:rsidRPr="00EE1532">
      <w:pPr>
        <w:pStyle w:val="Paragraphedeliste"/>
        <w:numPr>
          <w:ilvl w:val="0"/>
          <w:numId w:val="5"/>
        </w:num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b/>
          <w:sz w:val="24"/>
          <w:szCs w:val="24"/>
        </w:rPr>
        <w:t>L’augmentation</w:t>
      </w:r>
      <w:r w:rsidR="00085BD9" w:rsidRPr="00EE1532">
        <w:rPr>
          <w:rFonts w:ascii="Arial" w:cs="Arial" w:eastAsia="Arial" w:hAnsi="Arial"/>
          <w:b/>
          <w:sz w:val="24"/>
          <w:szCs w:val="24"/>
        </w:rPr>
        <w:t xml:space="preserve"> individuelle suivante</w:t>
      </w:r>
      <w:r w:rsidR="00085BD9" w:rsidRPr="00EE1532">
        <w:rPr>
          <w:rFonts w:ascii="Arial" w:cs="Arial" w:eastAsia="Arial" w:hAnsi="Arial"/>
          <w:sz w:val="24"/>
          <w:szCs w:val="24"/>
        </w:rPr>
        <w:t xml:space="preserve"> :</w:t>
      </w:r>
    </w:p>
    <w:p w14:paraId="2974D2F0" w14:textId="77777777" w:rsidP="00085BD9" w:rsidR="00085BD9" w:rsidRDefault="00085BD9" w:rsidRPr="00EE1532">
      <w:pPr>
        <w:spacing w:after="160" w:before="16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Tous catégories confondues :</w:t>
      </w:r>
    </w:p>
    <w:p w14:paraId="01CD1556" w14:textId="77777777" w:rsidP="00085BD9" w:rsidR="00085BD9" w:rsidRDefault="00085BD9" w:rsidRPr="00EE1532">
      <w:pPr>
        <w:spacing w:after="160" w:before="160"/>
        <w:jc w:val="both"/>
        <w:rPr>
          <w:rFonts w:ascii="Arial" w:cs="Arial" w:eastAsia="Arial" w:hAnsi="Arial"/>
          <w:b/>
          <w:sz w:val="24"/>
          <w:szCs w:val="24"/>
          <w:u w:val="single"/>
        </w:rPr>
      </w:pPr>
      <w:r w:rsidRPr="00EE1532">
        <w:rPr>
          <w:rFonts w:ascii="Arial" w:cs="Arial" w:eastAsia="Arial" w:hAnsi="Arial"/>
          <w:sz w:val="24"/>
          <w:szCs w:val="24"/>
        </w:rPr>
        <w:t>Il est prévu :</w:t>
      </w:r>
    </w:p>
    <w:p w14:paraId="33B8370B" w14:textId="5EB7A6CD" w:rsidP="002C438C" w:rsidR="002C438C" w:rsidRDefault="00085BD9" w:rsidRPr="00EE1532">
      <w:pPr>
        <w:pStyle w:val="Paragraphedeliste"/>
        <w:numPr>
          <w:ilvl w:val="0"/>
          <w:numId w:val="2"/>
        </w:numPr>
        <w:spacing w:after="120" w:before="240"/>
        <w:ind w:hanging="357" w:left="714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Au 1</w:t>
      </w:r>
      <w:r w:rsidRPr="00EE1532">
        <w:rPr>
          <w:rFonts w:ascii="Arial" w:cs="Arial" w:eastAsia="Arial" w:hAnsi="Arial"/>
          <w:sz w:val="24"/>
          <w:szCs w:val="24"/>
          <w:vertAlign w:val="superscript"/>
        </w:rPr>
        <w:t>er</w:t>
      </w:r>
      <w:r w:rsidRPr="00EE1532">
        <w:rPr>
          <w:rFonts w:ascii="Arial" w:cs="Arial" w:eastAsia="Arial" w:hAnsi="Arial"/>
          <w:sz w:val="24"/>
          <w:szCs w:val="24"/>
        </w:rPr>
        <w:t xml:space="preserve"> juillet 202</w:t>
      </w:r>
      <w:r w:rsidR="0025338B">
        <w:rPr>
          <w:rFonts w:ascii="Arial" w:cs="Arial" w:eastAsia="Arial" w:hAnsi="Arial"/>
          <w:sz w:val="24"/>
          <w:szCs w:val="24"/>
        </w:rPr>
        <w:t>2</w:t>
      </w:r>
      <w:r w:rsidRPr="00EE1532">
        <w:rPr>
          <w:rFonts w:ascii="Arial" w:cs="Arial" w:eastAsia="Arial" w:hAnsi="Arial"/>
          <w:sz w:val="24"/>
          <w:szCs w:val="24"/>
        </w:rPr>
        <w:t xml:space="preserve"> : une enveloppe de </w:t>
      </w:r>
      <w:r w:rsidR="001040C6" w:rsidRPr="00EE1532">
        <w:rPr>
          <w:rFonts w:ascii="Arial" w:cs="Arial" w:eastAsia="Arial" w:hAnsi="Arial"/>
          <w:sz w:val="24"/>
          <w:szCs w:val="24"/>
        </w:rPr>
        <w:t>0.5</w:t>
      </w:r>
      <w:r w:rsidRPr="00EE1532">
        <w:rPr>
          <w:rFonts w:ascii="Arial" w:cs="Arial" w:eastAsia="Arial" w:hAnsi="Arial"/>
          <w:sz w:val="24"/>
          <w:szCs w:val="24"/>
        </w:rPr>
        <w:t>% de la masse salariale</w:t>
      </w:r>
    </w:p>
    <w:p w14:paraId="10E43B49" w14:textId="77777777" w:rsidP="001040C6" w:rsidR="001040C6" w:rsidRDefault="001040C6" w:rsidRPr="00EE1532">
      <w:pPr>
        <w:pStyle w:val="Paragraphedeliste"/>
        <w:spacing w:after="120" w:before="240"/>
        <w:jc w:val="both"/>
        <w:rPr>
          <w:rFonts w:ascii="Arial" w:cs="Arial" w:eastAsia="Arial" w:hAnsi="Arial"/>
          <w:b/>
          <w:bCs/>
          <w:sz w:val="24"/>
          <w:szCs w:val="24"/>
        </w:rPr>
      </w:pPr>
    </w:p>
    <w:p w14:paraId="250B348A" w14:textId="7527BF56" w:rsidP="001040C6" w:rsidR="001040C6" w:rsidRDefault="001040C6" w:rsidRPr="00EE1532">
      <w:pPr>
        <w:pStyle w:val="Paragraphedeliste"/>
        <w:numPr>
          <w:ilvl w:val="0"/>
          <w:numId w:val="5"/>
        </w:numPr>
        <w:spacing w:after="120" w:before="240"/>
        <w:jc w:val="both"/>
        <w:rPr>
          <w:rFonts w:ascii="Arial" w:cs="Arial" w:eastAsia="Arial" w:hAnsi="Arial"/>
          <w:b/>
          <w:bCs/>
          <w:sz w:val="24"/>
          <w:szCs w:val="24"/>
        </w:rPr>
      </w:pPr>
      <w:r w:rsidRPr="00EE1532">
        <w:rPr>
          <w:rFonts w:ascii="Arial" w:cs="Arial" w:eastAsia="Arial" w:hAnsi="Arial"/>
          <w:b/>
          <w:bCs/>
          <w:sz w:val="24"/>
          <w:szCs w:val="24"/>
        </w:rPr>
        <w:t>Ticket restaurant</w:t>
      </w:r>
    </w:p>
    <w:p w14:paraId="6067C11E" w14:textId="2EF63B15" w:rsidP="001040C6" w:rsidR="001040C6" w:rsidRDefault="001040C6" w:rsidRPr="00EE1532">
      <w:pPr>
        <w:spacing w:after="120" w:before="24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A compter du 1</w:t>
      </w:r>
      <w:r w:rsidRPr="00EE1532">
        <w:rPr>
          <w:rFonts w:ascii="Arial" w:cs="Arial" w:eastAsia="Arial" w:hAnsi="Arial"/>
          <w:sz w:val="24"/>
          <w:szCs w:val="24"/>
          <w:vertAlign w:val="superscript"/>
        </w:rPr>
        <w:t>er</w:t>
      </w:r>
      <w:r w:rsidRPr="00EE1532">
        <w:rPr>
          <w:rFonts w:ascii="Arial" w:cs="Arial" w:eastAsia="Arial" w:hAnsi="Arial"/>
          <w:sz w:val="24"/>
          <w:szCs w:val="24"/>
        </w:rPr>
        <w:t xml:space="preserve"> janvier 2022, la répartition de la prise en charge du ticket restaurant sera de :</w:t>
      </w:r>
    </w:p>
    <w:p w14:paraId="374550CC" w14:textId="0843B21E" w:rsidP="001040C6" w:rsidR="001040C6" w:rsidRDefault="001040C6" w:rsidRPr="00EE1532">
      <w:pPr>
        <w:pStyle w:val="Paragraphedeliste"/>
        <w:numPr>
          <w:ilvl w:val="0"/>
          <w:numId w:val="2"/>
        </w:numPr>
        <w:spacing w:after="120" w:before="24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60% pour l’employeur</w:t>
      </w:r>
    </w:p>
    <w:p w14:paraId="2814E152" w14:textId="2ACF7E29" w:rsidP="001040C6" w:rsidR="001040C6" w:rsidRDefault="001040C6" w:rsidRPr="00EE1532">
      <w:pPr>
        <w:pStyle w:val="Paragraphedeliste"/>
        <w:numPr>
          <w:ilvl w:val="0"/>
          <w:numId w:val="2"/>
        </w:numPr>
        <w:spacing w:after="120" w:before="24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40% pour le salarié</w:t>
      </w:r>
    </w:p>
    <w:p w14:paraId="3D2480AF" w14:textId="0B0C2CEF" w:rsidP="002C438C" w:rsidR="002C438C" w:rsidRDefault="002C438C">
      <w:pPr>
        <w:pStyle w:val="Paragraphedeliste"/>
        <w:spacing w:after="120" w:before="240"/>
        <w:ind w:left="714"/>
        <w:contextualSpacing w:val="0"/>
        <w:jc w:val="both"/>
        <w:rPr>
          <w:rFonts w:ascii="Arial" w:cs="Arial" w:eastAsia="Arial" w:hAnsi="Arial"/>
          <w:sz w:val="24"/>
          <w:szCs w:val="24"/>
        </w:rPr>
      </w:pPr>
    </w:p>
    <w:p w14:paraId="6D248A7D" w14:textId="2DE1CA0F" w:rsidP="002C438C" w:rsidR="00EE1532" w:rsidRDefault="00EE1532">
      <w:pPr>
        <w:pStyle w:val="Paragraphedeliste"/>
        <w:spacing w:after="120" w:before="240"/>
        <w:ind w:left="714"/>
        <w:contextualSpacing w:val="0"/>
        <w:jc w:val="both"/>
        <w:rPr>
          <w:rFonts w:ascii="Arial" w:cs="Arial" w:eastAsia="Arial" w:hAnsi="Arial"/>
          <w:sz w:val="24"/>
          <w:szCs w:val="24"/>
        </w:rPr>
      </w:pPr>
    </w:p>
    <w:p w14:paraId="34DF4687" w14:textId="77777777" w:rsidP="00673F22" w:rsidR="00EE1532" w:rsidRDefault="00EE1532" w:rsidRPr="00EE1532">
      <w:pPr>
        <w:pStyle w:val="Paragraphedeliste"/>
        <w:tabs>
          <w:tab w:pos="360" w:val="left"/>
        </w:tabs>
        <w:jc w:val="both"/>
        <w:rPr>
          <w:b/>
          <w:sz w:val="24"/>
          <w:szCs w:val="24"/>
        </w:rPr>
      </w:pPr>
    </w:p>
    <w:p w14:paraId="3C698255" w14:textId="1827406D" w:rsidP="006A6E45" w:rsidR="006A6E45" w:rsidRDefault="006A6E45" w:rsidRPr="00EE1532">
      <w:pPr>
        <w:pStyle w:val="Paragraphedeliste"/>
        <w:numPr>
          <w:ilvl w:val="0"/>
          <w:numId w:val="5"/>
        </w:numPr>
        <w:tabs>
          <w:tab w:pos="360" w:val="left"/>
        </w:tabs>
        <w:jc w:val="both"/>
        <w:rPr>
          <w:b/>
          <w:sz w:val="24"/>
          <w:szCs w:val="24"/>
        </w:rPr>
      </w:pPr>
      <w:r w:rsidRPr="00EE1532">
        <w:rPr>
          <w:rFonts w:ascii="Arial" w:cs="Arial" w:hAnsi="Arial"/>
          <w:b/>
          <w:bCs/>
          <w:sz w:val="24"/>
          <w:szCs w:val="24"/>
        </w:rPr>
        <w:t>Négociations à engage</w:t>
      </w:r>
      <w:r w:rsidR="002C438C" w:rsidRPr="00EE1532">
        <w:rPr>
          <w:rFonts w:ascii="Arial" w:cs="Arial" w:hAnsi="Arial"/>
          <w:b/>
          <w:bCs/>
          <w:sz w:val="24"/>
          <w:szCs w:val="24"/>
        </w:rPr>
        <w:t>r</w:t>
      </w:r>
      <w:r w:rsidRPr="00EE1532">
        <w:rPr>
          <w:rFonts w:ascii="Arial" w:cs="Arial" w:hAnsi="Arial"/>
          <w:b/>
          <w:bCs/>
          <w:sz w:val="24"/>
          <w:szCs w:val="24"/>
        </w:rPr>
        <w:t xml:space="preserve"> au cours de l’année 2022, sur les thèmes suivants :</w:t>
      </w:r>
    </w:p>
    <w:p w14:paraId="36B9B8AB" w14:textId="77777777" w:rsidP="006A6E45" w:rsidR="006A6E45" w:rsidRDefault="006A6E45" w:rsidRPr="00EE1532">
      <w:pPr>
        <w:jc w:val="both"/>
        <w:rPr>
          <w:rFonts w:ascii="Arial" w:cs="Arial" w:hAnsi="Arial"/>
          <w:bCs/>
          <w:sz w:val="24"/>
          <w:szCs w:val="24"/>
        </w:rPr>
      </w:pPr>
    </w:p>
    <w:p w14:paraId="0DEE3E08" w14:textId="29ECC511" w:rsidP="002C438C" w:rsidR="006A6E45" w:rsidRDefault="006A6E45" w:rsidRPr="00EE1532">
      <w:pPr>
        <w:pStyle w:val="Paragraphedeliste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9"/>
        <w:jc w:val="both"/>
        <w:rPr>
          <w:rFonts w:ascii="Arial" w:cs="Arial" w:hAnsi="Arial"/>
          <w:sz w:val="24"/>
          <w:szCs w:val="24"/>
        </w:rPr>
      </w:pPr>
      <w:r w:rsidRPr="00EE1532">
        <w:rPr>
          <w:rFonts w:ascii="Arial" w:cs="Arial" w:hAnsi="Arial"/>
          <w:sz w:val="24"/>
          <w:szCs w:val="24"/>
        </w:rPr>
        <w:t>L’égalité Professionnelle Femme / Homme</w:t>
      </w:r>
      <w:r w:rsidR="001040C6" w:rsidRPr="00EE1532">
        <w:rPr>
          <w:rFonts w:ascii="Arial" w:cs="Arial" w:hAnsi="Arial"/>
          <w:sz w:val="24"/>
          <w:szCs w:val="24"/>
        </w:rPr>
        <w:t>,</w:t>
      </w:r>
    </w:p>
    <w:p w14:paraId="49947D2B" w14:textId="2A3AB98B" w:rsidP="002C438C" w:rsidR="001040C6" w:rsidRDefault="001040C6" w:rsidRPr="00EE1532">
      <w:pPr>
        <w:pStyle w:val="Paragraphedeliste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9"/>
        <w:jc w:val="both"/>
        <w:rPr>
          <w:rFonts w:ascii="Arial" w:cs="Arial" w:hAnsi="Arial"/>
          <w:sz w:val="24"/>
          <w:szCs w:val="24"/>
        </w:rPr>
      </w:pPr>
      <w:r w:rsidRPr="00EE1532">
        <w:rPr>
          <w:rFonts w:ascii="Arial" w:cs="Arial" w:hAnsi="Arial"/>
          <w:sz w:val="24"/>
          <w:szCs w:val="24"/>
        </w:rPr>
        <w:t>Bilan à un an de l’accord Télétravail</w:t>
      </w:r>
    </w:p>
    <w:p w14:paraId="497F6A61" w14:textId="1EC30882" w:rsidP="002C438C" w:rsidR="002C438C" w:rsidRDefault="002C438C" w:rsidRPr="00EE1532">
      <w:pPr>
        <w:pStyle w:val="Paragraphedelist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/>
        <w:ind w:left="709"/>
        <w:jc w:val="both"/>
        <w:rPr>
          <w:rFonts w:ascii="Arial" w:cs="Arial" w:eastAsia="Arial" w:hAnsi="Arial"/>
          <w:sz w:val="24"/>
          <w:szCs w:val="24"/>
        </w:rPr>
      </w:pPr>
    </w:p>
    <w:p w14:paraId="3B2A246A" w14:textId="77777777" w:rsidP="002C438C" w:rsidR="001040C6" w:rsidRDefault="001040C6" w:rsidRPr="00EE1532">
      <w:pPr>
        <w:pStyle w:val="Paragraphedelist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/>
        <w:ind w:left="709"/>
        <w:jc w:val="both"/>
        <w:rPr>
          <w:rFonts w:ascii="Arial" w:cs="Arial" w:eastAsia="Arial" w:hAnsi="Arial"/>
          <w:sz w:val="24"/>
          <w:szCs w:val="24"/>
        </w:rPr>
      </w:pPr>
    </w:p>
    <w:p w14:paraId="3820F8B6" w14:textId="77777777" w:rsidP="002C438C" w:rsidR="002C438C" w:rsidRDefault="002C438C" w:rsidRPr="00EE1532">
      <w:pPr>
        <w:pStyle w:val="Paragraphedeliste"/>
        <w:numPr>
          <w:ilvl w:val="0"/>
          <w:numId w:val="5"/>
        </w:numPr>
        <w:tabs>
          <w:tab w:pos="360" w:val="left"/>
        </w:tabs>
        <w:jc w:val="both"/>
        <w:rPr>
          <w:b/>
          <w:sz w:val="24"/>
          <w:szCs w:val="24"/>
        </w:rPr>
      </w:pPr>
      <w:r w:rsidRPr="00EE1532">
        <w:rPr>
          <w:rFonts w:ascii="Arial" w:cs="Arial" w:hAnsi="Arial"/>
          <w:b/>
          <w:bCs/>
          <w:sz w:val="24"/>
          <w:szCs w:val="24"/>
        </w:rPr>
        <w:t>Réunions de travail à initier au cours de l’année 2022, sur les thèmes suivants :</w:t>
      </w:r>
    </w:p>
    <w:p w14:paraId="63F2200D" w14:textId="77777777" w:rsidP="002C438C" w:rsidR="002C438C" w:rsidRDefault="002C438C" w:rsidRPr="00EE1532">
      <w:pPr>
        <w:pStyle w:val="Paragraphedeliste"/>
        <w:tabs>
          <w:tab w:pos="360" w:val="left"/>
        </w:tabs>
        <w:jc w:val="both"/>
        <w:rPr>
          <w:b/>
          <w:sz w:val="24"/>
          <w:szCs w:val="24"/>
        </w:rPr>
      </w:pPr>
    </w:p>
    <w:p w14:paraId="5AC48CEE" w14:textId="7B50E029" w:rsidP="002C438C" w:rsidR="002C438C" w:rsidRDefault="002C438C" w:rsidRPr="00EE1532">
      <w:pPr>
        <w:pStyle w:val="Paragraphedeliste"/>
        <w:numPr>
          <w:ilvl w:val="0"/>
          <w:numId w:val="10"/>
        </w:numPr>
        <w:tabs>
          <w:tab w:pos="360" w:val="left"/>
        </w:tabs>
        <w:jc w:val="both"/>
        <w:rPr>
          <w:rFonts w:ascii="Arial" w:cs="Arial" w:hAnsi="Arial"/>
          <w:sz w:val="24"/>
          <w:szCs w:val="24"/>
        </w:rPr>
      </w:pPr>
      <w:r w:rsidRPr="00EE1532">
        <w:rPr>
          <w:rFonts w:ascii="Arial" w:cs="Arial" w:hAnsi="Arial"/>
          <w:sz w:val="24"/>
          <w:szCs w:val="24"/>
        </w:rPr>
        <w:t>Refonte des grilles d’entretien annuel et entretien professionnel</w:t>
      </w:r>
    </w:p>
    <w:p w14:paraId="68B46D91" w14:textId="3A59798F" w:rsidP="002C438C" w:rsidR="001040C6" w:rsidRDefault="001040C6" w:rsidRPr="00EE1532">
      <w:pPr>
        <w:pStyle w:val="Paragraphedeliste"/>
        <w:numPr>
          <w:ilvl w:val="0"/>
          <w:numId w:val="10"/>
        </w:numPr>
        <w:tabs>
          <w:tab w:pos="360" w:val="left"/>
        </w:tabs>
        <w:jc w:val="both"/>
        <w:rPr>
          <w:rFonts w:ascii="Arial" w:cs="Arial" w:hAnsi="Arial"/>
          <w:sz w:val="24"/>
          <w:szCs w:val="24"/>
        </w:rPr>
      </w:pPr>
      <w:r w:rsidRPr="00EE1532">
        <w:rPr>
          <w:rFonts w:ascii="Arial" w:cs="Arial" w:hAnsi="Arial"/>
          <w:sz w:val="24"/>
          <w:szCs w:val="24"/>
        </w:rPr>
        <w:t>Climatisation des loges et des bureaux d’accueil</w:t>
      </w:r>
    </w:p>
    <w:p w14:paraId="4F55EA14" w14:textId="0E35CA85" w:rsidP="002C438C" w:rsidR="001040C6" w:rsidRDefault="001040C6" w:rsidRPr="00EE1532">
      <w:pPr>
        <w:pStyle w:val="Paragraphedeliste"/>
        <w:numPr>
          <w:ilvl w:val="0"/>
          <w:numId w:val="10"/>
        </w:numPr>
        <w:tabs>
          <w:tab w:pos="360" w:val="left"/>
        </w:tabs>
        <w:jc w:val="both"/>
        <w:rPr>
          <w:rFonts w:ascii="Arial" w:cs="Arial" w:hAnsi="Arial"/>
          <w:sz w:val="24"/>
          <w:szCs w:val="24"/>
        </w:rPr>
      </w:pPr>
      <w:r w:rsidRPr="00EE1532">
        <w:rPr>
          <w:rFonts w:ascii="Arial" w:cs="Arial" w:hAnsi="Arial"/>
          <w:sz w:val="24"/>
          <w:szCs w:val="24"/>
        </w:rPr>
        <w:t>Charte bien vivre / Qualité de vie au travail</w:t>
      </w:r>
    </w:p>
    <w:p w14:paraId="40A6FB67" w14:textId="4637FC0D" w:rsidP="002C438C" w:rsidR="001040C6" w:rsidRDefault="001040C6">
      <w:pPr>
        <w:pStyle w:val="Paragraphedeliste"/>
        <w:numPr>
          <w:ilvl w:val="0"/>
          <w:numId w:val="10"/>
        </w:numPr>
        <w:tabs>
          <w:tab w:pos="360" w:val="left"/>
        </w:tabs>
        <w:jc w:val="both"/>
        <w:rPr>
          <w:rFonts w:ascii="Arial" w:cs="Arial" w:hAnsi="Arial"/>
          <w:sz w:val="24"/>
          <w:szCs w:val="24"/>
        </w:rPr>
      </w:pPr>
      <w:r w:rsidRPr="00EE1532">
        <w:rPr>
          <w:rFonts w:ascii="Arial" w:cs="Arial" w:hAnsi="Arial"/>
          <w:sz w:val="24"/>
          <w:szCs w:val="24"/>
        </w:rPr>
        <w:t>Le handicap</w:t>
      </w:r>
    </w:p>
    <w:p w14:paraId="6CCD483A" w14:textId="1C0BE783" w:rsidP="00635919" w:rsidR="00673F22" w:rsidRDefault="00673F22">
      <w:pPr>
        <w:pStyle w:val="Paragraphedeliste"/>
        <w:numPr>
          <w:ilvl w:val="0"/>
          <w:numId w:val="10"/>
        </w:numPr>
        <w:tabs>
          <w:tab w:pos="1134" w:val="left"/>
        </w:tabs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Point sur la prise en charge des factures de chauffage notamment sur le secteur 2</w:t>
      </w:r>
      <w:r w:rsidR="005B059E">
        <w:rPr>
          <w:rFonts w:ascii="Arial" w:cs="Arial" w:hAnsi="Arial"/>
          <w:sz w:val="24"/>
          <w:szCs w:val="24"/>
        </w:rPr>
        <w:t xml:space="preserve"> avec la mise en place d’un forfait.</w:t>
      </w:r>
    </w:p>
    <w:p w14:paraId="0FBD56D9" w14:textId="50EA0F9E" w:rsidP="00635919" w:rsidR="00F02AF2" w:rsidRDefault="00F02AF2">
      <w:pPr>
        <w:pStyle w:val="Paragraphedeliste"/>
        <w:numPr>
          <w:ilvl w:val="0"/>
          <w:numId w:val="10"/>
        </w:numPr>
        <w:tabs>
          <w:tab w:pos="1134" w:val="left"/>
        </w:tabs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Réflexion sur la définition d’une prime vacance pour le personnel administratif</w:t>
      </w:r>
    </w:p>
    <w:p w14:paraId="347F3A99" w14:textId="11D26E9C" w:rsidP="00635919" w:rsidR="00F02AF2" w:rsidRDefault="00F02AF2" w:rsidRPr="00EE1532">
      <w:pPr>
        <w:pStyle w:val="Paragraphedeliste"/>
        <w:numPr>
          <w:ilvl w:val="0"/>
          <w:numId w:val="10"/>
        </w:numPr>
        <w:tabs>
          <w:tab w:pos="1134" w:val="left"/>
        </w:tabs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Réflexion sur la définition d’une prime incivilité pour le personnel de proximité.</w:t>
      </w:r>
    </w:p>
    <w:p w14:paraId="1D89D7AB" w14:textId="01376CE3" w:rsidP="00C950B3" w:rsidR="00C950B3" w:rsidRDefault="00C950B3" w:rsidRPr="00EE1532">
      <w:pPr>
        <w:tabs>
          <w:tab w:pos="360" w:val="left"/>
        </w:tabs>
        <w:jc w:val="both"/>
        <w:rPr>
          <w:rFonts w:ascii="Arial" w:cs="Arial" w:hAnsi="Arial"/>
          <w:sz w:val="24"/>
          <w:szCs w:val="24"/>
        </w:rPr>
      </w:pPr>
    </w:p>
    <w:p w14:paraId="4658FFA1" w14:textId="148E223C" w:rsidP="00C950B3" w:rsidR="00C950B3" w:rsidRDefault="00C950B3" w:rsidRPr="00EE1532">
      <w:pPr>
        <w:pStyle w:val="Paragraphedeliste"/>
        <w:numPr>
          <w:ilvl w:val="0"/>
          <w:numId w:val="5"/>
        </w:numPr>
        <w:tabs>
          <w:tab w:pos="360" w:val="left"/>
        </w:tabs>
        <w:jc w:val="both"/>
        <w:rPr>
          <w:rFonts w:ascii="Arial" w:cs="Arial" w:hAnsi="Arial"/>
          <w:b/>
          <w:bCs/>
          <w:sz w:val="24"/>
          <w:szCs w:val="24"/>
        </w:rPr>
      </w:pPr>
      <w:r w:rsidRPr="00EE1532">
        <w:rPr>
          <w:rFonts w:ascii="Arial" w:cs="Arial" w:hAnsi="Arial"/>
          <w:b/>
          <w:bCs/>
          <w:sz w:val="24"/>
          <w:szCs w:val="24"/>
        </w:rPr>
        <w:t>Logement de fonction</w:t>
      </w:r>
    </w:p>
    <w:p w14:paraId="2BC4098D" w14:textId="77777777" w:rsidP="00C950B3" w:rsidR="00C950B3" w:rsidRDefault="00C950B3" w:rsidRPr="00EE1532">
      <w:pPr>
        <w:pStyle w:val="Paragraphedeliste"/>
        <w:tabs>
          <w:tab w:pos="360" w:val="left"/>
        </w:tabs>
        <w:jc w:val="both"/>
        <w:rPr>
          <w:rFonts w:ascii="Arial" w:cs="Arial" w:hAnsi="Arial"/>
          <w:sz w:val="24"/>
          <w:szCs w:val="24"/>
        </w:rPr>
      </w:pPr>
    </w:p>
    <w:p w14:paraId="54C7FD41" w14:textId="40338BFC" w:rsidP="00C950B3" w:rsidR="00C950B3" w:rsidRDefault="00C950B3" w:rsidRPr="00EE1532">
      <w:pPr>
        <w:tabs>
          <w:tab w:pos="360" w:val="left"/>
        </w:tabs>
        <w:jc w:val="both"/>
        <w:rPr>
          <w:rFonts w:ascii="Arial" w:cs="Arial" w:hAnsi="Arial"/>
          <w:sz w:val="24"/>
          <w:szCs w:val="24"/>
        </w:rPr>
      </w:pPr>
      <w:r w:rsidRPr="00EE1532">
        <w:rPr>
          <w:rFonts w:ascii="Arial" w:cs="Arial" w:hAnsi="Arial"/>
          <w:sz w:val="24"/>
          <w:szCs w:val="24"/>
        </w:rPr>
        <w:t>Le logement de fonction sera adapté à la composition familiale sans pouvoir excéder un appartement de type F4.</w:t>
      </w:r>
    </w:p>
    <w:p w14:paraId="415F6A1E" w14:textId="77777777" w:rsidP="002C438C" w:rsidR="002C438C" w:rsidRDefault="002C438C" w:rsidRPr="00EE15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</w:p>
    <w:p w14:paraId="0476CAB5" w14:textId="77777777" w:rsidR="00F90E5D" w:rsidRDefault="00CA748E" w:rsidRPr="00EE1532">
      <w:pPr>
        <w:spacing w:after="120" w:before="120"/>
        <w:jc w:val="both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>Cet accord sera déposé et publié selon les formalités légales en vigueur.</w:t>
      </w:r>
    </w:p>
    <w:p w14:paraId="5C4B3202" w14:textId="77777777" w:rsidR="00F90E5D" w:rsidRDefault="00F90E5D" w:rsidRPr="00EE1532">
      <w:pPr>
        <w:rPr>
          <w:rFonts w:ascii="Arial" w:cs="Arial" w:eastAsia="Arial" w:hAnsi="Arial"/>
          <w:sz w:val="24"/>
          <w:szCs w:val="24"/>
        </w:rPr>
      </w:pPr>
    </w:p>
    <w:p w14:paraId="4BCA4FAB" w14:textId="77777777" w:rsidR="00F90E5D" w:rsidRDefault="00F90E5D" w:rsidRPr="00EE1532">
      <w:pPr>
        <w:ind w:left="4536"/>
        <w:rPr>
          <w:rFonts w:ascii="Arial" w:cs="Arial" w:eastAsia="Arial" w:hAnsi="Arial"/>
          <w:sz w:val="24"/>
          <w:szCs w:val="24"/>
        </w:rPr>
      </w:pPr>
    </w:p>
    <w:p w14:paraId="2B5F1DE7" w14:textId="46C27EE5" w:rsidR="00F90E5D" w:rsidRDefault="00CA748E" w:rsidRPr="00EE1532">
      <w:pPr>
        <w:ind w:left="4536"/>
        <w:rPr>
          <w:rFonts w:ascii="Arial" w:cs="Arial" w:eastAsia="Arial" w:hAnsi="Arial"/>
          <w:sz w:val="24"/>
          <w:szCs w:val="24"/>
        </w:rPr>
      </w:pPr>
      <w:r w:rsidRPr="00EE1532">
        <w:rPr>
          <w:rFonts w:ascii="Arial" w:cs="Arial" w:eastAsia="Arial" w:hAnsi="Arial"/>
          <w:sz w:val="24"/>
          <w:szCs w:val="24"/>
        </w:rPr>
        <w:t xml:space="preserve">Fait à Paris, le </w:t>
      </w:r>
      <w:r w:rsidR="001040C6" w:rsidRPr="00EE1532">
        <w:rPr>
          <w:rFonts w:ascii="Arial" w:cs="Arial" w:eastAsia="Arial" w:hAnsi="Arial"/>
          <w:sz w:val="24"/>
          <w:szCs w:val="24"/>
        </w:rPr>
        <w:t>13</w:t>
      </w:r>
      <w:r w:rsidR="00C75139" w:rsidRPr="00EE1532">
        <w:rPr>
          <w:rFonts w:ascii="Arial" w:cs="Arial" w:eastAsia="Arial" w:hAnsi="Arial"/>
          <w:sz w:val="24"/>
          <w:szCs w:val="24"/>
        </w:rPr>
        <w:t xml:space="preserve"> janvier 20</w:t>
      </w:r>
      <w:r w:rsidR="001C6E1B" w:rsidRPr="00EE1532">
        <w:rPr>
          <w:rFonts w:ascii="Arial" w:cs="Arial" w:eastAsia="Arial" w:hAnsi="Arial"/>
          <w:sz w:val="24"/>
          <w:szCs w:val="24"/>
        </w:rPr>
        <w:t>2</w:t>
      </w:r>
      <w:r w:rsidR="001040C6" w:rsidRPr="00EE1532">
        <w:rPr>
          <w:rFonts w:ascii="Arial" w:cs="Arial" w:eastAsia="Arial" w:hAnsi="Arial"/>
          <w:sz w:val="24"/>
          <w:szCs w:val="24"/>
        </w:rPr>
        <w:t>2</w:t>
      </w:r>
    </w:p>
    <w:p w14:paraId="7B0AE508" w14:textId="77777777" w:rsidR="0050257E" w:rsidRDefault="0050257E" w:rsidRPr="00EE1532">
      <w:pPr>
        <w:rPr>
          <w:rFonts w:ascii="Arial" w:cs="Arial" w:eastAsia="Arial" w:hAnsi="Arial"/>
          <w:sz w:val="24"/>
          <w:szCs w:val="24"/>
        </w:rPr>
      </w:pPr>
    </w:p>
    <w:tbl>
      <w:tblPr>
        <w:tblStyle w:val="Grilledutableau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601"/>
        <w:gridCol w:w="4601"/>
      </w:tblGrid>
      <w:tr w14:paraId="6B6FD71D" w14:textId="77777777" w:rsidR="00085BD9" w:rsidRPr="00EE1532" w:rsidTr="0054016B">
        <w:tc>
          <w:tcPr>
            <w:tcW w:type="dxa" w:w="4601"/>
          </w:tcPr>
          <w:p w14:paraId="6C0153FF" w14:textId="6216C4BF" w:rsidP="00085BD9" w:rsidR="00085BD9" w:rsidRDefault="00085BD9" w:rsidRPr="00EE1532">
            <w:pPr>
              <w:pStyle w:val="Titre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0"/>
                <w:smallCaps w:val="0"/>
                <w:u w:val="none"/>
              </w:rPr>
            </w:pPr>
            <w:r w:rsidRPr="00EE1532">
              <w:rPr>
                <w:b w:val="0"/>
                <w:smallCaps w:val="0"/>
                <w:u w:val="none"/>
              </w:rPr>
              <w:t xml:space="preserve">Pour Créteil Habitat, </w:t>
            </w:r>
            <w:r w:rsidR="001D5C7B">
              <w:rPr>
                <w:b w:val="0"/>
                <w:smallCaps w:val="0"/>
                <w:u w:val="none"/>
              </w:rPr>
              <w:t>&lt;&gt;</w:t>
            </w:r>
          </w:p>
          <w:p w14:paraId="0A0053A7" w14:textId="77777777" w:rsidP="0054016B" w:rsidR="0054016B" w:rsidRDefault="0054016B" w:rsidRPr="00EE1532">
            <w:pPr>
              <w:rPr>
                <w:sz w:val="24"/>
                <w:szCs w:val="24"/>
              </w:rPr>
            </w:pPr>
          </w:p>
          <w:p w14:paraId="4995E471" w14:textId="77777777" w:rsidP="0054016B" w:rsidR="0054016B" w:rsidRDefault="0054016B" w:rsidRPr="00EE1532">
            <w:pPr>
              <w:rPr>
                <w:sz w:val="24"/>
                <w:szCs w:val="24"/>
              </w:rPr>
            </w:pPr>
          </w:p>
        </w:tc>
        <w:tc>
          <w:tcPr>
            <w:tcW w:type="dxa" w:w="4601"/>
          </w:tcPr>
          <w:p w14:paraId="1669946D" w14:textId="77777777" w:rsidP="00085BD9" w:rsidR="00085BD9" w:rsidRDefault="00085BD9" w:rsidRPr="00EE1532">
            <w:pPr>
              <w:pStyle w:val="Titre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0"/>
                <w:smallCaps w:val="0"/>
                <w:u w:val="none"/>
              </w:rPr>
            </w:pPr>
          </w:p>
        </w:tc>
      </w:tr>
      <w:tr w14:paraId="6C2E1024" w14:textId="77777777" w:rsidR="00085BD9" w:rsidRPr="00EE1532" w:rsidTr="0054016B">
        <w:tc>
          <w:tcPr>
            <w:tcW w:type="dxa" w:w="4601"/>
          </w:tcPr>
          <w:p w14:paraId="793CD163" w14:textId="77777777" w:rsidP="00085BD9" w:rsidR="00351EA0" w:rsidRDefault="00351EA0">
            <w:pPr>
              <w:pStyle w:val="Titre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0"/>
                <w:smallCaps w:val="0"/>
                <w:u w:val="none"/>
              </w:rPr>
            </w:pPr>
          </w:p>
          <w:p w14:paraId="602C2DF7" w14:textId="77777777" w:rsidP="00085BD9" w:rsidR="00351EA0" w:rsidRDefault="00351EA0">
            <w:pPr>
              <w:pStyle w:val="Titre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0"/>
                <w:smallCaps w:val="0"/>
                <w:u w:val="none"/>
              </w:rPr>
            </w:pPr>
          </w:p>
          <w:p w14:paraId="3C9C523F" w14:textId="46CB1DE3" w:rsidP="00085BD9" w:rsidR="00085BD9" w:rsidRDefault="00085BD9" w:rsidRPr="00EE1532">
            <w:pPr>
              <w:pStyle w:val="Titre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0"/>
                <w:smallCaps w:val="0"/>
                <w:u w:val="none"/>
              </w:rPr>
            </w:pPr>
            <w:r w:rsidRPr="00EE1532">
              <w:rPr>
                <w:b w:val="0"/>
                <w:smallCaps w:val="0"/>
                <w:u w:val="none"/>
              </w:rPr>
              <w:t xml:space="preserve">Pour FO, </w:t>
            </w:r>
            <w:r w:rsidR="001D5C7B">
              <w:rPr>
                <w:b w:val="0"/>
                <w:smallCaps w:val="0"/>
                <w:u w:val="none"/>
              </w:rPr>
              <w:t>&lt;&gt;</w:t>
            </w:r>
          </w:p>
        </w:tc>
        <w:tc>
          <w:tcPr>
            <w:tcW w:type="dxa" w:w="4601"/>
          </w:tcPr>
          <w:p w14:paraId="1BB37DCA" w14:textId="77777777" w:rsidP="00085BD9" w:rsidR="00351EA0" w:rsidRDefault="00351EA0">
            <w:pPr>
              <w:pStyle w:val="Titre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0"/>
                <w:smallCaps w:val="0"/>
                <w:u w:val="none"/>
              </w:rPr>
            </w:pPr>
          </w:p>
          <w:p w14:paraId="169A2958" w14:textId="77777777" w:rsidP="00085BD9" w:rsidR="00351EA0" w:rsidRDefault="00351EA0">
            <w:pPr>
              <w:pStyle w:val="Titre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0"/>
                <w:smallCaps w:val="0"/>
                <w:u w:val="none"/>
              </w:rPr>
            </w:pPr>
          </w:p>
          <w:p w14:paraId="540C0524" w14:textId="2766087E" w:rsidP="00085BD9" w:rsidR="00085BD9" w:rsidRDefault="00085BD9" w:rsidRPr="00EE1532">
            <w:pPr>
              <w:pStyle w:val="Titre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0"/>
                <w:smallCaps w:val="0"/>
                <w:u w:val="none"/>
              </w:rPr>
            </w:pPr>
            <w:r w:rsidRPr="00EE1532">
              <w:rPr>
                <w:b w:val="0"/>
                <w:smallCaps w:val="0"/>
                <w:u w:val="none"/>
              </w:rPr>
              <w:t xml:space="preserve">Pour la CGT, </w:t>
            </w:r>
            <w:r w:rsidR="001D5C7B">
              <w:rPr>
                <w:b w:val="0"/>
                <w:smallCaps w:val="0"/>
                <w:u w:val="none"/>
              </w:rPr>
              <w:t>&lt;&gt;</w:t>
            </w:r>
          </w:p>
        </w:tc>
      </w:tr>
    </w:tbl>
    <w:p w14:paraId="3E2E1BA8" w14:textId="77777777" w:rsidP="0054016B" w:rsidR="00F90E5D" w:rsidRDefault="00F90E5D" w:rsidRPr="00EE1532">
      <w:pPr>
        <w:pStyle w:val="Titre1"/>
      </w:pPr>
    </w:p>
    <w:sectPr w:rsidR="00F90E5D" w:rsidRPr="00EE1532" w:rsidSect="00F80158">
      <w:headerReference r:id="rId10" w:type="default"/>
      <w:footerReference r:id="rId11" w:type="default"/>
      <w:footerReference r:id="rId12" w:type="first"/>
      <w:pgSz w:h="16838" w:w="11906"/>
      <w:pgMar w:bottom="992" w:footer="709" w:gutter="0" w:header="709" w:left="1276" w:right="1418" w:top="1134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73E91" w14:textId="77777777" w:rsidR="000A54AE" w:rsidRDefault="000A54AE">
      <w:r>
        <w:separator/>
      </w:r>
    </w:p>
  </w:endnote>
  <w:endnote w:type="continuationSeparator" w:id="0">
    <w:p w14:paraId="0AC29CB3" w14:textId="77777777" w:rsidR="000A54AE" w:rsidRDefault="000A5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FB12549" w14:textId="77777777" w:rsidR="00F90E5D" w:rsidRDefault="00F90E5D">
    <w:pPr>
      <w:tabs>
        <w:tab w:pos="8280" w:val="right"/>
      </w:tabs>
      <w:jc w:val="right"/>
      <w:rPr>
        <w:sz w:val="16"/>
        <w:szCs w:val="16"/>
      </w:rPr>
    </w:pPr>
  </w:p>
  <w:p w14:paraId="79F04578" w14:textId="77777777" w:rsidR="00F90E5D" w:rsidRDefault="00CA748E">
    <w:pPr>
      <w:tabs>
        <w:tab w:pos="8789" w:val="right"/>
      </w:tabs>
      <w:jc w:val="both"/>
      <w:rPr>
        <w:rFonts w:ascii="Arial" w:cs="Arial" w:eastAsia="Arial" w:hAnsi="Arial"/>
        <w:sz w:val="16"/>
        <w:szCs w:val="16"/>
      </w:rPr>
    </w:pPr>
    <w:r>
      <w:rPr>
        <w:rFonts w:ascii="Arial" w:cs="Arial" w:eastAsia="Arial" w:hAnsi="Arial"/>
        <w:sz w:val="16"/>
        <w:szCs w:val="16"/>
      </w:rPr>
      <w:tab/>
    </w:r>
    <w:r w:rsidR="00294132">
      <w:rPr>
        <w:rFonts w:ascii="Arial" w:cs="Arial" w:eastAsia="Arial" w:hAnsi="Arial"/>
        <w:sz w:val="16"/>
        <w:szCs w:val="16"/>
      </w:rPr>
      <w:fldChar w:fldCharType="begin"/>
    </w:r>
    <w:r>
      <w:rPr>
        <w:rFonts w:ascii="Arial" w:cs="Arial" w:eastAsia="Arial" w:hAnsi="Arial"/>
        <w:sz w:val="16"/>
        <w:szCs w:val="16"/>
      </w:rPr>
      <w:instrText>PAGE</w:instrText>
    </w:r>
    <w:r w:rsidR="00294132">
      <w:rPr>
        <w:rFonts w:ascii="Arial" w:cs="Arial" w:eastAsia="Arial" w:hAnsi="Arial"/>
        <w:sz w:val="16"/>
        <w:szCs w:val="16"/>
      </w:rPr>
      <w:fldChar w:fldCharType="separate"/>
    </w:r>
    <w:r w:rsidR="008B490A">
      <w:rPr>
        <w:rFonts w:ascii="Arial" w:cs="Arial" w:eastAsia="Arial" w:hAnsi="Arial"/>
        <w:noProof/>
        <w:sz w:val="16"/>
        <w:szCs w:val="16"/>
      </w:rPr>
      <w:t>4</w:t>
    </w:r>
    <w:r w:rsidR="00294132">
      <w:rPr>
        <w:rFonts w:ascii="Arial" w:cs="Arial" w:eastAsia="Arial" w:hAnsi="Arial"/>
        <w:sz w:val="16"/>
        <w:szCs w:val="16"/>
      </w:rPr>
      <w:fldChar w:fldCharType="end"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C11AB2A" w14:textId="77777777" w:rsidR="00F90E5D" w:rsidRDefault="00F90E5D">
    <w:pPr>
      <w:tabs>
        <w:tab w:pos="2175" w:val="left"/>
        <w:tab w:pos="9563" w:val="right"/>
      </w:tabs>
      <w:jc w:val="center"/>
      <w:rPr>
        <w:rFonts w:ascii="Calibri" w:cs="Calibri" w:eastAsia="Calibri" w:hAnsi="Calibri"/>
        <w:color w:val="0070C0"/>
        <w:sz w:val="20"/>
        <w:szCs w:val="20"/>
      </w:rPr>
    </w:pPr>
  </w:p>
  <w:p w14:paraId="3CE0436C" w14:textId="77777777" w:rsidR="00F90E5D" w:rsidRDefault="00A824E0" w:rsidRPr="00A824E0">
    <w:pPr>
      <w:tabs>
        <w:tab w:pos="2175" w:val="left"/>
        <w:tab w:pos="9563" w:val="right"/>
      </w:tabs>
      <w:jc w:val="center"/>
      <w:rPr>
        <w:rFonts w:ascii="Calibri" w:cs="Calibri" w:eastAsia="Calibri" w:hAnsi="Calibri"/>
        <w:color w:themeColor="accent6" w:themeShade="BF" w:val="E36C0A"/>
        <w:sz w:val="16"/>
        <w:szCs w:val="16"/>
      </w:rPr>
    </w:pPr>
    <w:r w:rsidRPr="00A824E0">
      <w:rPr>
        <w:rFonts w:ascii="Calibri" w:cs="Calibri" w:eastAsia="Calibri" w:hAnsi="Calibri"/>
        <w:color w:themeColor="accent6" w:themeShade="BF" w:val="E36C0A"/>
        <w:sz w:val="16"/>
        <w:szCs w:val="16"/>
      </w:rPr>
      <w:t>CRETEIL</w:t>
    </w:r>
    <w:r w:rsidR="00DC115A">
      <w:rPr>
        <w:rFonts w:ascii="Calibri" w:cs="Calibri" w:eastAsia="Calibri" w:hAnsi="Calibri"/>
        <w:color w:themeColor="accent6" w:themeShade="BF" w:val="E36C0A"/>
        <w:sz w:val="16"/>
        <w:szCs w:val="16"/>
      </w:rPr>
      <w:t>-</w:t>
    </w:r>
    <w:r w:rsidRPr="00A824E0">
      <w:rPr>
        <w:rFonts w:ascii="Calibri" w:cs="Calibri" w:eastAsia="Calibri" w:hAnsi="Calibri"/>
        <w:color w:themeColor="accent6" w:themeShade="BF" w:val="E36C0A"/>
        <w:sz w:val="16"/>
        <w:szCs w:val="16"/>
      </w:rPr>
      <w:t>HABITAT</w:t>
    </w:r>
    <w:r w:rsidR="00DC115A">
      <w:rPr>
        <w:rFonts w:ascii="Calibri" w:cs="Calibri" w:eastAsia="Calibri" w:hAnsi="Calibri"/>
        <w:color w:themeColor="accent6" w:themeShade="BF" w:val="E36C0A"/>
        <w:sz w:val="16"/>
        <w:szCs w:val="16"/>
      </w:rPr>
      <w:t>-SEMIC</w:t>
    </w:r>
  </w:p>
  <w:p w14:paraId="028765EC" w14:textId="77777777" w:rsidR="00F90E5D" w:rsidRDefault="00A824E0" w:rsidRPr="00DC115A">
    <w:pPr>
      <w:tabs>
        <w:tab w:pos="8280" w:val="right"/>
      </w:tabs>
      <w:jc w:val="center"/>
      <w:rPr>
        <w:rFonts w:ascii="Calibri" w:cs="Calibri" w:eastAsia="Calibri" w:hAnsi="Calibri"/>
        <w:color w:themeColor="accent6" w:themeShade="BF" w:val="E36C0A"/>
        <w:sz w:val="16"/>
        <w:szCs w:val="16"/>
      </w:rPr>
    </w:pPr>
    <w:r w:rsidRPr="00DC115A">
      <w:rPr>
        <w:rFonts w:ascii="Calibri" w:cs="Calibri" w:eastAsia="Calibri" w:hAnsi="Calibri"/>
        <w:color w:themeColor="accent6" w:themeShade="BF" w:val="E36C0A"/>
        <w:sz w:val="16"/>
        <w:szCs w:val="16"/>
      </w:rPr>
      <w:t>7</w:t>
    </w:r>
    <w:r w:rsidR="00CA748E" w:rsidRPr="00DC115A">
      <w:rPr>
        <w:rFonts w:ascii="Calibri" w:cs="Calibri" w:eastAsia="Calibri" w:hAnsi="Calibri"/>
        <w:color w:themeColor="accent6" w:themeShade="BF" w:val="E36C0A"/>
        <w:sz w:val="16"/>
        <w:szCs w:val="16"/>
      </w:rPr>
      <w:t xml:space="preserve">, </w:t>
    </w:r>
    <w:r w:rsidRPr="00DC115A">
      <w:rPr>
        <w:rFonts w:ascii="Calibri" w:cs="Calibri" w:eastAsia="Calibri" w:hAnsi="Calibri"/>
        <w:color w:themeColor="accent6" w:themeShade="BF" w:val="E36C0A"/>
        <w:sz w:val="16"/>
        <w:szCs w:val="16"/>
      </w:rPr>
      <w:t>rue des Ecoles</w:t>
    </w:r>
    <w:r w:rsidR="00CA748E" w:rsidRPr="00DC115A">
      <w:rPr>
        <w:rFonts w:ascii="Calibri" w:cs="Calibri" w:eastAsia="Calibri" w:hAnsi="Calibri"/>
        <w:color w:themeColor="accent6" w:themeShade="BF" w:val="E36C0A"/>
        <w:sz w:val="16"/>
        <w:szCs w:val="16"/>
      </w:rPr>
      <w:t xml:space="preserve">, </w:t>
    </w:r>
    <w:r w:rsidRPr="00DC115A">
      <w:rPr>
        <w:rFonts w:ascii="Calibri" w:cs="Calibri" w:eastAsia="Calibri" w:hAnsi="Calibri"/>
        <w:color w:themeColor="accent6" w:themeShade="BF" w:val="E36C0A"/>
        <w:sz w:val="16"/>
        <w:szCs w:val="16"/>
      </w:rPr>
      <w:t>940</w:t>
    </w:r>
    <w:r w:rsidR="00DC115A" w:rsidRPr="00DC115A">
      <w:rPr>
        <w:rFonts w:ascii="Calibri" w:cs="Calibri" w:eastAsia="Calibri" w:hAnsi="Calibri"/>
        <w:color w:themeColor="accent6" w:themeShade="BF" w:val="E36C0A"/>
        <w:sz w:val="16"/>
        <w:szCs w:val="16"/>
      </w:rPr>
      <w:t>48</w:t>
    </w:r>
    <w:r w:rsidR="00CA748E" w:rsidRPr="00DC115A">
      <w:rPr>
        <w:rFonts w:ascii="Calibri" w:cs="Calibri" w:eastAsia="Calibri" w:hAnsi="Calibri"/>
        <w:color w:themeColor="accent6" w:themeShade="BF" w:val="E36C0A"/>
        <w:sz w:val="16"/>
        <w:szCs w:val="16"/>
      </w:rPr>
      <w:t xml:space="preserve"> </w:t>
    </w:r>
    <w:r w:rsidRPr="00DC115A">
      <w:rPr>
        <w:rFonts w:ascii="Calibri" w:cs="Calibri" w:eastAsia="Calibri" w:hAnsi="Calibri"/>
        <w:color w:themeColor="accent6" w:themeShade="BF" w:val="E36C0A"/>
        <w:sz w:val="16"/>
        <w:szCs w:val="16"/>
      </w:rPr>
      <w:t>Créteil</w:t>
    </w:r>
    <w:r w:rsidR="00CA748E" w:rsidRPr="00DC115A">
      <w:rPr>
        <w:rFonts w:ascii="Calibri" w:cs="Calibri" w:eastAsia="Calibri" w:hAnsi="Calibri"/>
        <w:color w:themeColor="accent6" w:themeShade="BF" w:val="E36C0A"/>
        <w:sz w:val="16"/>
        <w:szCs w:val="16"/>
      </w:rPr>
      <w:t xml:space="preserve"> </w:t>
    </w:r>
    <w:r w:rsidR="00DC115A" w:rsidRPr="00DC115A">
      <w:rPr>
        <w:rFonts w:ascii="Calibri" w:cs="Calibri" w:eastAsia="Calibri" w:hAnsi="Calibri"/>
        <w:color w:themeColor="accent6" w:themeShade="BF" w:val="E36C0A"/>
        <w:sz w:val="16"/>
        <w:szCs w:val="16"/>
      </w:rPr>
      <w:t xml:space="preserve">Cedex – Tél : 01 45 17 40 00 – </w:t>
    </w:r>
    <w:hyperlink r:id="rId1" w:history="1">
      <w:r w:rsidR="00DC115A" w:rsidRPr="00DC115A">
        <w:rPr>
          <w:rStyle w:val="Lienhypertexte"/>
          <w:rFonts w:ascii="Calibri" w:cs="Calibri" w:eastAsia="Calibri" w:hAnsi="Calibri"/>
          <w:color w:themeColor="accent6" w:themeShade="BF" w:val="E36C0A"/>
          <w:sz w:val="16"/>
          <w:szCs w:val="16"/>
        </w:rPr>
        <w:t>www.creteil-habitat.com</w:t>
      </w:r>
    </w:hyperlink>
  </w:p>
  <w:p w14:paraId="1F5DC07D" w14:textId="77777777" w:rsidR="00DC115A" w:rsidRDefault="00DC115A">
    <w:pPr>
      <w:tabs>
        <w:tab w:pos="8280" w:val="right"/>
      </w:tabs>
      <w:jc w:val="center"/>
      <w:rPr>
        <w:sz w:val="12"/>
        <w:szCs w:val="12"/>
      </w:rPr>
    </w:pPr>
    <w:r w:rsidRPr="00DC115A">
      <w:rPr>
        <w:rFonts w:ascii="Calibri" w:cs="Calibri" w:eastAsia="Calibri" w:hAnsi="Calibri"/>
        <w:color w:themeColor="accent6" w:themeShade="BF" w:val="E36C0A"/>
        <w:sz w:val="16"/>
        <w:szCs w:val="16"/>
      </w:rPr>
      <w:t>SAEML au capital de 9 55</w:t>
    </w:r>
    <w:r>
      <w:rPr>
        <w:rFonts w:ascii="Calibri" w:cs="Calibri" w:eastAsia="Calibri" w:hAnsi="Calibri"/>
        <w:color w:themeColor="accent6" w:themeShade="BF" w:val="E36C0A"/>
        <w:sz w:val="16"/>
        <w:szCs w:val="16"/>
      </w:rPr>
      <w:t>5</w:t>
    </w:r>
    <w:r w:rsidRPr="00DC115A">
      <w:rPr>
        <w:rFonts w:ascii="Calibri" w:cs="Calibri" w:eastAsia="Calibri" w:hAnsi="Calibri"/>
        <w:color w:themeColor="accent6" w:themeShade="BF" w:val="E36C0A"/>
        <w:sz w:val="16"/>
        <w:szCs w:val="16"/>
      </w:rPr>
      <w:t xml:space="preserve"> 180€ / Siège Social : 7 rue des Ecoles 94000 CRETEIL / RCS Créteil B 672 003 118 / Siret 672 003 118 00060 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6379FF65" w14:textId="77777777" w:rsidR="000A54AE" w:rsidRDefault="000A54AE">
      <w:r>
        <w:separator/>
      </w:r>
    </w:p>
  </w:footnote>
  <w:footnote w:id="0" w:type="continuationSeparator">
    <w:p w14:paraId="0AD0DE49" w14:textId="77777777" w:rsidR="000A54AE" w:rsidRDefault="000A54A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0351591" w14:textId="77777777" w:rsidR="00F90E5D" w:rsidRDefault="00F90E5D">
    <w:pPr>
      <w:spacing w:line="360" w:lineRule="auto"/>
      <w:ind w:left="-1418"/>
      <w:rPr>
        <w:rFonts w:ascii="Calibri" w:cs="Calibri" w:eastAsia="Calibri" w:hAnsi="Calibri"/>
        <w:b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8E94868"/>
    <w:multiLevelType w:val="hybridMultilevel"/>
    <w:tmpl w:val="1D82747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2CBC5ECE"/>
    <w:multiLevelType w:val="hybridMultilevel"/>
    <w:tmpl w:val="CDA6DDE4"/>
    <w:lvl w:ilvl="0" w:tplc="16B2F970">
      <w:numFmt w:val="bullet"/>
      <w:lvlText w:val="-"/>
      <w:lvlJc w:val="left"/>
      <w:pPr>
        <w:ind w:hanging="360" w:left="720"/>
      </w:pPr>
      <w:rPr>
        <w:rFonts w:ascii="Arial" w:cs="Arial" w:eastAsia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2F1D27C8"/>
    <w:multiLevelType w:val="multilevel"/>
    <w:tmpl w:val="D1761BEA"/>
    <w:lvl w:ilvl="0">
      <w:start w:val="1"/>
      <w:numFmt w:val="bullet"/>
      <w:lvlText w:val="▪"/>
      <w:lvlJc w:val="left"/>
      <w:pPr>
        <w:ind w:hanging="360" w:left="106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hanging="360" w:left="178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hanging="360" w:left="2508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3228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668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388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828"/>
      </w:pPr>
      <w:rPr>
        <w:rFonts w:ascii="Noto Sans Symbols" w:cs="Noto Sans Symbols" w:eastAsia="Noto Sans Symbols" w:hAnsi="Noto Sans Symbols"/>
      </w:rPr>
    </w:lvl>
  </w:abstractNum>
  <w:abstractNum w:abstractNumId="3">
    <w:nsid w:val="32005DD4"/>
    <w:multiLevelType w:val="multilevel"/>
    <w:tmpl w:val="D41E2846"/>
    <w:lvl w:ilvl="0">
      <w:start w:val="1"/>
      <w:numFmt w:val="bullet"/>
      <w:lvlText w:val=""/>
      <w:lvlJc w:val="left"/>
      <w:pPr>
        <w:tabs>
          <w:tab w:pos="708" w:val="num"/>
        </w:tabs>
        <w:ind w:hanging="360" w:left="720"/>
      </w:pPr>
      <w:rPr>
        <w:rFonts w:ascii="Wingdings" w:cs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F80348"/>
    <w:multiLevelType w:val="hybridMultilevel"/>
    <w:tmpl w:val="0AE0A6F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5">
    <w:nsid w:val="432A7513"/>
    <w:multiLevelType w:val="hybridMultilevel"/>
    <w:tmpl w:val="3B94136C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6">
    <w:nsid w:val="4511548B"/>
    <w:multiLevelType w:val="multilevel"/>
    <w:tmpl w:val="237246CC"/>
    <w:lvl w:ilvl="0">
      <w:start w:val="1"/>
      <w:numFmt w:val="bullet"/>
      <w:lvlText w:val=""/>
      <w:lvlJc w:val="left"/>
      <w:pPr>
        <w:tabs>
          <w:tab w:pos="708" w:val="num"/>
        </w:tabs>
        <w:ind w:hanging="360" w:left="720"/>
      </w:pPr>
      <w:rPr>
        <w:rFonts w:ascii="Wingdings" w:cs="Wingdings" w:hAnsi="Wingdings" w:hint="default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D42699"/>
    <w:multiLevelType w:val="hybridMultilevel"/>
    <w:tmpl w:val="05A28C8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6D924F73"/>
    <w:multiLevelType w:val="hybridMultilevel"/>
    <w:tmpl w:val="6F28BC48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7A86409B"/>
    <w:multiLevelType w:val="multilevel"/>
    <w:tmpl w:val="72ACC65E"/>
    <w:lvl w:ilvl="0">
      <w:start w:val="1"/>
      <w:numFmt w:val="bullet"/>
      <w:lvlText w:val=""/>
      <w:lvlJc w:val="left"/>
      <w:pPr>
        <w:tabs>
          <w:tab w:pos="708" w:val="num"/>
        </w:tabs>
        <w:ind w:hanging="360" w:left="720"/>
      </w:pPr>
      <w:rPr>
        <w:rFonts w:ascii="Wingdings" w:cs="Wingdings" w:hAnsi="Wingdings" w:hint="default"/>
        <w:sz w:val="22"/>
        <w:szCs w:val="22"/>
      </w:rPr>
    </w:lvl>
    <w:lvl w:ilvl="1">
      <w:start w:val="4"/>
      <w:numFmt w:val="bullet"/>
      <w:lvlText w:val="-"/>
      <w:lvlJc w:val="left"/>
      <w:pPr>
        <w:ind w:hanging="360" w:left="1440"/>
      </w:pPr>
      <w:rPr>
        <w:rFonts w:ascii="Arial" w:cs="Arial" w:hAnsi="Arial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  <w:sz w:val="22"/>
        <w:szCs w:val="22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  <w:sz w:val="22"/>
        <w:szCs w:val="22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  <w:sz w:val="22"/>
        <w:szCs w:val="22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5D"/>
    <w:rsid w:val="00085BD9"/>
    <w:rsid w:val="000A1507"/>
    <w:rsid w:val="000A54AE"/>
    <w:rsid w:val="000A7225"/>
    <w:rsid w:val="001040C6"/>
    <w:rsid w:val="00124F7D"/>
    <w:rsid w:val="001514D8"/>
    <w:rsid w:val="001C6E1B"/>
    <w:rsid w:val="001D5C7B"/>
    <w:rsid w:val="001E63E0"/>
    <w:rsid w:val="00210C2A"/>
    <w:rsid w:val="0025338B"/>
    <w:rsid w:val="0028662E"/>
    <w:rsid w:val="00294132"/>
    <w:rsid w:val="002A2DF7"/>
    <w:rsid w:val="002C438C"/>
    <w:rsid w:val="002F50DA"/>
    <w:rsid w:val="002F5A2B"/>
    <w:rsid w:val="00351EA0"/>
    <w:rsid w:val="00392567"/>
    <w:rsid w:val="00435717"/>
    <w:rsid w:val="004C14DB"/>
    <w:rsid w:val="0050257E"/>
    <w:rsid w:val="0054016B"/>
    <w:rsid w:val="00542D18"/>
    <w:rsid w:val="005A0F1C"/>
    <w:rsid w:val="005A6D16"/>
    <w:rsid w:val="005B059E"/>
    <w:rsid w:val="005B5793"/>
    <w:rsid w:val="005C5361"/>
    <w:rsid w:val="005F34BF"/>
    <w:rsid w:val="00635919"/>
    <w:rsid w:val="00673F22"/>
    <w:rsid w:val="006867F5"/>
    <w:rsid w:val="006A6E45"/>
    <w:rsid w:val="006D7A6F"/>
    <w:rsid w:val="00747AA1"/>
    <w:rsid w:val="007A4D54"/>
    <w:rsid w:val="00811A77"/>
    <w:rsid w:val="00851C6D"/>
    <w:rsid w:val="008B490A"/>
    <w:rsid w:val="008D2437"/>
    <w:rsid w:val="00903F89"/>
    <w:rsid w:val="00972DA7"/>
    <w:rsid w:val="009924E5"/>
    <w:rsid w:val="009C67AB"/>
    <w:rsid w:val="00A51D5E"/>
    <w:rsid w:val="00A824E0"/>
    <w:rsid w:val="00A8482D"/>
    <w:rsid w:val="00AF1AE5"/>
    <w:rsid w:val="00B7163C"/>
    <w:rsid w:val="00C75139"/>
    <w:rsid w:val="00C950B3"/>
    <w:rsid w:val="00CA748E"/>
    <w:rsid w:val="00D01614"/>
    <w:rsid w:val="00D130FA"/>
    <w:rsid w:val="00D17A59"/>
    <w:rsid w:val="00D24FED"/>
    <w:rsid w:val="00DC115A"/>
    <w:rsid w:val="00EE1532"/>
    <w:rsid w:val="00EE41E1"/>
    <w:rsid w:val="00F02AF2"/>
    <w:rsid w:val="00F80158"/>
    <w:rsid w:val="00F90E5D"/>
    <w:rsid w:val="00FB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0CC139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color w:val="000000"/>
        <w:sz w:val="22"/>
        <w:szCs w:val="22"/>
        <w:lang w:bidi="ar-SA" w:eastAsia="fr-FR" w:val="fr-FR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0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rsid w:val="00F80158"/>
  </w:style>
  <w:style w:styleId="Titre1" w:type="paragraph">
    <w:name w:val="heading 1"/>
    <w:basedOn w:val="Normal"/>
    <w:next w:val="Normal"/>
    <w:rsid w:val="00F80158"/>
    <w:pPr>
      <w:spacing w:after="360" w:before="240"/>
      <w:outlineLvl w:val="0"/>
    </w:pPr>
    <w:rPr>
      <w:rFonts w:ascii="Arial" w:cs="Arial" w:eastAsia="Arial" w:hAnsi="Arial"/>
      <w:b/>
      <w:smallCaps/>
      <w:sz w:val="24"/>
      <w:szCs w:val="24"/>
      <w:u w:val="single"/>
    </w:rPr>
  </w:style>
  <w:style w:styleId="Titre2" w:type="paragraph">
    <w:name w:val="heading 2"/>
    <w:basedOn w:val="Normal"/>
    <w:next w:val="Normal"/>
    <w:rsid w:val="00F80158"/>
    <w:pPr>
      <w:spacing w:after="240" w:before="120"/>
      <w:ind w:left="709"/>
      <w:outlineLvl w:val="1"/>
    </w:pPr>
    <w:rPr>
      <w:rFonts w:ascii="Arial" w:cs="Arial" w:eastAsia="Arial" w:hAnsi="Arial"/>
      <w:u w:val="single"/>
    </w:rPr>
  </w:style>
  <w:style w:styleId="Titre3" w:type="paragraph">
    <w:name w:val="heading 3"/>
    <w:basedOn w:val="Normal"/>
    <w:next w:val="Normal"/>
    <w:rsid w:val="00F80158"/>
    <w:pPr>
      <w:keepNext/>
      <w:outlineLvl w:val="2"/>
    </w:pPr>
    <w:rPr>
      <w:rFonts w:ascii="Arial" w:cs="Arial" w:eastAsia="Arial" w:hAnsi="Arial"/>
      <w:b/>
      <w:sz w:val="20"/>
      <w:szCs w:val="20"/>
      <w:u w:val="single"/>
    </w:rPr>
  </w:style>
  <w:style w:styleId="Titre4" w:type="paragraph">
    <w:name w:val="heading 4"/>
    <w:basedOn w:val="Normal"/>
    <w:next w:val="Normal"/>
    <w:rsid w:val="00F80158"/>
    <w:pPr>
      <w:keepNext/>
      <w:keepLines/>
      <w:spacing w:after="40" w:before="240"/>
      <w:outlineLvl w:val="3"/>
    </w:pPr>
    <w:rPr>
      <w:b/>
      <w:sz w:val="24"/>
      <w:szCs w:val="24"/>
    </w:rPr>
  </w:style>
  <w:style w:styleId="Titre5" w:type="paragraph">
    <w:name w:val="heading 5"/>
    <w:basedOn w:val="Normal"/>
    <w:next w:val="Normal"/>
    <w:rsid w:val="00F80158"/>
    <w:pPr>
      <w:keepNext/>
      <w:keepLines/>
      <w:spacing w:after="40" w:before="220"/>
      <w:outlineLvl w:val="4"/>
    </w:pPr>
    <w:rPr>
      <w:b/>
    </w:rPr>
  </w:style>
  <w:style w:styleId="Titre6" w:type="paragraph">
    <w:name w:val="heading 6"/>
    <w:basedOn w:val="Normal"/>
    <w:next w:val="Normal"/>
    <w:rsid w:val="00F80158"/>
    <w:pPr>
      <w:keepNext/>
      <w:keepLines/>
      <w:spacing w:after="40" w:before="200"/>
      <w:outlineLvl w:val="5"/>
    </w:pPr>
    <w:rPr>
      <w:b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rsid w:val="00F80158"/>
    <w:tblPr>
      <w:tblCellMar>
        <w:top w:type="dxa" w:w="0"/>
        <w:left w:type="dxa" w:w="0"/>
        <w:bottom w:type="dxa" w:w="0"/>
        <w:right w:type="dxa" w:w="0"/>
      </w:tblCellMar>
    </w:tblPr>
  </w:style>
  <w:style w:styleId="Titre" w:type="paragraph">
    <w:name w:val="Title"/>
    <w:basedOn w:val="Normal"/>
    <w:next w:val="Normal"/>
    <w:rsid w:val="00F80158"/>
    <w:pPr>
      <w:keepNext/>
      <w:keepLines/>
      <w:spacing w:after="120" w:before="480"/>
    </w:pPr>
    <w:rPr>
      <w:b/>
      <w:sz w:val="72"/>
      <w:szCs w:val="72"/>
    </w:rPr>
  </w:style>
  <w:style w:styleId="Sous-titre" w:type="paragraph">
    <w:name w:val="Subtitle"/>
    <w:basedOn w:val="Normal"/>
    <w:next w:val="Normal"/>
    <w:rsid w:val="00F80158"/>
    <w:pPr>
      <w:keepNext/>
      <w:keepLines/>
      <w:spacing w:after="80" w:before="360"/>
    </w:pPr>
    <w:rPr>
      <w:rFonts w:ascii="Georgia" w:cs="Georgia" w:eastAsia="Georgia" w:hAnsi="Georgia"/>
      <w:i/>
      <w:color w:val="666666"/>
      <w:sz w:val="48"/>
      <w:szCs w:val="48"/>
    </w:rPr>
  </w:style>
  <w:style w:customStyle="1" w:styleId="a" w:type="table">
    <w:basedOn w:val="TableNormal"/>
    <w:rsid w:val="00F80158"/>
    <w:tblPr>
      <w:tblStyleRowBandSize w:val="1"/>
      <w:tblStyleColBandSize w:val="1"/>
      <w:tblCellMar>
        <w:left w:type="dxa" w:w="115"/>
        <w:right w:type="dxa" w:w="115"/>
      </w:tblCellMar>
    </w:tblPr>
  </w:style>
  <w:style w:styleId="Paragraphedeliste" w:type="paragraph">
    <w:name w:val="List Paragraph"/>
    <w:basedOn w:val="Normal"/>
    <w:qFormat/>
    <w:rsid w:val="005A0F1C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A824E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A824E0"/>
  </w:style>
  <w:style w:styleId="Pieddepage" w:type="paragraph">
    <w:name w:val="footer"/>
    <w:basedOn w:val="Normal"/>
    <w:link w:val="PieddepageCar"/>
    <w:uiPriority w:val="99"/>
    <w:unhideWhenUsed/>
    <w:rsid w:val="00A824E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A824E0"/>
  </w:style>
  <w:style w:styleId="Grilledutableau" w:type="table">
    <w:name w:val="Table Grid"/>
    <w:basedOn w:val="TableauNormal"/>
    <w:uiPriority w:val="39"/>
    <w:rsid w:val="00085BD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enhypertexte" w:type="character">
    <w:name w:val="Hyperlink"/>
    <w:basedOn w:val="Policepardfaut"/>
    <w:uiPriority w:val="99"/>
    <w:unhideWhenUsed/>
    <w:rsid w:val="00DC115A"/>
    <w:rPr>
      <w:color w:themeColor="hyperlink" w:val="0000FF"/>
      <w:u w:val="single"/>
    </w:rPr>
  </w:style>
  <w:style w:customStyle="1" w:styleId="UnresolvedMention" w:type="character">
    <w:name w:val="Unresolved Mention"/>
    <w:basedOn w:val="Policepardfaut"/>
    <w:uiPriority w:val="99"/>
    <w:semiHidden/>
    <w:unhideWhenUsed/>
    <w:rsid w:val="00DC115A"/>
    <w:rPr>
      <w:color w:val="605E5C"/>
      <w:shd w:color="auto" w:fill="E1DFDD" w:val="cle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0158"/>
  </w:style>
  <w:style w:type="paragraph" w:styleId="Titre1">
    <w:name w:val="heading 1"/>
    <w:basedOn w:val="Normal"/>
    <w:next w:val="Normal"/>
    <w:rsid w:val="00F80158"/>
    <w:pPr>
      <w:spacing w:before="240" w:after="360"/>
      <w:outlineLvl w:val="0"/>
    </w:pPr>
    <w:rPr>
      <w:rFonts w:ascii="Arial" w:eastAsia="Arial" w:hAnsi="Arial" w:cs="Arial"/>
      <w:b/>
      <w:smallCaps/>
      <w:sz w:val="24"/>
      <w:szCs w:val="24"/>
      <w:u w:val="single"/>
    </w:rPr>
  </w:style>
  <w:style w:type="paragraph" w:styleId="Titre2">
    <w:name w:val="heading 2"/>
    <w:basedOn w:val="Normal"/>
    <w:next w:val="Normal"/>
    <w:rsid w:val="00F80158"/>
    <w:pPr>
      <w:spacing w:before="120" w:after="240"/>
      <w:ind w:left="709"/>
      <w:outlineLvl w:val="1"/>
    </w:pPr>
    <w:rPr>
      <w:rFonts w:ascii="Arial" w:eastAsia="Arial" w:hAnsi="Arial" w:cs="Arial"/>
      <w:u w:val="single"/>
    </w:rPr>
  </w:style>
  <w:style w:type="paragraph" w:styleId="Titre3">
    <w:name w:val="heading 3"/>
    <w:basedOn w:val="Normal"/>
    <w:next w:val="Normal"/>
    <w:rsid w:val="00F80158"/>
    <w:pPr>
      <w:keepNext/>
      <w:outlineLvl w:val="2"/>
    </w:pPr>
    <w:rPr>
      <w:rFonts w:ascii="Arial" w:eastAsia="Arial" w:hAnsi="Arial" w:cs="Arial"/>
      <w:b/>
      <w:sz w:val="20"/>
      <w:szCs w:val="20"/>
      <w:u w:val="single"/>
    </w:rPr>
  </w:style>
  <w:style w:type="paragraph" w:styleId="Titre4">
    <w:name w:val="heading 4"/>
    <w:basedOn w:val="Normal"/>
    <w:next w:val="Normal"/>
    <w:rsid w:val="00F80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rsid w:val="00F80158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rsid w:val="00F80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F80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F80158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rsid w:val="00F801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8015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qFormat/>
    <w:rsid w:val="005A0F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824E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24E0"/>
  </w:style>
  <w:style w:type="paragraph" w:styleId="Pieddepage">
    <w:name w:val="footer"/>
    <w:basedOn w:val="Normal"/>
    <w:link w:val="PieddepageCar"/>
    <w:uiPriority w:val="99"/>
    <w:unhideWhenUsed/>
    <w:rsid w:val="00A824E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24E0"/>
  </w:style>
  <w:style w:type="table" w:styleId="Grilledutableau">
    <w:name w:val="Table Grid"/>
    <w:basedOn w:val="TableauNormal"/>
    <w:uiPriority w:val="39"/>
    <w:rsid w:val="0008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C115A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C1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jpg" Type="http://schemas.openxmlformats.org/officeDocument/2006/relationships/image"/></Relationships>
</file>

<file path=word/_rels/footer2.xml.rels><?xml version="1.0" encoding="UTF-8" standalone="no"?><Relationships xmlns="http://schemas.openxmlformats.org/package/2006/relationships"><Relationship Id="rId1" Target="http://www.creteil-habitat.com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EA7BA-EBF0-4E61-BD29-84C8F45A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1053</Words>
  <Characters>5794</Characters>
  <Application>Microsoft Office Word</Application>
  <DocSecurity>0</DocSecurity>
  <Lines>48</Lines>
  <Paragraphs>13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Ministères Chargés des Affaires Sociales</Company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2022-03-10T10:35:00Z</dcterms:created>
  <cp:lastPrinted>2022-01-13T08:47:00Z</cp:lastPrinted>
  <dcterms:modified xsi:type="dcterms:W3CDTF">2022-03-10T10:35:00Z</dcterms:modified>
  <cp:revision>2</cp:revision>
</cp:coreProperties>
</file>