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R="00CB013A" w:rsidRDefault="00CB013A">
      <w:pPr>
        <w:pBdr>
          <w:top w:color="000000" w:space="1" w:sz="6" w:val="single"/>
          <w:left w:color="000000" w:space="5" w:sz="6" w:val="single"/>
          <w:bottom w:color="000000" w:space="1" w:sz="6" w:val="single"/>
          <w:right w:color="000000" w:space="0" w:sz="6" w:val="single"/>
        </w:pBdr>
        <w:ind w:hanging="142" w:left="1276" w:right="1928"/>
        <w:jc w:val="center"/>
        <w:rPr>
          <w:rFonts w:ascii="BNPP Sans Light" w:cs="BNPP Sans Light" w:eastAsia="BNPP Sans Light" w:hAnsi="BNPP Sans Light"/>
          <w:b/>
          <w:smallCaps/>
          <w:color w:val="FF9900"/>
          <w:sz w:val="21"/>
          <w:szCs w:val="21"/>
        </w:rPr>
      </w:pPr>
      <w:bookmarkStart w:id="0" w:name="_GoBack"/>
      <w:bookmarkEnd w:id="0"/>
    </w:p>
    <w:p w:rsidR="00CB013A" w:rsidRDefault="00DB2A4C">
      <w:pPr>
        <w:pBdr>
          <w:top w:color="000000" w:space="1" w:sz="6" w:val="single"/>
          <w:left w:color="000000" w:space="5" w:sz="6" w:val="single"/>
          <w:bottom w:color="000000" w:space="1" w:sz="6" w:val="single"/>
          <w:right w:color="000000" w:space="0" w:sz="6" w:val="single"/>
        </w:pBdr>
        <w:ind w:left="1134" w:right="1928"/>
        <w:jc w:val="center"/>
        <w:rPr>
          <w:rFonts w:ascii="BNPP Sans Light" w:cs="BNPP Sans Light" w:eastAsia="BNPP Sans Light" w:hAnsi="BNPP Sans Light"/>
          <w:b/>
          <w:smallCaps/>
          <w:sz w:val="21"/>
          <w:szCs w:val="21"/>
        </w:rPr>
      </w:pPr>
      <w:r>
        <w:rPr>
          <w:rFonts w:ascii="BNPP Sans Light" w:cs="BNPP Sans Light" w:eastAsia="BNPP Sans Light" w:hAnsi="BNPP Sans Light"/>
          <w:b/>
          <w:smallCaps/>
          <w:sz w:val="21"/>
          <w:szCs w:val="21"/>
        </w:rPr>
        <w:t>ACCORD RELATIF A LA NEGOCIATION ANNUELLE OBLIGATOIRE AU TITRE DE L’ANNEE 2023 AU SEIN DE LA SOCIETE FINANCIERE DES PAIEMENTS ELECTRONIQUES</w:t>
      </w:r>
    </w:p>
    <w:p w:rsidR="00CB013A" w:rsidRDefault="00CB013A">
      <w:pPr>
        <w:pBdr>
          <w:top w:color="000000" w:space="1" w:sz="6" w:val="single"/>
          <w:left w:color="000000" w:space="5" w:sz="6" w:val="single"/>
          <w:bottom w:color="000000" w:space="1" w:sz="6" w:val="single"/>
          <w:right w:color="000000" w:space="0" w:sz="6" w:val="single"/>
        </w:pBdr>
        <w:tabs>
          <w:tab w:pos="9781" w:val="left"/>
        </w:tabs>
        <w:ind w:left="1134" w:right="1928"/>
        <w:jc w:val="center"/>
        <w:rPr>
          <w:rFonts w:ascii="BNPP Sans Light" w:cs="BNPP Sans Light" w:eastAsia="BNPP Sans Light" w:hAnsi="BNPP Sans Light"/>
          <w:b/>
          <w:smallCaps/>
          <w:color w:val="31849B"/>
          <w:sz w:val="21"/>
          <w:szCs w:val="21"/>
        </w:rPr>
      </w:pPr>
    </w:p>
    <w:p w:rsidR="00CB013A" w:rsidRDefault="00CB013A">
      <w:pPr>
        <w:tabs>
          <w:tab w:pos="9781" w:val="left"/>
        </w:tabs>
        <w:ind w:right="84"/>
        <w:jc w:val="both"/>
        <w:rPr>
          <w:rFonts w:ascii="BNPP Sans Light" w:cs="BNPP Sans Light" w:eastAsia="BNPP Sans Light" w:hAnsi="BNPP Sans Light"/>
          <w:sz w:val="21"/>
          <w:szCs w:val="21"/>
        </w:rPr>
      </w:pPr>
    </w:p>
    <w:p w:rsidR="00CB013A" w:rsidRDefault="00CB013A">
      <w:pPr>
        <w:tabs>
          <w:tab w:pos="9781" w:val="left"/>
        </w:tabs>
        <w:ind w:right="84"/>
        <w:jc w:val="both"/>
        <w:rPr>
          <w:rFonts w:ascii="BNPP Sans Light" w:cs="BNPP Sans Light" w:eastAsia="BNPP Sans Light" w:hAnsi="BNPP Sans Light"/>
          <w:sz w:val="21"/>
          <w:szCs w:val="21"/>
        </w:rPr>
      </w:pPr>
    </w:p>
    <w:p w:rsidR="00CB013A" w:rsidRDefault="00CB013A">
      <w:pPr>
        <w:tabs>
          <w:tab w:pos="9781" w:val="left"/>
        </w:tabs>
        <w:ind w:right="84"/>
        <w:jc w:val="both"/>
        <w:rPr>
          <w:rFonts w:ascii="BNPP Sans Light" w:cs="BNPP Sans Light" w:eastAsia="BNPP Sans Light" w:hAnsi="BNPP Sans Light"/>
          <w:sz w:val="21"/>
          <w:szCs w:val="21"/>
        </w:rPr>
      </w:pPr>
    </w:p>
    <w:p w:rsidR="00CB013A" w:rsidRDefault="00CB013A">
      <w:pPr>
        <w:tabs>
          <w:tab w:pos="9781" w:val="left"/>
        </w:tabs>
        <w:ind w:right="84"/>
        <w:jc w:val="both"/>
        <w:rPr>
          <w:rFonts w:ascii="BNPP Sans Light" w:cs="BNPP Sans Light" w:eastAsia="BNPP Sans Light" w:hAnsi="BNPP Sans Light"/>
          <w:sz w:val="21"/>
          <w:szCs w:val="21"/>
        </w:rPr>
      </w:pPr>
    </w:p>
    <w:p w:rsidR="00CB013A" w:rsidRDefault="00CB013A">
      <w:pPr>
        <w:tabs>
          <w:tab w:pos="9781" w:val="left"/>
        </w:tabs>
        <w:ind w:right="84"/>
        <w:jc w:val="both"/>
        <w:rPr>
          <w:rFonts w:ascii="BNPP Sans Light" w:cs="BNPP Sans Light" w:eastAsia="BNPP Sans Light" w:hAnsi="BNPP Sans Light"/>
          <w:sz w:val="21"/>
          <w:szCs w:val="21"/>
        </w:rPr>
      </w:pPr>
    </w:p>
    <w:p w:rsidR="00CB013A" w:rsidRDefault="00DB2A4C">
      <w:pPr>
        <w:pStyle w:val="Titre2"/>
        <w:keepLines w:val="0"/>
        <w:spacing w:after="120" w:before="0"/>
        <w:jc w:val="both"/>
        <w:rPr>
          <w:smallCaps/>
          <w:sz w:val="22"/>
          <w:szCs w:val="22"/>
        </w:rPr>
      </w:pPr>
      <w:r>
        <w:rPr>
          <w:smallCaps/>
          <w:sz w:val="22"/>
          <w:szCs w:val="22"/>
        </w:rPr>
        <w:t>ENTRE :</w:t>
      </w:r>
    </w:p>
    <w:p w:rsidR="00CB013A" w:rsidRDefault="00DB2A4C">
      <w:pPr>
        <w:jc w:val="both"/>
        <w:rPr>
          <w:b/>
          <w:sz w:val="22"/>
          <w:szCs w:val="22"/>
        </w:rPr>
      </w:pPr>
      <w:r>
        <w:rPr>
          <w:b/>
          <w:sz w:val="22"/>
          <w:szCs w:val="22"/>
        </w:rPr>
        <w:t xml:space="preserve">La société FINANCIERE DES PAIEMENTS ELECTRONIQUES, </w:t>
      </w:r>
    </w:p>
    <w:p w:rsidR="00CB013A" w:rsidRDefault="00DB2A4C">
      <w:pPr>
        <w:jc w:val="both"/>
        <w:rPr>
          <w:sz w:val="22"/>
          <w:szCs w:val="22"/>
        </w:rPr>
      </w:pPr>
      <w:r>
        <w:rPr>
          <w:sz w:val="22"/>
          <w:szCs w:val="22"/>
        </w:rPr>
        <w:t>Société par actions simplifiée au capital de 770 440 euros, dont le siège social est situé 1 place des Marseillais, 145 bis rue de Paris – 94220 Charenton-le-Pont, immatriculée au RCS de Créteil sous le n° 753 886 092, représentée par XXXXXXX agissant en q</w:t>
      </w:r>
      <w:r>
        <w:rPr>
          <w:sz w:val="22"/>
          <w:szCs w:val="22"/>
        </w:rPr>
        <w:t>ualité de Responsable des Ressources Humaines,</w:t>
      </w:r>
    </w:p>
    <w:p w:rsidR="00CB013A" w:rsidRDefault="00CB013A">
      <w:pPr>
        <w:jc w:val="both"/>
        <w:rPr>
          <w:sz w:val="22"/>
          <w:szCs w:val="22"/>
        </w:rPr>
      </w:pPr>
      <w:bookmarkStart w:colFirst="0" w:colLast="0" w:id="1" w:name="_heading=h.gjdgxs"/>
      <w:bookmarkEnd w:id="1"/>
    </w:p>
    <w:p w:rsidR="00CB013A" w:rsidRDefault="00DB2A4C">
      <w:pPr>
        <w:spacing w:after="120"/>
        <w:jc w:val="both"/>
        <w:rPr>
          <w:sz w:val="22"/>
          <w:szCs w:val="22"/>
        </w:rPr>
      </w:pPr>
      <w:r>
        <w:rPr>
          <w:sz w:val="22"/>
          <w:szCs w:val="22"/>
        </w:rPr>
        <w:t>Ci-après dénommée la société FPE ou l’entreprise,</w:t>
      </w:r>
    </w:p>
    <w:p w:rsidR="00CB013A" w:rsidRDefault="00DB2A4C">
      <w:pPr>
        <w:jc w:val="right"/>
        <w:rPr>
          <w:b/>
          <w:smallCaps/>
          <w:sz w:val="22"/>
          <w:szCs w:val="22"/>
        </w:rPr>
      </w:pPr>
      <w:r>
        <w:rPr>
          <w:b/>
          <w:smallCaps/>
          <w:sz w:val="22"/>
          <w:szCs w:val="22"/>
        </w:rPr>
        <w:t>D’UNE PART,</w:t>
      </w:r>
    </w:p>
    <w:p w:rsidR="00CB013A" w:rsidRDefault="00CB013A">
      <w:pPr>
        <w:jc w:val="both"/>
        <w:rPr>
          <w:sz w:val="22"/>
          <w:szCs w:val="22"/>
        </w:rPr>
      </w:pPr>
    </w:p>
    <w:p w:rsidR="00CB013A" w:rsidRDefault="00CB013A">
      <w:pPr>
        <w:jc w:val="both"/>
        <w:rPr>
          <w:sz w:val="22"/>
          <w:szCs w:val="22"/>
        </w:rPr>
      </w:pPr>
    </w:p>
    <w:p w:rsidR="00CB013A" w:rsidRDefault="00DB2A4C">
      <w:pPr>
        <w:pStyle w:val="Titre3"/>
        <w:keepLines w:val="0"/>
        <w:tabs>
          <w:tab w:pos="3686" w:val="left"/>
          <w:tab w:pos="8505" w:val="left"/>
        </w:tabs>
        <w:spacing w:after="120" w:before="0"/>
        <w:ind w:right="-567"/>
        <w:jc w:val="both"/>
        <w:rPr>
          <w:sz w:val="22"/>
          <w:szCs w:val="22"/>
        </w:rPr>
      </w:pPr>
      <w:r>
        <w:rPr>
          <w:sz w:val="22"/>
          <w:szCs w:val="22"/>
        </w:rPr>
        <w:t>ET :</w:t>
      </w:r>
    </w:p>
    <w:p w:rsidR="00CB013A" w:rsidRDefault="00DB2A4C">
      <w:pPr>
        <w:tabs>
          <w:tab w:pos="4536" w:val="center"/>
          <w:tab w:pos="9072" w:val="right"/>
        </w:tabs>
        <w:spacing w:after="120"/>
        <w:jc w:val="both"/>
        <w:rPr>
          <w:sz w:val="22"/>
          <w:szCs w:val="22"/>
        </w:rPr>
      </w:pPr>
      <w:r>
        <w:rPr>
          <w:sz w:val="22"/>
          <w:szCs w:val="22"/>
        </w:rPr>
        <w:t>Les organisations syndicales représentatives des salariés de la société FPE ci-après, représentées respectivement par leur délégué(e) syndi</w:t>
      </w:r>
      <w:r>
        <w:rPr>
          <w:sz w:val="22"/>
          <w:szCs w:val="22"/>
        </w:rPr>
        <w:t>cal(e) :</w:t>
      </w:r>
    </w:p>
    <w:p w:rsidR="00CB013A" w:rsidRDefault="00DB2A4C">
      <w:pPr>
        <w:tabs>
          <w:tab w:pos="4536" w:val="center"/>
          <w:tab w:pos="9072" w:val="right"/>
        </w:tabs>
        <w:spacing w:after="120"/>
        <w:ind w:left="360"/>
        <w:jc w:val="both"/>
        <w:rPr>
          <w:sz w:val="22"/>
          <w:szCs w:val="22"/>
        </w:rPr>
      </w:pPr>
      <w:r>
        <w:rPr>
          <w:sz w:val="22"/>
          <w:szCs w:val="22"/>
        </w:rPr>
        <w:t>- la Confédération Générale du Travail (CGT) représentée par XXXXXXX,</w:t>
      </w:r>
    </w:p>
    <w:p w:rsidR="00CB013A" w:rsidRDefault="00DB2A4C">
      <w:pPr>
        <w:tabs>
          <w:tab w:pos="4536" w:val="center"/>
          <w:tab w:pos="9072" w:val="right"/>
        </w:tabs>
        <w:spacing w:after="120"/>
        <w:ind w:left="360"/>
        <w:jc w:val="both"/>
        <w:rPr>
          <w:sz w:val="22"/>
          <w:szCs w:val="22"/>
        </w:rPr>
      </w:pPr>
      <w:r>
        <w:rPr>
          <w:sz w:val="22"/>
          <w:szCs w:val="22"/>
        </w:rPr>
        <w:t>- le Syndicat National de la Banque et du Crédit (SNB/CFE-CGC) représenté par XXXXXXX,</w:t>
      </w:r>
    </w:p>
    <w:p w:rsidR="00CB013A" w:rsidRDefault="00CB013A">
      <w:pPr>
        <w:tabs>
          <w:tab w:pos="4536" w:val="center"/>
          <w:tab w:pos="9072" w:val="right"/>
        </w:tabs>
        <w:spacing w:after="120"/>
        <w:ind w:left="360"/>
        <w:jc w:val="both"/>
        <w:rPr>
          <w:sz w:val="22"/>
          <w:szCs w:val="22"/>
        </w:rPr>
      </w:pPr>
    </w:p>
    <w:p w:rsidR="00CB013A" w:rsidRDefault="00DB2A4C">
      <w:pPr>
        <w:jc w:val="right"/>
        <w:rPr>
          <w:smallCaps/>
          <w:sz w:val="22"/>
          <w:szCs w:val="22"/>
        </w:rPr>
      </w:pPr>
      <w:r>
        <w:rPr>
          <w:b/>
          <w:smallCaps/>
          <w:sz w:val="22"/>
          <w:szCs w:val="22"/>
        </w:rPr>
        <w:t>D’AUTRE PART,</w:t>
      </w:r>
    </w:p>
    <w:p w:rsidR="00CB013A" w:rsidRDefault="00CB013A">
      <w:pPr>
        <w:tabs>
          <w:tab w:pos="9923" w:val="left"/>
        </w:tabs>
        <w:spacing w:after="120"/>
        <w:ind w:right="-57"/>
        <w:jc w:val="both"/>
        <w:rPr>
          <w:rFonts w:ascii="BNPP Sans Light" w:cs="BNPP Sans Light" w:eastAsia="BNPP Sans Light" w:hAnsi="BNPP Sans Light"/>
          <w:b/>
          <w:sz w:val="21"/>
          <w:szCs w:val="21"/>
        </w:rPr>
      </w:pPr>
    </w:p>
    <w:p w:rsidR="00CB013A" w:rsidRDefault="00CB013A">
      <w:pPr>
        <w:tabs>
          <w:tab w:pos="9923" w:val="left"/>
        </w:tabs>
        <w:ind w:hanging="8080" w:left="7797" w:right="-57"/>
        <w:jc w:val="right"/>
        <w:rPr>
          <w:rFonts w:ascii="BNPP Sans Light" w:cs="BNPP Sans Light" w:eastAsia="BNPP Sans Light" w:hAnsi="BNPP Sans Light"/>
          <w:smallCaps/>
          <w:sz w:val="21"/>
          <w:szCs w:val="21"/>
        </w:rPr>
      </w:pPr>
    </w:p>
    <w:p w:rsidR="00CB013A" w:rsidRDefault="00DB2A4C">
      <w:pPr>
        <w:ind w:left="180"/>
        <w:jc w:val="both"/>
        <w:rPr>
          <w:rFonts w:ascii="BNPP Sans Light" w:cs="BNPP Sans Light" w:eastAsia="BNPP Sans Light" w:hAnsi="BNPP Sans Light"/>
          <w:sz w:val="21"/>
          <w:szCs w:val="21"/>
        </w:rPr>
      </w:pPr>
      <w:r>
        <w:rPr>
          <w:rFonts w:ascii="BNPP Sans Light" w:cs="BNPP Sans Light" w:eastAsia="BNPP Sans Light" w:hAnsi="BNPP Sans Light"/>
          <w:sz w:val="21"/>
          <w:szCs w:val="21"/>
        </w:rPr>
        <w:t>ci-après collectivement désignés (“les parties signataires”), il est conclu le présent accord relatif à la négociation annuelle obligatoire au titre de l’année 2023.</w:t>
      </w:r>
    </w:p>
    <w:p w:rsidR="00CB013A" w:rsidRDefault="00CB013A">
      <w:pPr>
        <w:ind w:left="180"/>
        <w:jc w:val="both"/>
        <w:rPr>
          <w:rFonts w:ascii="BNPP Sans Light" w:cs="BNPP Sans Light" w:eastAsia="BNPP Sans Light" w:hAnsi="BNPP Sans Light"/>
          <w:b/>
          <w:sz w:val="21"/>
          <w:szCs w:val="21"/>
        </w:rPr>
      </w:pPr>
    </w:p>
    <w:p w:rsidR="00CB013A" w:rsidRDefault="00CB013A">
      <w:pPr>
        <w:pBdr>
          <w:top w:val="nil"/>
          <w:left w:val="nil"/>
          <w:bottom w:val="nil"/>
          <w:right w:val="nil"/>
          <w:between w:val="nil"/>
        </w:pBdr>
        <w:tabs>
          <w:tab w:pos="9923" w:val="left"/>
        </w:tabs>
        <w:spacing w:line="240" w:lineRule="auto"/>
        <w:ind w:right="-57"/>
        <w:jc w:val="both"/>
        <w:rPr>
          <w:rFonts w:ascii="BNPP Sans Light" w:cs="BNPP Sans Light" w:eastAsia="BNPP Sans Light" w:hAnsi="BNPP Sans Light"/>
          <w:sz w:val="22"/>
          <w:szCs w:val="22"/>
        </w:rPr>
      </w:pPr>
    </w:p>
    <w:p w:rsidR="00CB013A" w:rsidRDefault="00CB013A">
      <w:pPr>
        <w:pBdr>
          <w:top w:val="nil"/>
          <w:left w:val="nil"/>
          <w:bottom w:val="nil"/>
          <w:right w:val="nil"/>
          <w:between w:val="nil"/>
        </w:pBdr>
        <w:tabs>
          <w:tab w:pos="9923" w:val="left"/>
        </w:tabs>
        <w:spacing w:line="240" w:lineRule="auto"/>
        <w:ind w:right="-57"/>
        <w:jc w:val="both"/>
        <w:rPr>
          <w:rFonts w:ascii="BNPP Sans Light" w:cs="BNPP Sans Light" w:eastAsia="BNPP Sans Light" w:hAnsi="BNPP Sans Light"/>
          <w:sz w:val="22"/>
          <w:szCs w:val="22"/>
        </w:rPr>
      </w:pPr>
    </w:p>
    <w:p w:rsidR="00CB013A" w:rsidRDefault="00CB013A">
      <w:pPr>
        <w:pBdr>
          <w:top w:val="nil"/>
          <w:left w:val="nil"/>
          <w:bottom w:val="nil"/>
          <w:right w:val="nil"/>
          <w:between w:val="nil"/>
        </w:pBdr>
        <w:tabs>
          <w:tab w:pos="9923" w:val="left"/>
        </w:tabs>
        <w:spacing w:line="240" w:lineRule="auto"/>
        <w:ind w:right="-57"/>
        <w:jc w:val="both"/>
        <w:rPr>
          <w:rFonts w:ascii="BNPP Sans Light" w:cs="BNPP Sans Light" w:eastAsia="BNPP Sans Light" w:hAnsi="BNPP Sans Light"/>
          <w:sz w:val="22"/>
          <w:szCs w:val="22"/>
        </w:rPr>
      </w:pPr>
    </w:p>
    <w:p w:rsidR="00CB013A" w:rsidRDefault="00CB013A">
      <w:pPr>
        <w:pBdr>
          <w:top w:val="nil"/>
          <w:left w:val="nil"/>
          <w:bottom w:val="nil"/>
          <w:right w:val="nil"/>
          <w:between w:val="nil"/>
        </w:pBdr>
        <w:tabs>
          <w:tab w:pos="9923" w:val="left"/>
        </w:tabs>
        <w:spacing w:line="240" w:lineRule="auto"/>
        <w:ind w:right="-57"/>
        <w:jc w:val="both"/>
        <w:rPr>
          <w:rFonts w:ascii="BNPP Sans Light" w:cs="BNPP Sans Light" w:eastAsia="BNPP Sans Light" w:hAnsi="BNPP Sans Light"/>
          <w:sz w:val="22"/>
          <w:szCs w:val="22"/>
        </w:rPr>
      </w:pPr>
    </w:p>
    <w:p w:rsidR="00CB013A" w:rsidRDefault="00DB2A4C">
      <w:pPr>
        <w:jc w:val="both"/>
        <w:rPr>
          <w:rFonts w:ascii="BNPP Sans Light" w:cs="BNPP Sans Light" w:eastAsia="BNPP Sans Light" w:hAnsi="BNPP Sans Light"/>
          <w:b/>
          <w:sz w:val="21"/>
          <w:szCs w:val="21"/>
          <w:u w:val="single"/>
        </w:rPr>
      </w:pPr>
      <w:r>
        <w:rPr>
          <w:rFonts w:ascii="BNPP Sans Light" w:cs="BNPP Sans Light" w:eastAsia="BNPP Sans Light" w:hAnsi="BNPP Sans Light"/>
          <w:b/>
          <w:sz w:val="21"/>
          <w:szCs w:val="21"/>
          <w:u w:val="single"/>
        </w:rPr>
        <w:t>PREAMBULE</w:t>
      </w:r>
    </w:p>
    <w:p w:rsidR="00CB013A" w:rsidRDefault="00CB013A">
      <w:pPr>
        <w:jc w:val="both"/>
        <w:rPr>
          <w:rFonts w:ascii="BNPP Sans Light" w:cs="BNPP Sans Light" w:eastAsia="BNPP Sans Light" w:hAnsi="BNPP Sans Light"/>
          <w:color w:val="00B050"/>
          <w:sz w:val="21"/>
          <w:szCs w:val="21"/>
        </w:rPr>
      </w:pPr>
    </w:p>
    <w:p w:rsidR="00CB013A" w:rsidRDefault="00DB2A4C">
      <w:pPr>
        <w:tabs>
          <w:tab w:pos="9214" w:val="left"/>
        </w:tabs>
        <w:jc w:val="both"/>
        <w:rPr>
          <w:rFonts w:ascii="BNPP Sans Light" w:cs="BNPP Sans Light" w:eastAsia="BNPP Sans Light" w:hAnsi="BNPP Sans Light"/>
          <w:sz w:val="21"/>
          <w:szCs w:val="21"/>
        </w:rPr>
      </w:pPr>
      <w:bookmarkStart w:colFirst="0" w:colLast="0" w:id="2" w:name="_heading=h.1fob9te"/>
      <w:bookmarkEnd w:id="2"/>
      <w:r>
        <w:rPr>
          <w:sz w:val="22"/>
          <w:szCs w:val="22"/>
        </w:rPr>
        <w:t xml:space="preserve">La négociation annuelle menée en application de l’articles L. 2242-1 et suivants du Code du travail a été ouverte le 7 octobre 2022 et elle s’est poursuivie au cours de deux réunions jusqu’au 21 octobre 2022. </w:t>
      </w:r>
    </w:p>
    <w:p w:rsidR="00CB013A" w:rsidRDefault="00CB013A">
      <w:pPr>
        <w:tabs>
          <w:tab w:pos="9214" w:val="left"/>
        </w:tabs>
        <w:jc w:val="both"/>
        <w:rPr>
          <w:rFonts w:ascii="BNPP Sans Light" w:cs="BNPP Sans Light" w:eastAsia="BNPP Sans Light" w:hAnsi="BNPP Sans Light"/>
          <w:sz w:val="21"/>
          <w:szCs w:val="21"/>
        </w:rPr>
      </w:pPr>
    </w:p>
    <w:p w:rsidR="00CB013A" w:rsidRDefault="00CB013A">
      <w:pPr>
        <w:tabs>
          <w:tab w:pos="9214" w:val="left"/>
        </w:tabs>
        <w:spacing w:line="240" w:lineRule="auto"/>
        <w:jc w:val="both"/>
        <w:rPr>
          <w:rFonts w:ascii="BNPP Sans Light" w:cs="BNPP Sans Light" w:eastAsia="BNPP Sans Light" w:hAnsi="BNPP Sans Light"/>
          <w:color w:val="000000"/>
          <w:sz w:val="22"/>
          <w:szCs w:val="22"/>
        </w:rPr>
      </w:pPr>
    </w:p>
    <w:p w:rsidR="00CB013A" w:rsidRDefault="00DB2A4C">
      <w:pPr>
        <w:tabs>
          <w:tab w:pos="9214" w:val="left"/>
        </w:tabs>
        <w:spacing w:line="240" w:lineRule="auto"/>
        <w:jc w:val="both"/>
        <w:rPr>
          <w:sz w:val="22"/>
          <w:szCs w:val="22"/>
        </w:rPr>
      </w:pPr>
      <w:r>
        <w:rPr>
          <w:sz w:val="22"/>
          <w:szCs w:val="22"/>
        </w:rPr>
        <w:t xml:space="preserve">Les négociations ont abouti à la conclusion </w:t>
      </w:r>
      <w:r>
        <w:rPr>
          <w:sz w:val="22"/>
          <w:szCs w:val="22"/>
        </w:rPr>
        <w:t>de plusieurs accords distincts permettant :</w:t>
      </w:r>
    </w:p>
    <w:p w:rsidR="00CB013A" w:rsidRDefault="00DB2A4C">
      <w:pPr>
        <w:numPr>
          <w:ilvl w:val="0"/>
          <w:numId w:val="1"/>
        </w:numPr>
        <w:pBdr>
          <w:top w:val="nil"/>
          <w:left w:val="nil"/>
          <w:bottom w:val="nil"/>
          <w:right w:val="nil"/>
          <w:between w:val="nil"/>
        </w:pBdr>
        <w:tabs>
          <w:tab w:pos="9214" w:val="left"/>
        </w:tabs>
        <w:spacing w:line="240" w:lineRule="auto"/>
        <w:jc w:val="both"/>
        <w:rPr>
          <w:rFonts w:ascii="BNPP Sans Light" w:cs="BNPP Sans Light" w:eastAsia="BNPP Sans Light" w:hAnsi="BNPP Sans Light"/>
          <w:color w:val="000000"/>
          <w:sz w:val="22"/>
          <w:szCs w:val="22"/>
        </w:rPr>
      </w:pPr>
      <w:r>
        <w:rPr>
          <w:sz w:val="22"/>
          <w:szCs w:val="22"/>
        </w:rPr>
        <w:t>d’une part d’accroître le pouvoir d’achat des salariés par le versement d’une prime de partage de la valeur,</w:t>
      </w:r>
    </w:p>
    <w:p w:rsidR="00CB013A" w:rsidRDefault="00DB2A4C">
      <w:pPr>
        <w:numPr>
          <w:ilvl w:val="0"/>
          <w:numId w:val="1"/>
        </w:numPr>
        <w:pBdr>
          <w:top w:val="nil"/>
          <w:left w:val="nil"/>
          <w:bottom w:val="nil"/>
          <w:right w:val="nil"/>
          <w:between w:val="nil"/>
        </w:pBdr>
        <w:tabs>
          <w:tab w:pos="9214" w:val="left"/>
        </w:tabs>
        <w:spacing w:line="240" w:lineRule="auto"/>
        <w:jc w:val="both"/>
        <w:rPr>
          <w:rFonts w:ascii="BNPP Sans Light" w:cs="BNPP Sans Light" w:eastAsia="BNPP Sans Light" w:hAnsi="BNPP Sans Light"/>
          <w:color w:val="000000"/>
          <w:sz w:val="22"/>
          <w:szCs w:val="22"/>
        </w:rPr>
      </w:pPr>
      <w:r>
        <w:rPr>
          <w:sz w:val="22"/>
          <w:szCs w:val="22"/>
        </w:rPr>
        <w:t xml:space="preserve">et d’autre part de poursuivre l’expérimentation, démarrée en 2022 d’un forfait mobilité durable. </w:t>
      </w:r>
    </w:p>
    <w:p w:rsidR="00CB013A" w:rsidRDefault="00CB013A">
      <w:pPr>
        <w:pBdr>
          <w:top w:val="nil"/>
          <w:left w:val="nil"/>
          <w:bottom w:val="nil"/>
          <w:right w:val="nil"/>
          <w:between w:val="nil"/>
        </w:pBdr>
        <w:tabs>
          <w:tab w:pos="9214" w:val="left"/>
        </w:tabs>
        <w:spacing w:line="240" w:lineRule="auto"/>
        <w:ind w:left="720"/>
        <w:jc w:val="both"/>
        <w:rPr>
          <w:sz w:val="22"/>
          <w:szCs w:val="22"/>
        </w:rPr>
      </w:pPr>
    </w:p>
    <w:p w:rsidR="00CB013A" w:rsidRDefault="00DB2A4C">
      <w:pPr>
        <w:pBdr>
          <w:top w:val="nil"/>
          <w:left w:val="nil"/>
          <w:bottom w:val="nil"/>
          <w:right w:val="nil"/>
          <w:between w:val="nil"/>
        </w:pBdr>
        <w:tabs>
          <w:tab w:pos="9214" w:val="left"/>
        </w:tabs>
        <w:spacing w:line="240" w:lineRule="auto"/>
        <w:jc w:val="both"/>
        <w:rPr>
          <w:sz w:val="22"/>
          <w:szCs w:val="22"/>
        </w:rPr>
      </w:pPr>
      <w:r>
        <w:rPr>
          <w:sz w:val="22"/>
          <w:szCs w:val="22"/>
        </w:rPr>
        <w:t>Dans le cadre de cette négociation, la Direction de l’entreprise a indiqué que le budget consacré aux révisions de situations individuelles en 2023 sera reconduit à 1,5 % de la masse salariale.</w:t>
      </w:r>
    </w:p>
    <w:p w:rsidR="00CB013A" w:rsidRDefault="00CB013A">
      <w:pPr>
        <w:tabs>
          <w:tab w:pos="9214" w:val="left"/>
        </w:tabs>
        <w:spacing w:line="240" w:lineRule="auto"/>
        <w:jc w:val="both"/>
        <w:rPr>
          <w:sz w:val="22"/>
          <w:szCs w:val="22"/>
        </w:rPr>
      </w:pPr>
    </w:p>
    <w:p w:rsidR="00CB013A" w:rsidRDefault="00DB2A4C">
      <w:pPr>
        <w:tabs>
          <w:tab w:pos="9214" w:val="left"/>
        </w:tabs>
        <w:spacing w:line="240" w:lineRule="auto"/>
        <w:jc w:val="both"/>
        <w:rPr>
          <w:sz w:val="22"/>
          <w:szCs w:val="22"/>
        </w:rPr>
      </w:pPr>
      <w:r>
        <w:rPr>
          <w:sz w:val="22"/>
          <w:szCs w:val="22"/>
        </w:rPr>
        <w:lastRenderedPageBreak/>
        <w:t>Par le présent accord, les parties ont également souhaité met</w:t>
      </w:r>
      <w:r>
        <w:rPr>
          <w:sz w:val="22"/>
          <w:szCs w:val="22"/>
        </w:rPr>
        <w:t>tre en place une mesure d’augmentation pérenne visible qui se différencie des mesures des précédentes années, par son niveau, sa date d’application et l’attention que l’entreprise souhaite porter aux premiers niveaux de salaire qui sont particulièrement im</w:t>
      </w:r>
      <w:r>
        <w:rPr>
          <w:sz w:val="22"/>
          <w:szCs w:val="22"/>
        </w:rPr>
        <w:t>pactés par la situation économique et sociale.</w:t>
      </w:r>
    </w:p>
    <w:p w:rsidR="00CB013A" w:rsidRDefault="00CB013A">
      <w:pPr>
        <w:tabs>
          <w:tab w:pos="9214" w:val="left"/>
        </w:tabs>
        <w:spacing w:line="240" w:lineRule="auto"/>
        <w:jc w:val="both"/>
        <w:rPr>
          <w:sz w:val="22"/>
          <w:szCs w:val="22"/>
        </w:rPr>
      </w:pPr>
    </w:p>
    <w:p w:rsidR="00CB013A" w:rsidRDefault="00DB2A4C">
      <w:pPr>
        <w:tabs>
          <w:tab w:pos="9214" w:val="left"/>
        </w:tabs>
        <w:spacing w:line="240" w:lineRule="auto"/>
        <w:jc w:val="both"/>
        <w:rPr>
          <w:rFonts w:ascii="BNPP Sans Light" w:cs="BNPP Sans Light" w:eastAsia="BNPP Sans Light" w:hAnsi="BNPP Sans Light"/>
          <w:color w:val="000000"/>
          <w:sz w:val="22"/>
          <w:szCs w:val="22"/>
        </w:rPr>
      </w:pPr>
      <w:r>
        <w:rPr>
          <w:sz w:val="22"/>
          <w:szCs w:val="22"/>
        </w:rPr>
        <w:t>Les négociations ont abouti à un ensemble de dispositions reprises ci-après.</w:t>
      </w:r>
    </w:p>
    <w:p w:rsidR="00CB013A" w:rsidRDefault="00CB013A">
      <w:pPr>
        <w:tabs>
          <w:tab w:pos="9214" w:val="left"/>
        </w:tabs>
        <w:spacing w:line="240" w:lineRule="auto"/>
        <w:jc w:val="both"/>
        <w:rPr>
          <w:rFonts w:ascii="BNPP Sans Light" w:cs="BNPP Sans Light" w:eastAsia="BNPP Sans Light" w:hAnsi="BNPP Sans Light"/>
          <w:sz w:val="22"/>
          <w:szCs w:val="22"/>
        </w:rPr>
      </w:pPr>
    </w:p>
    <w:p w:rsidR="00CB013A" w:rsidRDefault="00CB013A">
      <w:pPr>
        <w:tabs>
          <w:tab w:pos="9214" w:val="left"/>
        </w:tabs>
        <w:spacing w:line="240" w:lineRule="auto"/>
        <w:jc w:val="both"/>
        <w:rPr>
          <w:rFonts w:ascii="BNPP Sans Light" w:cs="BNPP Sans Light" w:eastAsia="BNPP Sans Light" w:hAnsi="BNPP Sans Light"/>
          <w:sz w:val="22"/>
          <w:szCs w:val="22"/>
        </w:rPr>
      </w:pPr>
    </w:p>
    <w:p w:rsidR="00CB013A" w:rsidRDefault="00CB013A">
      <w:pPr>
        <w:tabs>
          <w:tab w:pos="9214" w:val="left"/>
        </w:tabs>
        <w:spacing w:line="240" w:lineRule="auto"/>
        <w:jc w:val="both"/>
        <w:rPr>
          <w:rFonts w:ascii="BNPP Sans Light" w:cs="BNPP Sans Light" w:eastAsia="BNPP Sans Light" w:hAnsi="BNPP Sans Light"/>
          <w:color w:val="000000"/>
          <w:sz w:val="22"/>
          <w:szCs w:val="22"/>
        </w:rPr>
      </w:pPr>
    </w:p>
    <w:p w:rsidR="00CB013A" w:rsidRDefault="00DB2A4C">
      <w:pPr>
        <w:spacing w:line="240" w:lineRule="auto"/>
        <w:jc w:val="both"/>
        <w:rPr>
          <w:rFonts w:ascii="BNPP Sans Light" w:cs="BNPP Sans Light" w:eastAsia="BNPP Sans Light" w:hAnsi="BNPP Sans Light"/>
          <w:b/>
          <w:sz w:val="22"/>
          <w:szCs w:val="22"/>
        </w:rPr>
      </w:pPr>
      <w:r>
        <w:rPr>
          <w:rFonts w:ascii="BNPP Sans Light" w:cs="BNPP Sans Light" w:eastAsia="BNPP Sans Light" w:hAnsi="BNPP Sans Light"/>
          <w:b/>
          <w:sz w:val="21"/>
          <w:szCs w:val="21"/>
          <w:u w:val="single"/>
        </w:rPr>
        <w:t>ARTICLE 1 – MESURE D’AUGMENTATION PERENNE</w:t>
      </w:r>
    </w:p>
    <w:p w:rsidR="00CB013A" w:rsidRDefault="00CB013A">
      <w:pPr>
        <w:spacing w:line="240" w:lineRule="auto"/>
        <w:jc w:val="both"/>
        <w:rPr>
          <w:rFonts w:ascii="BNPP Sans Light" w:cs="BNPP Sans Light" w:eastAsia="BNPP Sans Light" w:hAnsi="BNPP Sans Light"/>
          <w:sz w:val="22"/>
          <w:szCs w:val="22"/>
        </w:rPr>
      </w:pPr>
    </w:p>
    <w:p w:rsidR="00CB013A" w:rsidRDefault="00CB013A">
      <w:pPr>
        <w:spacing w:line="240" w:lineRule="auto"/>
        <w:jc w:val="both"/>
        <w:rPr>
          <w:rFonts w:ascii="BNPP Sans Light" w:cs="BNPP Sans Light" w:eastAsia="BNPP Sans Light" w:hAnsi="BNPP Sans Light"/>
          <w:sz w:val="22"/>
          <w:szCs w:val="22"/>
        </w:rPr>
      </w:pPr>
    </w:p>
    <w:p w:rsidR="00CB013A" w:rsidRDefault="00DB2A4C">
      <w:pPr>
        <w:spacing w:after="120" w:line="240" w:lineRule="auto"/>
        <w:ind w:hanging="567" w:left="567"/>
        <w:rPr>
          <w:rFonts w:ascii="BNPP Sans Light" w:cs="BNPP Sans Light" w:eastAsia="BNPP Sans Light" w:hAnsi="BNPP Sans Light"/>
          <w:b/>
          <w:sz w:val="22"/>
          <w:szCs w:val="22"/>
          <w:u w:val="single"/>
        </w:rPr>
      </w:pPr>
      <w:r>
        <w:rPr>
          <w:rFonts w:ascii="BNPP Sans Light" w:cs="BNPP Sans Light" w:eastAsia="BNPP Sans Light" w:hAnsi="BNPP Sans Light"/>
          <w:b/>
          <w:sz w:val="22"/>
          <w:szCs w:val="22"/>
          <w:u w:val="single"/>
        </w:rPr>
        <w:t>1.1</w:t>
      </w:r>
      <w:r>
        <w:rPr>
          <w:rFonts w:ascii="BNPP Sans Light" w:cs="BNPP Sans Light" w:eastAsia="BNPP Sans Light" w:hAnsi="BNPP Sans Light"/>
          <w:b/>
          <w:sz w:val="22"/>
          <w:szCs w:val="22"/>
        </w:rPr>
        <w:t xml:space="preserve"> - </w:t>
      </w:r>
      <w:r>
        <w:rPr>
          <w:rFonts w:ascii="BNPP Sans Light" w:cs="BNPP Sans Light" w:eastAsia="BNPP Sans Light" w:hAnsi="BNPP Sans Light"/>
          <w:b/>
          <w:sz w:val="22"/>
          <w:szCs w:val="22"/>
          <w:u w:val="single"/>
        </w:rPr>
        <w:t>Bénéficiaires</w:t>
      </w:r>
    </w:p>
    <w:p w:rsidR="00CB013A" w:rsidRDefault="00DB2A4C">
      <w:pPr>
        <w:spacing w:line="240" w:lineRule="auto"/>
        <w:jc w:val="both"/>
        <w:rPr>
          <w:sz w:val="22"/>
          <w:szCs w:val="22"/>
        </w:rPr>
      </w:pPr>
      <w:r>
        <w:rPr>
          <w:sz w:val="22"/>
          <w:szCs w:val="22"/>
        </w:rPr>
        <w:t>Une augmentation pérenne sera attribuée aux salariés de la société FPE rémunérés par l’entreprise à la date du 1er octobre 2022 et à la date du 1er janvier 2023.</w:t>
      </w:r>
    </w:p>
    <w:p w:rsidR="00CB013A" w:rsidRDefault="00CB013A">
      <w:pPr>
        <w:spacing w:line="240" w:lineRule="auto"/>
        <w:jc w:val="both"/>
        <w:rPr>
          <w:sz w:val="22"/>
          <w:szCs w:val="22"/>
        </w:rPr>
      </w:pPr>
    </w:p>
    <w:p w:rsidR="00CB013A" w:rsidRDefault="00DB2A4C">
      <w:pPr>
        <w:spacing w:line="240" w:lineRule="auto"/>
        <w:ind w:right="-57"/>
        <w:jc w:val="both"/>
        <w:rPr>
          <w:sz w:val="22"/>
          <w:szCs w:val="22"/>
        </w:rPr>
      </w:pPr>
      <w:r>
        <w:rPr>
          <w:sz w:val="22"/>
          <w:szCs w:val="22"/>
        </w:rPr>
        <w:t>Seront exclus du bénéfice de cette mesure les stagiaires d’études, les auxiliaires de vacance</w:t>
      </w:r>
      <w:r>
        <w:rPr>
          <w:sz w:val="22"/>
          <w:szCs w:val="22"/>
        </w:rPr>
        <w:t xml:space="preserve">s, les impatriés ainsi que les salariés dont le salaire annuel brut de base à temps plein est égal ou supérieur à 90 000 euros au 31 décembre 2022. </w:t>
      </w:r>
    </w:p>
    <w:p w:rsidR="00CB013A" w:rsidRDefault="00CB013A">
      <w:pPr>
        <w:spacing w:line="240" w:lineRule="auto"/>
        <w:ind w:right="-57"/>
        <w:jc w:val="both"/>
        <w:rPr>
          <w:sz w:val="22"/>
          <w:szCs w:val="22"/>
        </w:rPr>
      </w:pPr>
    </w:p>
    <w:p w:rsidR="00CB013A" w:rsidRDefault="00DB2A4C">
      <w:pPr>
        <w:spacing w:line="240" w:lineRule="auto"/>
        <w:ind w:right="-57"/>
        <w:jc w:val="both"/>
        <w:rPr>
          <w:sz w:val="22"/>
          <w:szCs w:val="22"/>
        </w:rPr>
      </w:pPr>
      <w:r>
        <w:rPr>
          <w:sz w:val="22"/>
          <w:szCs w:val="22"/>
        </w:rPr>
        <w:t>En seront également exclus, pour des raisons réglementaires, les salariés en contrat de professionnalisati</w:t>
      </w:r>
      <w:r>
        <w:rPr>
          <w:sz w:val="22"/>
          <w:szCs w:val="22"/>
        </w:rPr>
        <w:t>on ou en contrat d’apprentissage.</w:t>
      </w:r>
    </w:p>
    <w:p w:rsidR="00CB013A" w:rsidRDefault="00CB013A">
      <w:pPr>
        <w:ind w:left="567" w:right="1133"/>
        <w:jc w:val="both"/>
        <w:rPr>
          <w:sz w:val="22"/>
          <w:szCs w:val="22"/>
        </w:rPr>
      </w:pPr>
    </w:p>
    <w:p w:rsidR="00CB013A" w:rsidRDefault="00CB013A">
      <w:pPr>
        <w:spacing w:after="120" w:line="240" w:lineRule="auto"/>
        <w:ind w:hanging="567" w:left="567"/>
        <w:rPr>
          <w:rFonts w:ascii="BNPP Sans Light" w:cs="BNPP Sans Light" w:eastAsia="BNPP Sans Light" w:hAnsi="BNPP Sans Light"/>
          <w:b/>
          <w:color w:val="31849B"/>
          <w:sz w:val="22"/>
          <w:szCs w:val="22"/>
          <w:u w:val="single"/>
        </w:rPr>
      </w:pPr>
    </w:p>
    <w:p w:rsidR="00CB013A" w:rsidRDefault="00DB2A4C">
      <w:pPr>
        <w:spacing w:after="120" w:line="240" w:lineRule="auto"/>
        <w:ind w:hanging="567" w:left="567"/>
        <w:rPr>
          <w:rFonts w:ascii="BNPP Sans Light" w:cs="BNPP Sans Light" w:eastAsia="BNPP Sans Light" w:hAnsi="BNPP Sans Light"/>
          <w:b/>
          <w:sz w:val="22"/>
          <w:szCs w:val="22"/>
          <w:u w:val="single"/>
        </w:rPr>
      </w:pPr>
      <w:r>
        <w:rPr>
          <w:rFonts w:ascii="BNPP Sans Light" w:cs="BNPP Sans Light" w:eastAsia="BNPP Sans Light" w:hAnsi="BNPP Sans Light"/>
          <w:b/>
          <w:sz w:val="22"/>
          <w:szCs w:val="22"/>
          <w:u w:val="single"/>
        </w:rPr>
        <w:t>1.2</w:t>
      </w:r>
      <w:r>
        <w:rPr>
          <w:rFonts w:ascii="Calibri" w:cs="Calibri" w:eastAsia="Calibri" w:hAnsi="Calibri"/>
          <w:b/>
          <w:sz w:val="22"/>
          <w:szCs w:val="22"/>
        </w:rPr>
        <w:t> </w:t>
      </w:r>
      <w:r>
        <w:rPr>
          <w:rFonts w:ascii="BNPP Sans Light" w:cs="BNPP Sans Light" w:eastAsia="BNPP Sans Light" w:hAnsi="BNPP Sans Light"/>
          <w:b/>
          <w:sz w:val="22"/>
          <w:szCs w:val="22"/>
        </w:rPr>
        <w:t xml:space="preserve">- </w:t>
      </w:r>
      <w:r>
        <w:rPr>
          <w:rFonts w:ascii="BNPP Sans Light" w:cs="BNPP Sans Light" w:eastAsia="BNPP Sans Light" w:hAnsi="BNPP Sans Light"/>
          <w:b/>
          <w:sz w:val="22"/>
          <w:szCs w:val="22"/>
          <w:u w:val="single"/>
        </w:rPr>
        <w:t>Modalités d’attribution</w:t>
      </w:r>
    </w:p>
    <w:p w:rsidR="00CB013A" w:rsidRDefault="00CB013A">
      <w:pPr>
        <w:ind w:left="567" w:right="1133"/>
        <w:jc w:val="both"/>
        <w:rPr>
          <w:rFonts w:ascii="BNPP Sans Light" w:cs="BNPP Sans Light" w:eastAsia="BNPP Sans Light" w:hAnsi="BNPP Sans Light"/>
          <w:color w:val="000000"/>
          <w:sz w:val="22"/>
          <w:szCs w:val="22"/>
          <w:u w:val="single"/>
        </w:rPr>
      </w:pPr>
    </w:p>
    <w:p w:rsidR="00CB013A" w:rsidRDefault="00DB2A4C">
      <w:pPr>
        <w:spacing w:line="240" w:lineRule="auto"/>
        <w:ind w:right="-57"/>
        <w:jc w:val="both"/>
        <w:rPr>
          <w:sz w:val="22"/>
          <w:szCs w:val="22"/>
        </w:rPr>
      </w:pPr>
      <w:r>
        <w:rPr>
          <w:sz w:val="22"/>
          <w:szCs w:val="22"/>
        </w:rPr>
        <w:t>Cette mesure d’augmentation pérenne est fixée à 5 % du salaire annuel brut de base au 31 décembre 2022. Elle s’appliquera à effet du 1er janvier 2023.</w:t>
      </w:r>
    </w:p>
    <w:p w:rsidR="00CB013A" w:rsidRDefault="00CB013A">
      <w:pPr>
        <w:ind w:left="567" w:right="1133"/>
        <w:jc w:val="both"/>
        <w:rPr>
          <w:rFonts w:ascii="BNPP Sans Light" w:cs="BNPP Sans Light" w:eastAsia="BNPP Sans Light" w:hAnsi="BNPP Sans Light"/>
          <w:color w:val="000000"/>
          <w:sz w:val="22"/>
          <w:szCs w:val="22"/>
        </w:rPr>
      </w:pPr>
    </w:p>
    <w:p w:rsidR="00CB013A" w:rsidRDefault="00CB013A">
      <w:pPr>
        <w:ind w:left="567" w:right="1133"/>
        <w:jc w:val="both"/>
        <w:rPr>
          <w:rFonts w:ascii="BNPP Sans Light" w:cs="BNPP Sans Light" w:eastAsia="BNPP Sans Light" w:hAnsi="BNPP Sans Light"/>
          <w:color w:val="000000"/>
          <w:sz w:val="22"/>
          <w:szCs w:val="22"/>
        </w:rPr>
      </w:pPr>
    </w:p>
    <w:p w:rsidR="00CB013A" w:rsidRDefault="00DB2A4C">
      <w:pPr>
        <w:spacing w:after="120" w:line="240" w:lineRule="auto"/>
        <w:ind w:hanging="567" w:left="567"/>
        <w:rPr>
          <w:rFonts w:ascii="BNPP Sans Light" w:cs="BNPP Sans Light" w:eastAsia="BNPP Sans Light" w:hAnsi="BNPP Sans Light"/>
          <w:b/>
          <w:sz w:val="22"/>
          <w:szCs w:val="22"/>
          <w:u w:val="single"/>
        </w:rPr>
      </w:pPr>
      <w:r>
        <w:rPr>
          <w:rFonts w:ascii="BNPP Sans Light" w:cs="BNPP Sans Light" w:eastAsia="BNPP Sans Light" w:hAnsi="BNPP Sans Light"/>
          <w:b/>
          <w:sz w:val="22"/>
          <w:szCs w:val="22"/>
          <w:u w:val="single"/>
        </w:rPr>
        <w:t>1.3</w:t>
      </w:r>
      <w:r>
        <w:rPr>
          <w:rFonts w:ascii="Calibri" w:cs="Calibri" w:eastAsia="Calibri" w:hAnsi="Calibri"/>
          <w:b/>
          <w:sz w:val="22"/>
          <w:szCs w:val="22"/>
        </w:rPr>
        <w:t> </w:t>
      </w:r>
      <w:r>
        <w:rPr>
          <w:rFonts w:ascii="BNPP Sans Light" w:cs="BNPP Sans Light" w:eastAsia="BNPP Sans Light" w:hAnsi="BNPP Sans Light"/>
          <w:b/>
          <w:sz w:val="22"/>
          <w:szCs w:val="22"/>
        </w:rPr>
        <w:t xml:space="preserve">– </w:t>
      </w:r>
      <w:r>
        <w:rPr>
          <w:rFonts w:ascii="BNPP Sans Light" w:cs="BNPP Sans Light" w:eastAsia="BNPP Sans Light" w:hAnsi="BNPP Sans Light"/>
          <w:b/>
          <w:sz w:val="22"/>
          <w:szCs w:val="22"/>
          <w:u w:val="single"/>
        </w:rPr>
        <w:t xml:space="preserve">Plafond individuel </w:t>
      </w:r>
    </w:p>
    <w:p w:rsidR="00CB013A" w:rsidRDefault="00CB013A">
      <w:pPr>
        <w:ind w:right="1133"/>
        <w:jc w:val="both"/>
        <w:rPr>
          <w:rFonts w:ascii="BNPP Sans Light" w:cs="BNPP Sans Light" w:eastAsia="BNPP Sans Light" w:hAnsi="BNPP Sans Light"/>
          <w:sz w:val="22"/>
          <w:szCs w:val="22"/>
        </w:rPr>
      </w:pPr>
    </w:p>
    <w:p w:rsidR="00CB013A" w:rsidRDefault="00DB2A4C">
      <w:pPr>
        <w:pBdr>
          <w:top w:val="nil"/>
          <w:left w:val="nil"/>
          <w:bottom w:val="nil"/>
          <w:right w:val="nil"/>
          <w:between w:val="nil"/>
        </w:pBdr>
        <w:spacing w:line="240" w:lineRule="auto"/>
        <w:ind w:right="-57"/>
        <w:jc w:val="both"/>
        <w:rPr>
          <w:sz w:val="22"/>
          <w:szCs w:val="22"/>
        </w:rPr>
      </w:pPr>
      <w:r>
        <w:rPr>
          <w:sz w:val="22"/>
          <w:szCs w:val="22"/>
        </w:rPr>
        <w:t>Cette mesure d’augmentation pérenne de 5 % sera allouée dans la limite d’un plafond individuel annuel de 1 500 euros pour un bénéficiaire travaillant à temps plein.</w:t>
      </w:r>
    </w:p>
    <w:p w:rsidR="00CB013A" w:rsidRDefault="00CB013A">
      <w:pPr>
        <w:spacing w:line="240" w:lineRule="auto"/>
        <w:ind w:hanging="284" w:left="851" w:right="1133"/>
        <w:jc w:val="both"/>
        <w:rPr>
          <w:rFonts w:ascii="BNPP Sans Light" w:cs="BNPP Sans Light" w:eastAsia="BNPP Sans Light" w:hAnsi="BNPP Sans Light"/>
          <w:sz w:val="22"/>
          <w:szCs w:val="22"/>
        </w:rPr>
      </w:pPr>
    </w:p>
    <w:p w:rsidR="00CB013A" w:rsidRDefault="00CB013A">
      <w:pPr>
        <w:spacing w:line="240" w:lineRule="auto"/>
        <w:ind w:hanging="284" w:left="851" w:right="1133"/>
        <w:jc w:val="both"/>
        <w:rPr>
          <w:rFonts w:ascii="BNPP Sans Light" w:cs="BNPP Sans Light" w:eastAsia="BNPP Sans Light" w:hAnsi="BNPP Sans Light"/>
          <w:sz w:val="22"/>
          <w:szCs w:val="22"/>
        </w:rPr>
      </w:pPr>
    </w:p>
    <w:p w:rsidR="00CB013A" w:rsidRDefault="00CB013A">
      <w:pPr>
        <w:spacing w:line="240" w:lineRule="auto"/>
        <w:ind w:hanging="284" w:left="851" w:right="1133"/>
        <w:jc w:val="both"/>
        <w:rPr>
          <w:rFonts w:ascii="BNPP Sans Light" w:cs="BNPP Sans Light" w:eastAsia="BNPP Sans Light" w:hAnsi="BNPP Sans Light"/>
          <w:sz w:val="22"/>
          <w:szCs w:val="22"/>
        </w:rPr>
      </w:pPr>
    </w:p>
    <w:p w:rsidR="00CB013A" w:rsidRDefault="00DB2A4C">
      <w:pPr>
        <w:spacing w:after="120" w:line="240" w:lineRule="auto"/>
        <w:ind w:hanging="567" w:left="567"/>
        <w:rPr>
          <w:rFonts w:ascii="BNPP Sans Light" w:cs="BNPP Sans Light" w:eastAsia="BNPP Sans Light" w:hAnsi="BNPP Sans Light"/>
          <w:b/>
          <w:sz w:val="22"/>
          <w:szCs w:val="22"/>
          <w:u w:val="single"/>
        </w:rPr>
      </w:pPr>
      <w:r>
        <w:rPr>
          <w:rFonts w:ascii="BNPP Sans Light" w:cs="BNPP Sans Light" w:eastAsia="BNPP Sans Light" w:hAnsi="BNPP Sans Light"/>
          <w:b/>
          <w:sz w:val="22"/>
          <w:szCs w:val="22"/>
          <w:u w:val="single"/>
        </w:rPr>
        <w:t>1.4.</w:t>
      </w:r>
      <w:r>
        <w:rPr>
          <w:rFonts w:ascii="Calibri" w:cs="Calibri" w:eastAsia="Calibri" w:hAnsi="Calibri"/>
          <w:b/>
          <w:sz w:val="22"/>
          <w:szCs w:val="22"/>
        </w:rPr>
        <w:t> </w:t>
      </w:r>
      <w:r>
        <w:rPr>
          <w:rFonts w:ascii="BNPP Sans Light" w:cs="BNPP Sans Light" w:eastAsia="BNPP Sans Light" w:hAnsi="BNPP Sans Light"/>
          <w:b/>
          <w:sz w:val="22"/>
          <w:szCs w:val="22"/>
        </w:rPr>
        <w:t xml:space="preserve">- </w:t>
      </w:r>
      <w:r>
        <w:rPr>
          <w:rFonts w:ascii="BNPP Sans Light" w:cs="BNPP Sans Light" w:eastAsia="BNPP Sans Light" w:hAnsi="BNPP Sans Light"/>
          <w:b/>
          <w:sz w:val="22"/>
          <w:szCs w:val="22"/>
          <w:u w:val="single"/>
        </w:rPr>
        <w:t xml:space="preserve">Mobilités au sein du Groupe </w:t>
      </w:r>
    </w:p>
    <w:p w:rsidR="00CB013A" w:rsidRDefault="00CB013A">
      <w:pPr>
        <w:ind w:right="-57"/>
        <w:jc w:val="both"/>
        <w:rPr>
          <w:rFonts w:ascii="BNPP Sans Light" w:cs="BNPP Sans Light" w:eastAsia="BNPP Sans Light" w:hAnsi="BNPP Sans Light"/>
          <w:sz w:val="22"/>
          <w:szCs w:val="22"/>
        </w:rPr>
      </w:pPr>
    </w:p>
    <w:p w:rsidR="00CB013A" w:rsidRDefault="00DB2A4C">
      <w:pPr>
        <w:pBdr>
          <w:top w:val="nil"/>
          <w:left w:val="nil"/>
          <w:bottom w:val="nil"/>
          <w:right w:val="nil"/>
          <w:between w:val="nil"/>
        </w:pBdr>
        <w:spacing w:line="240" w:lineRule="auto"/>
        <w:ind w:right="-57"/>
        <w:jc w:val="both"/>
        <w:rPr>
          <w:sz w:val="22"/>
          <w:szCs w:val="22"/>
        </w:rPr>
      </w:pPr>
      <w:r>
        <w:rPr>
          <w:sz w:val="22"/>
          <w:szCs w:val="22"/>
        </w:rPr>
        <w:t xml:space="preserve">Il est convenu que sera examinée avec attention la </w:t>
      </w:r>
      <w:r>
        <w:rPr>
          <w:sz w:val="22"/>
          <w:szCs w:val="22"/>
        </w:rPr>
        <w:t>situation des salariés qui, du fait d’une mobilité (dans le cadre d’un détachement ou d’un transfert) au sein du Groupe BNP Paribas, ne seraient pas éligibles aux dispositions arrêtées pour 2023 au titre de la négociation annuelle sur la rémunération réali</w:t>
      </w:r>
      <w:r>
        <w:rPr>
          <w:sz w:val="22"/>
          <w:szCs w:val="22"/>
        </w:rPr>
        <w:t>sée dans le cadre des articles L. 2242-1 et suivants du Code du travail ni dans leur société d’accueil ni dans leur société d’origine.</w:t>
      </w:r>
    </w:p>
    <w:p w:rsidR="00CB013A" w:rsidRDefault="00CB013A">
      <w:pPr>
        <w:spacing w:line="240" w:lineRule="auto"/>
        <w:ind w:right="-57"/>
        <w:jc w:val="both"/>
        <w:rPr>
          <w:rFonts w:ascii="BNPP Sans Light" w:cs="BNPP Sans Light" w:eastAsia="BNPP Sans Light" w:hAnsi="BNPP Sans Light"/>
          <w:color w:val="000000"/>
          <w:sz w:val="22"/>
          <w:szCs w:val="22"/>
        </w:rPr>
      </w:pPr>
    </w:p>
    <w:p w:rsidR="00CB013A" w:rsidRDefault="00CB013A">
      <w:pPr>
        <w:jc w:val="both"/>
        <w:rPr>
          <w:b/>
          <w:smallCaps/>
          <w:sz w:val="22"/>
          <w:szCs w:val="22"/>
          <w:u w:val="single"/>
        </w:rPr>
      </w:pPr>
    </w:p>
    <w:p w:rsidR="00CB013A" w:rsidRDefault="00CB013A">
      <w:pPr>
        <w:jc w:val="both"/>
        <w:rPr>
          <w:b/>
          <w:smallCaps/>
          <w:sz w:val="22"/>
          <w:szCs w:val="22"/>
          <w:u w:val="single"/>
        </w:rPr>
      </w:pPr>
    </w:p>
    <w:p w:rsidR="00CB013A" w:rsidRDefault="00CB013A">
      <w:pPr>
        <w:jc w:val="both"/>
        <w:rPr>
          <w:b/>
          <w:smallCaps/>
          <w:sz w:val="22"/>
          <w:szCs w:val="22"/>
          <w:u w:val="single"/>
        </w:rPr>
      </w:pPr>
    </w:p>
    <w:p w:rsidR="00CB013A" w:rsidRDefault="00CB013A">
      <w:pPr>
        <w:jc w:val="both"/>
        <w:rPr>
          <w:b/>
          <w:smallCaps/>
          <w:sz w:val="22"/>
          <w:szCs w:val="22"/>
          <w:u w:val="single"/>
        </w:rPr>
      </w:pPr>
    </w:p>
    <w:p w:rsidR="00CB013A" w:rsidRDefault="00DB2A4C">
      <w:pPr>
        <w:jc w:val="both"/>
        <w:rPr>
          <w:b/>
          <w:sz w:val="22"/>
          <w:szCs w:val="22"/>
        </w:rPr>
      </w:pPr>
      <w:r>
        <w:rPr>
          <w:rFonts w:ascii="BNPP Sans Light" w:cs="BNPP Sans Light" w:eastAsia="BNPP Sans Light" w:hAnsi="BNPP Sans Light"/>
          <w:b/>
          <w:sz w:val="21"/>
          <w:szCs w:val="21"/>
          <w:u w:val="single"/>
        </w:rPr>
        <w:t>ARTICLE 2 – DÉLAI DE CARENCE</w:t>
      </w:r>
    </w:p>
    <w:p w:rsidR="00CB013A" w:rsidRDefault="00CB013A">
      <w:pPr>
        <w:jc w:val="both"/>
        <w:rPr>
          <w:b/>
          <w:sz w:val="22"/>
          <w:szCs w:val="22"/>
        </w:rPr>
      </w:pPr>
    </w:p>
    <w:p w:rsidR="00CB013A" w:rsidRDefault="00DB2A4C">
      <w:pPr>
        <w:pBdr>
          <w:top w:val="nil"/>
          <w:left w:val="nil"/>
          <w:bottom w:val="nil"/>
          <w:right w:val="nil"/>
          <w:between w:val="nil"/>
        </w:pBdr>
        <w:spacing w:line="240" w:lineRule="auto"/>
        <w:ind w:right="-57"/>
        <w:jc w:val="both"/>
        <w:rPr>
          <w:sz w:val="22"/>
          <w:szCs w:val="22"/>
        </w:rPr>
      </w:pPr>
      <w:r>
        <w:rPr>
          <w:sz w:val="22"/>
          <w:szCs w:val="22"/>
        </w:rPr>
        <w:t>A partir du 1er janvier 2023, de nouvelles règles s’appliqueront.</w:t>
      </w:r>
    </w:p>
    <w:p w:rsidR="00CB013A" w:rsidRDefault="00CB013A">
      <w:pPr>
        <w:pBdr>
          <w:top w:val="nil"/>
          <w:left w:val="nil"/>
          <w:bottom w:val="nil"/>
          <w:right w:val="nil"/>
          <w:between w:val="nil"/>
        </w:pBdr>
        <w:spacing w:line="240" w:lineRule="auto"/>
        <w:ind w:right="-57"/>
        <w:jc w:val="both"/>
        <w:rPr>
          <w:sz w:val="22"/>
          <w:szCs w:val="22"/>
        </w:rPr>
      </w:pPr>
    </w:p>
    <w:p w:rsidR="00CB013A" w:rsidRDefault="00DB2A4C">
      <w:pPr>
        <w:pBdr>
          <w:top w:val="nil"/>
          <w:left w:val="nil"/>
          <w:bottom w:val="nil"/>
          <w:right w:val="nil"/>
          <w:between w:val="nil"/>
        </w:pBdr>
        <w:spacing w:line="240" w:lineRule="auto"/>
        <w:ind w:right="-57"/>
        <w:jc w:val="both"/>
        <w:rPr>
          <w:sz w:val="22"/>
          <w:szCs w:val="22"/>
        </w:rPr>
      </w:pPr>
      <w:r>
        <w:rPr>
          <w:sz w:val="22"/>
          <w:szCs w:val="22"/>
        </w:rPr>
        <w:lastRenderedPageBreak/>
        <w:t>Pour les salariés de moins d'1 an d'ancienneté : application du délai de carence de la sécurité sociale (pas de maintien de salaire).</w:t>
      </w:r>
    </w:p>
    <w:p w:rsidR="00CB013A" w:rsidRDefault="00DB2A4C">
      <w:pPr>
        <w:pBdr>
          <w:top w:val="nil"/>
          <w:left w:val="nil"/>
          <w:bottom w:val="nil"/>
          <w:right w:val="nil"/>
          <w:between w:val="nil"/>
        </w:pBdr>
        <w:spacing w:line="240" w:lineRule="auto"/>
        <w:ind w:right="-57"/>
        <w:jc w:val="both"/>
        <w:rPr>
          <w:sz w:val="22"/>
          <w:szCs w:val="22"/>
        </w:rPr>
      </w:pPr>
      <w:r>
        <w:rPr>
          <w:sz w:val="22"/>
          <w:szCs w:val="22"/>
        </w:rPr>
        <w:t xml:space="preserve"> </w:t>
      </w:r>
    </w:p>
    <w:p w:rsidR="00CB013A" w:rsidRDefault="00DB2A4C">
      <w:pPr>
        <w:pBdr>
          <w:top w:val="nil"/>
          <w:left w:val="nil"/>
          <w:bottom w:val="nil"/>
          <w:right w:val="nil"/>
          <w:between w:val="nil"/>
        </w:pBdr>
        <w:spacing w:line="240" w:lineRule="auto"/>
        <w:ind w:right="-57"/>
        <w:jc w:val="both"/>
        <w:rPr>
          <w:sz w:val="22"/>
          <w:szCs w:val="22"/>
        </w:rPr>
      </w:pPr>
      <w:r>
        <w:rPr>
          <w:sz w:val="22"/>
          <w:szCs w:val="22"/>
        </w:rPr>
        <w:t>Pour les salariés ayant au moins 1 an d'ancienneté, prise en charge des jours de carence de la sécurité sociale par l’en</w:t>
      </w:r>
      <w:r>
        <w:rPr>
          <w:sz w:val="22"/>
          <w:szCs w:val="22"/>
        </w:rPr>
        <w:t>treprise dans la limite de 3 arrêts de travail sur une période de 12 mois glissants.</w:t>
      </w:r>
    </w:p>
    <w:p w:rsidR="00CB013A" w:rsidRDefault="00CB013A">
      <w:pPr>
        <w:jc w:val="both"/>
        <w:rPr>
          <w:sz w:val="22"/>
          <w:szCs w:val="22"/>
        </w:rPr>
      </w:pPr>
    </w:p>
    <w:p w:rsidR="00CB013A" w:rsidRDefault="00CB013A">
      <w:pPr>
        <w:spacing w:line="240" w:lineRule="auto"/>
        <w:jc w:val="both"/>
        <w:rPr>
          <w:rFonts w:ascii="BNPP Sans Light" w:cs="BNPP Sans Light" w:eastAsia="BNPP Sans Light" w:hAnsi="BNPP Sans Light"/>
          <w:b/>
          <w:color w:val="31849B"/>
          <w:sz w:val="21"/>
          <w:szCs w:val="21"/>
        </w:rPr>
      </w:pPr>
    </w:p>
    <w:p w:rsidR="00CB013A" w:rsidRDefault="00DB2A4C">
      <w:pPr>
        <w:spacing w:line="240" w:lineRule="auto"/>
        <w:jc w:val="both"/>
        <w:rPr>
          <w:rFonts w:ascii="BNPP Sans Light" w:cs="BNPP Sans Light" w:eastAsia="BNPP Sans Light" w:hAnsi="BNPP Sans Light"/>
          <w:b/>
          <w:sz w:val="22"/>
          <w:szCs w:val="22"/>
          <w:u w:val="single"/>
        </w:rPr>
      </w:pPr>
      <w:r>
        <w:rPr>
          <w:rFonts w:ascii="BNPP Sans Light" w:cs="BNPP Sans Light" w:eastAsia="BNPP Sans Light" w:hAnsi="BNPP Sans Light"/>
          <w:b/>
          <w:sz w:val="22"/>
          <w:szCs w:val="22"/>
          <w:u w:val="single"/>
        </w:rPr>
        <w:t>ARTICLE 3</w:t>
      </w:r>
      <w:r>
        <w:rPr>
          <w:rFonts w:ascii="Courier New" w:cs="Courier New" w:eastAsia="Courier New" w:hAnsi="Courier New"/>
          <w:b/>
          <w:sz w:val="22"/>
          <w:szCs w:val="22"/>
        </w:rPr>
        <w:t> </w:t>
      </w:r>
      <w:r>
        <w:rPr>
          <w:rFonts w:ascii="BNPP Sans Light" w:cs="BNPP Sans Light" w:eastAsia="BNPP Sans Light" w:hAnsi="BNPP Sans Light"/>
          <w:b/>
          <w:sz w:val="22"/>
          <w:szCs w:val="22"/>
        </w:rPr>
        <w:t>– INFORMATION DES SALARIES</w:t>
      </w:r>
    </w:p>
    <w:p w:rsidR="00CB013A" w:rsidRDefault="00CB013A">
      <w:pPr>
        <w:spacing w:line="240" w:lineRule="auto"/>
        <w:jc w:val="both"/>
        <w:rPr>
          <w:rFonts w:ascii="BNPP Sans Light" w:cs="BNPP Sans Light" w:eastAsia="BNPP Sans Light" w:hAnsi="BNPP Sans Light"/>
          <w:b/>
          <w:color w:val="0070C0"/>
          <w:sz w:val="22"/>
          <w:szCs w:val="22"/>
          <w:u w:val="single"/>
        </w:rPr>
      </w:pPr>
    </w:p>
    <w:p w:rsidR="00CB013A" w:rsidRDefault="00DB2A4C">
      <w:pPr>
        <w:pBdr>
          <w:top w:val="nil"/>
          <w:left w:val="nil"/>
          <w:bottom w:val="nil"/>
          <w:right w:val="nil"/>
          <w:between w:val="nil"/>
        </w:pBdr>
        <w:spacing w:line="240" w:lineRule="auto"/>
        <w:ind w:right="-57"/>
        <w:jc w:val="both"/>
        <w:rPr>
          <w:sz w:val="22"/>
          <w:szCs w:val="22"/>
        </w:rPr>
      </w:pPr>
      <w:r>
        <w:rPr>
          <w:sz w:val="22"/>
          <w:szCs w:val="22"/>
        </w:rPr>
        <w:t>Les salariés seront informés des modalités générales du présent accord par les supports de communication interne à l’entreprise.</w:t>
      </w:r>
    </w:p>
    <w:p w:rsidR="00CB013A" w:rsidRDefault="00CB013A">
      <w:pPr>
        <w:spacing w:line="240" w:lineRule="auto"/>
        <w:jc w:val="both"/>
        <w:rPr>
          <w:rFonts w:ascii="BNPP Sans Light" w:cs="BNPP Sans Light" w:eastAsia="BNPP Sans Light" w:hAnsi="BNPP Sans Light"/>
          <w:b/>
          <w:color w:val="0070C0"/>
          <w:sz w:val="22"/>
          <w:szCs w:val="22"/>
          <w:u w:val="single"/>
        </w:rPr>
      </w:pPr>
    </w:p>
    <w:p w:rsidR="00CB013A" w:rsidRDefault="00CB013A">
      <w:pPr>
        <w:spacing w:line="240" w:lineRule="auto"/>
        <w:jc w:val="both"/>
        <w:rPr>
          <w:rFonts w:ascii="BNPP Sans Light" w:cs="BNPP Sans Light" w:eastAsia="BNPP Sans Light" w:hAnsi="BNPP Sans Light"/>
          <w:b/>
          <w:color w:val="FF9900"/>
          <w:sz w:val="22"/>
          <w:szCs w:val="22"/>
          <w:u w:val="single"/>
        </w:rPr>
      </w:pPr>
    </w:p>
    <w:p w:rsidR="00CB013A" w:rsidRDefault="00DB2A4C">
      <w:pPr>
        <w:spacing w:line="240" w:lineRule="auto"/>
        <w:jc w:val="both"/>
        <w:rPr>
          <w:rFonts w:ascii="BNPP Sans Light" w:cs="BNPP Sans Light" w:eastAsia="BNPP Sans Light" w:hAnsi="BNPP Sans Light"/>
          <w:b/>
          <w:sz w:val="22"/>
          <w:szCs w:val="22"/>
        </w:rPr>
      </w:pPr>
      <w:r>
        <w:rPr>
          <w:rFonts w:ascii="BNPP Sans Light" w:cs="BNPP Sans Light" w:eastAsia="BNPP Sans Light" w:hAnsi="BNPP Sans Light"/>
          <w:b/>
          <w:sz w:val="22"/>
          <w:szCs w:val="22"/>
          <w:u w:val="single"/>
        </w:rPr>
        <w:t>ARTICLE 4</w:t>
      </w:r>
      <w:r>
        <w:rPr>
          <w:rFonts w:ascii="Calibri" w:cs="Calibri" w:eastAsia="Calibri" w:hAnsi="Calibri"/>
          <w:b/>
          <w:sz w:val="22"/>
          <w:szCs w:val="22"/>
        </w:rPr>
        <w:t> </w:t>
      </w:r>
      <w:r>
        <w:rPr>
          <w:rFonts w:ascii="BNPP Sans Light" w:cs="BNPP Sans Light" w:eastAsia="BNPP Sans Light" w:hAnsi="BNPP Sans Light"/>
          <w:b/>
          <w:sz w:val="22"/>
          <w:szCs w:val="22"/>
        </w:rPr>
        <w:t>–</w:t>
      </w:r>
      <w:r>
        <w:rPr>
          <w:rFonts w:ascii="BNPP Sans Light" w:cs="BNPP Sans Light" w:eastAsia="BNPP Sans Light" w:hAnsi="BNPP Sans Light"/>
          <w:b/>
          <w:sz w:val="21"/>
          <w:szCs w:val="21"/>
        </w:rPr>
        <w:t xml:space="preserve"> </w:t>
      </w:r>
      <w:r>
        <w:rPr>
          <w:rFonts w:ascii="BNPP Sans Light" w:cs="BNPP Sans Light" w:eastAsia="BNPP Sans Light" w:hAnsi="BNPP Sans Light"/>
          <w:b/>
          <w:sz w:val="22"/>
          <w:szCs w:val="22"/>
        </w:rPr>
        <w:t>ENTREE EN VIGUEUR - DUREE - REVISION</w:t>
      </w:r>
    </w:p>
    <w:p w:rsidR="00CB013A" w:rsidRDefault="00CB013A">
      <w:pPr>
        <w:spacing w:line="240" w:lineRule="auto"/>
        <w:jc w:val="both"/>
        <w:rPr>
          <w:rFonts w:ascii="BNPP Sans Light" w:cs="BNPP Sans Light" w:eastAsia="BNPP Sans Light" w:hAnsi="BNPP Sans Light"/>
          <w:b/>
          <w:color w:val="31849B"/>
          <w:sz w:val="22"/>
          <w:szCs w:val="22"/>
        </w:rPr>
      </w:pPr>
    </w:p>
    <w:p w:rsidR="00CB013A" w:rsidRDefault="00DB2A4C">
      <w:pPr>
        <w:pBdr>
          <w:top w:val="nil"/>
          <w:left w:val="nil"/>
          <w:bottom w:val="nil"/>
          <w:right w:val="nil"/>
          <w:between w:val="nil"/>
        </w:pBdr>
        <w:spacing w:line="240" w:lineRule="auto"/>
        <w:ind w:right="-57"/>
        <w:jc w:val="both"/>
        <w:rPr>
          <w:sz w:val="22"/>
          <w:szCs w:val="22"/>
        </w:rPr>
      </w:pPr>
      <w:r>
        <w:rPr>
          <w:sz w:val="22"/>
          <w:szCs w:val="22"/>
        </w:rPr>
        <w:t>L’entrée en vigueur du présent accord est subordonnée à sa signature dans les conditions prévues à l'article L2232-12 du Code du travail, à savoir conformément à la réglementation en vigueur à la date des présentes, par, d'une part, l'employeur ou son repr</w:t>
      </w:r>
      <w:r>
        <w:rPr>
          <w:sz w:val="22"/>
          <w:szCs w:val="22"/>
        </w:rPr>
        <w:t xml:space="preserve">ésentant et, d'autre part, une ou plusieurs organisations syndicales de salariés représentatives ayant recueilli plus de 50 % des suffrages exprimés en faveur d'organisations représentatives au premier tour des dernières élections des titulaires au comité </w:t>
      </w:r>
      <w:r>
        <w:rPr>
          <w:sz w:val="22"/>
          <w:szCs w:val="22"/>
        </w:rPr>
        <w:t>social et économique, quel que soit le nombre de votants.</w:t>
      </w:r>
    </w:p>
    <w:p w:rsidR="00CB013A" w:rsidRDefault="00CB013A">
      <w:pPr>
        <w:pBdr>
          <w:top w:val="nil"/>
          <w:left w:val="nil"/>
          <w:bottom w:val="nil"/>
          <w:right w:val="nil"/>
          <w:between w:val="nil"/>
        </w:pBdr>
        <w:spacing w:line="240" w:lineRule="auto"/>
        <w:ind w:right="-57"/>
        <w:jc w:val="both"/>
        <w:rPr>
          <w:sz w:val="22"/>
          <w:szCs w:val="22"/>
        </w:rPr>
      </w:pPr>
    </w:p>
    <w:p w:rsidR="00CB013A" w:rsidRDefault="00DB2A4C">
      <w:pPr>
        <w:pBdr>
          <w:top w:val="nil"/>
          <w:left w:val="nil"/>
          <w:bottom w:val="nil"/>
          <w:right w:val="nil"/>
          <w:between w:val="nil"/>
        </w:pBdr>
        <w:spacing w:line="240" w:lineRule="auto"/>
        <w:ind w:right="-57"/>
        <w:jc w:val="both"/>
        <w:rPr>
          <w:sz w:val="22"/>
          <w:szCs w:val="22"/>
        </w:rPr>
      </w:pPr>
      <w:r>
        <w:rPr>
          <w:sz w:val="22"/>
          <w:szCs w:val="22"/>
        </w:rPr>
        <w:t xml:space="preserve">L’article 1 prévu dans le présent accord produira ses effets pour les seules années 2022 et 2023 et l’article 2 à durée indéterminée. </w:t>
      </w:r>
    </w:p>
    <w:p w:rsidR="00CB013A" w:rsidRDefault="00CB013A">
      <w:pPr>
        <w:pBdr>
          <w:top w:val="nil"/>
          <w:left w:val="nil"/>
          <w:bottom w:val="nil"/>
          <w:right w:val="nil"/>
          <w:between w:val="nil"/>
        </w:pBdr>
        <w:spacing w:line="240" w:lineRule="auto"/>
        <w:ind w:right="-57"/>
        <w:jc w:val="both"/>
        <w:rPr>
          <w:sz w:val="22"/>
          <w:szCs w:val="22"/>
        </w:rPr>
      </w:pPr>
    </w:p>
    <w:p w:rsidR="00CB013A" w:rsidRDefault="00DB2A4C">
      <w:pPr>
        <w:pBdr>
          <w:top w:val="nil"/>
          <w:left w:val="nil"/>
          <w:bottom w:val="nil"/>
          <w:right w:val="nil"/>
          <w:between w:val="nil"/>
        </w:pBdr>
        <w:spacing w:line="240" w:lineRule="auto"/>
        <w:ind w:right="-57"/>
        <w:jc w:val="both"/>
        <w:rPr>
          <w:sz w:val="22"/>
          <w:szCs w:val="22"/>
        </w:rPr>
      </w:pPr>
      <w:r>
        <w:rPr>
          <w:sz w:val="22"/>
          <w:szCs w:val="22"/>
        </w:rPr>
        <w:t>Le présent accord pourra être modifié ou dénoncé dans les con</w:t>
      </w:r>
      <w:r>
        <w:rPr>
          <w:sz w:val="22"/>
          <w:szCs w:val="22"/>
        </w:rPr>
        <w:t>ditions prévues par la réglementation en vigueur à la date à laquelle la modification ou la dénonciation interviendrait.</w:t>
      </w:r>
    </w:p>
    <w:p w:rsidR="00CB013A" w:rsidRDefault="00CB013A">
      <w:pPr>
        <w:pBdr>
          <w:top w:val="nil"/>
          <w:left w:val="nil"/>
          <w:bottom w:val="nil"/>
          <w:right w:val="nil"/>
          <w:between w:val="nil"/>
        </w:pBdr>
        <w:spacing w:line="240" w:lineRule="auto"/>
        <w:ind w:right="-57"/>
        <w:jc w:val="both"/>
        <w:rPr>
          <w:sz w:val="22"/>
          <w:szCs w:val="22"/>
        </w:rPr>
      </w:pPr>
    </w:p>
    <w:p w:rsidR="00CB013A" w:rsidRDefault="00DB2A4C">
      <w:pPr>
        <w:pBdr>
          <w:top w:val="nil"/>
          <w:left w:val="nil"/>
          <w:bottom w:val="nil"/>
          <w:right w:val="nil"/>
          <w:between w:val="nil"/>
        </w:pBdr>
        <w:spacing w:line="240" w:lineRule="auto"/>
        <w:ind w:right="-57"/>
        <w:jc w:val="both"/>
        <w:rPr>
          <w:sz w:val="22"/>
          <w:szCs w:val="22"/>
        </w:rPr>
      </w:pPr>
      <w:r>
        <w:rPr>
          <w:sz w:val="22"/>
          <w:szCs w:val="22"/>
        </w:rPr>
        <w:t>Les dispositions soumises à révision devront faire l’objet d’un accord de l’ensemble des parties</w:t>
      </w:r>
    </w:p>
    <w:p w:rsidR="00CB013A" w:rsidRDefault="00DB2A4C">
      <w:pPr>
        <w:pBdr>
          <w:top w:val="nil"/>
          <w:left w:val="nil"/>
          <w:bottom w:val="nil"/>
          <w:right w:val="nil"/>
          <w:between w:val="nil"/>
        </w:pBdr>
        <w:spacing w:line="240" w:lineRule="auto"/>
        <w:ind w:right="-57"/>
        <w:jc w:val="both"/>
        <w:rPr>
          <w:sz w:val="22"/>
          <w:szCs w:val="22"/>
        </w:rPr>
      </w:pPr>
      <w:r>
        <w:rPr>
          <w:sz w:val="22"/>
          <w:szCs w:val="22"/>
        </w:rPr>
        <w:t>initialement signataires ou adhérente</w:t>
      </w:r>
      <w:r>
        <w:rPr>
          <w:sz w:val="22"/>
          <w:szCs w:val="22"/>
        </w:rPr>
        <w:t>s.</w:t>
      </w:r>
    </w:p>
    <w:p w:rsidR="00CB013A" w:rsidRDefault="00DB2A4C">
      <w:pPr>
        <w:spacing w:line="240" w:lineRule="auto"/>
        <w:jc w:val="both"/>
        <w:rPr>
          <w:rFonts w:ascii="BNPP Sans Light" w:cs="BNPP Sans Light" w:eastAsia="BNPP Sans Light" w:hAnsi="BNPP Sans Light"/>
          <w:color w:val="000000"/>
          <w:sz w:val="21"/>
          <w:szCs w:val="21"/>
        </w:rPr>
      </w:pPr>
      <w:r>
        <w:rPr>
          <w:rFonts w:ascii="BNPP Sans Light" w:cs="BNPP Sans Light" w:eastAsia="BNPP Sans Light" w:hAnsi="BNPP Sans Light"/>
          <w:color w:val="000000"/>
          <w:sz w:val="21"/>
          <w:szCs w:val="21"/>
        </w:rPr>
        <w:t xml:space="preserve"> </w:t>
      </w:r>
    </w:p>
    <w:p w:rsidR="00CB013A" w:rsidRDefault="00CB013A">
      <w:pPr>
        <w:spacing w:line="240" w:lineRule="auto"/>
        <w:jc w:val="both"/>
        <w:rPr>
          <w:rFonts w:ascii="BNPP Sans Light" w:cs="BNPP Sans Light" w:eastAsia="BNPP Sans Light" w:hAnsi="BNPP Sans Light"/>
          <w:color w:val="000000"/>
          <w:sz w:val="21"/>
          <w:szCs w:val="21"/>
        </w:rPr>
      </w:pPr>
    </w:p>
    <w:p w:rsidR="00CB013A" w:rsidRDefault="00CB013A">
      <w:pPr>
        <w:spacing w:line="240" w:lineRule="auto"/>
        <w:jc w:val="both"/>
        <w:rPr>
          <w:rFonts w:ascii="BNPP Sans Light" w:cs="BNPP Sans Light" w:eastAsia="BNPP Sans Light" w:hAnsi="BNPP Sans Light"/>
          <w:b/>
          <w:color w:val="0070C0"/>
          <w:sz w:val="22"/>
          <w:szCs w:val="22"/>
          <w:u w:val="single"/>
        </w:rPr>
      </w:pPr>
    </w:p>
    <w:p w:rsidR="00CB013A" w:rsidRDefault="00DB2A4C">
      <w:pPr>
        <w:spacing w:line="240" w:lineRule="auto"/>
        <w:jc w:val="both"/>
        <w:rPr>
          <w:rFonts w:ascii="BNPP Sans Light" w:cs="BNPP Sans Light" w:eastAsia="BNPP Sans Light" w:hAnsi="BNPP Sans Light"/>
          <w:b/>
          <w:sz w:val="22"/>
          <w:szCs w:val="22"/>
        </w:rPr>
      </w:pPr>
      <w:r>
        <w:rPr>
          <w:rFonts w:ascii="BNPP Sans Light" w:cs="BNPP Sans Light" w:eastAsia="BNPP Sans Light" w:hAnsi="BNPP Sans Light"/>
          <w:b/>
          <w:sz w:val="22"/>
          <w:szCs w:val="22"/>
          <w:u w:val="single"/>
        </w:rPr>
        <w:t>ARTICLE 5</w:t>
      </w:r>
      <w:r>
        <w:rPr>
          <w:rFonts w:ascii="Calibri" w:cs="Calibri" w:eastAsia="Calibri" w:hAnsi="Calibri"/>
          <w:b/>
          <w:sz w:val="22"/>
          <w:szCs w:val="22"/>
        </w:rPr>
        <w:t xml:space="preserve"> </w:t>
      </w:r>
      <w:r>
        <w:rPr>
          <w:rFonts w:ascii="BNPP Sans Light" w:cs="BNPP Sans Light" w:eastAsia="BNPP Sans Light" w:hAnsi="BNPP Sans Light"/>
          <w:b/>
          <w:sz w:val="22"/>
          <w:szCs w:val="22"/>
        </w:rPr>
        <w:t>– DEPOT - PUBLICITE DE L’ACCORD</w:t>
      </w:r>
    </w:p>
    <w:p w:rsidR="00CB013A" w:rsidRDefault="00CB013A">
      <w:pPr>
        <w:pBdr>
          <w:top w:val="nil"/>
          <w:left w:val="nil"/>
          <w:bottom w:val="nil"/>
          <w:right w:val="nil"/>
          <w:between w:val="nil"/>
        </w:pBdr>
        <w:tabs>
          <w:tab w:pos="9923" w:val="left"/>
        </w:tabs>
        <w:spacing w:line="240" w:lineRule="auto"/>
        <w:ind w:right="-58"/>
        <w:jc w:val="both"/>
        <w:rPr>
          <w:rFonts w:ascii="BNPP Sans Light" w:cs="BNPP Sans Light" w:eastAsia="BNPP Sans Light" w:hAnsi="BNPP Sans Light"/>
          <w:color w:val="000000"/>
          <w:sz w:val="22"/>
          <w:szCs w:val="22"/>
        </w:rPr>
      </w:pPr>
    </w:p>
    <w:p w:rsidR="00CB013A" w:rsidRDefault="00DB2A4C">
      <w:pPr>
        <w:pBdr>
          <w:top w:val="nil"/>
          <w:left w:val="nil"/>
          <w:bottom w:val="nil"/>
          <w:right w:val="nil"/>
          <w:between w:val="nil"/>
        </w:pBdr>
        <w:spacing w:line="240" w:lineRule="auto"/>
        <w:ind w:right="-57"/>
        <w:jc w:val="both"/>
        <w:rPr>
          <w:sz w:val="22"/>
          <w:szCs w:val="22"/>
        </w:rPr>
      </w:pPr>
      <w:r>
        <w:rPr>
          <w:sz w:val="22"/>
          <w:szCs w:val="22"/>
        </w:rPr>
        <w:t>Le présent accord ainsi que les pièces accompagnant le dépôt seront déposés dans le respect des</w:t>
      </w:r>
    </w:p>
    <w:p w:rsidR="00CB013A" w:rsidRDefault="00DB2A4C">
      <w:pPr>
        <w:pBdr>
          <w:top w:val="nil"/>
          <w:left w:val="nil"/>
          <w:bottom w:val="nil"/>
          <w:right w:val="nil"/>
          <w:between w:val="nil"/>
        </w:pBdr>
        <w:spacing w:line="240" w:lineRule="auto"/>
        <w:ind w:right="-57"/>
        <w:jc w:val="both"/>
        <w:rPr>
          <w:sz w:val="22"/>
          <w:szCs w:val="22"/>
        </w:rPr>
      </w:pPr>
      <w:r>
        <w:rPr>
          <w:sz w:val="22"/>
          <w:szCs w:val="22"/>
        </w:rPr>
        <w:t>dispositions légales et réglementaires sur la plateforme de téléprocédure du ministère du travail, prévue à cet effet.</w:t>
      </w:r>
    </w:p>
    <w:p w:rsidR="00CB013A" w:rsidRDefault="00DB2A4C">
      <w:pPr>
        <w:pBdr>
          <w:top w:val="nil"/>
          <w:left w:val="nil"/>
          <w:bottom w:val="nil"/>
          <w:right w:val="nil"/>
          <w:between w:val="nil"/>
        </w:pBdr>
        <w:spacing w:line="240" w:lineRule="auto"/>
        <w:ind w:right="-57"/>
        <w:jc w:val="both"/>
        <w:rPr>
          <w:sz w:val="22"/>
          <w:szCs w:val="22"/>
        </w:rPr>
      </w:pPr>
      <w:r>
        <w:rPr>
          <w:sz w:val="22"/>
          <w:szCs w:val="22"/>
        </w:rPr>
        <w:t>Un exemplaire sera déposé auprès du Greffe du Conseil de Prud’hommes du lieu où il a été conclu.</w:t>
      </w:r>
    </w:p>
    <w:p w:rsidR="00CB013A" w:rsidRDefault="00CB013A">
      <w:pPr>
        <w:pBdr>
          <w:top w:val="nil"/>
          <w:left w:val="nil"/>
          <w:bottom w:val="nil"/>
          <w:right w:val="nil"/>
          <w:between w:val="nil"/>
        </w:pBdr>
        <w:spacing w:line="240" w:lineRule="auto"/>
        <w:ind w:right="-57"/>
        <w:jc w:val="both"/>
        <w:rPr>
          <w:sz w:val="22"/>
          <w:szCs w:val="22"/>
        </w:rPr>
      </w:pPr>
    </w:p>
    <w:p w:rsidR="00CB013A" w:rsidRDefault="00DB2A4C">
      <w:pPr>
        <w:pBdr>
          <w:top w:val="nil"/>
          <w:left w:val="nil"/>
          <w:bottom w:val="nil"/>
          <w:right w:val="nil"/>
          <w:between w:val="nil"/>
        </w:pBdr>
        <w:spacing w:line="240" w:lineRule="auto"/>
        <w:ind w:right="-57"/>
        <w:jc w:val="both"/>
        <w:rPr>
          <w:sz w:val="22"/>
          <w:szCs w:val="22"/>
        </w:rPr>
      </w:pPr>
      <w:r>
        <w:rPr>
          <w:sz w:val="22"/>
          <w:szCs w:val="22"/>
        </w:rPr>
        <w:t>Conformément aux dispositions de l’arti</w:t>
      </w:r>
      <w:r>
        <w:rPr>
          <w:sz w:val="22"/>
          <w:szCs w:val="22"/>
        </w:rPr>
        <w:t>cle L2231-5-1 du Code du travail, le présent accord sera rendu public et versé dans une base de données nationale. Il sera publié dans une version ne comportant pas les noms et prénoms des négociateurs et des signataires.</w:t>
      </w:r>
    </w:p>
    <w:p w:rsidR="00CB013A" w:rsidRDefault="00CB013A">
      <w:pPr>
        <w:pBdr>
          <w:top w:val="nil"/>
          <w:left w:val="nil"/>
          <w:bottom w:val="nil"/>
          <w:right w:val="nil"/>
          <w:between w:val="nil"/>
        </w:pBdr>
        <w:spacing w:line="240" w:lineRule="auto"/>
        <w:ind w:right="-57"/>
        <w:jc w:val="both"/>
        <w:rPr>
          <w:sz w:val="22"/>
          <w:szCs w:val="22"/>
        </w:rPr>
      </w:pPr>
    </w:p>
    <w:p w:rsidR="00CB013A" w:rsidRDefault="00DB2A4C">
      <w:pPr>
        <w:pBdr>
          <w:top w:val="nil"/>
          <w:left w:val="nil"/>
          <w:bottom w:val="nil"/>
          <w:right w:val="nil"/>
          <w:between w:val="nil"/>
        </w:pBdr>
        <w:spacing w:line="240" w:lineRule="auto"/>
        <w:ind w:right="-57"/>
        <w:jc w:val="both"/>
        <w:rPr>
          <w:sz w:val="22"/>
          <w:szCs w:val="22"/>
        </w:rPr>
      </w:pPr>
      <w:r>
        <w:rPr>
          <w:sz w:val="22"/>
          <w:szCs w:val="22"/>
        </w:rPr>
        <w:t>Un exemplaire original du présent accord est remis à chacune des parties signataires.</w:t>
      </w:r>
    </w:p>
    <w:p w:rsidR="00CB013A" w:rsidRDefault="00CB013A">
      <w:pPr>
        <w:pBdr>
          <w:top w:val="nil"/>
          <w:left w:val="nil"/>
          <w:bottom w:val="nil"/>
          <w:right w:val="nil"/>
          <w:between w:val="nil"/>
        </w:pBdr>
        <w:spacing w:line="240" w:lineRule="auto"/>
        <w:ind w:right="-57"/>
        <w:jc w:val="both"/>
        <w:rPr>
          <w:sz w:val="22"/>
          <w:szCs w:val="22"/>
        </w:rPr>
      </w:pPr>
    </w:p>
    <w:p w:rsidR="00CB013A" w:rsidRDefault="00CB013A">
      <w:pPr>
        <w:pBdr>
          <w:top w:val="nil"/>
          <w:left w:val="nil"/>
          <w:bottom w:val="nil"/>
          <w:right w:val="nil"/>
          <w:between w:val="nil"/>
        </w:pBdr>
        <w:spacing w:line="240" w:lineRule="auto"/>
        <w:ind w:right="-57"/>
        <w:jc w:val="both"/>
        <w:rPr>
          <w:sz w:val="22"/>
          <w:szCs w:val="22"/>
        </w:rPr>
      </w:pPr>
    </w:p>
    <w:p w:rsidR="00CB013A" w:rsidRDefault="00CB013A">
      <w:pPr>
        <w:pBdr>
          <w:top w:val="nil"/>
          <w:left w:val="nil"/>
          <w:bottom w:val="nil"/>
          <w:right w:val="nil"/>
          <w:between w:val="nil"/>
        </w:pBdr>
        <w:spacing w:line="240" w:lineRule="auto"/>
        <w:ind w:right="-57"/>
        <w:jc w:val="both"/>
        <w:rPr>
          <w:sz w:val="22"/>
          <w:szCs w:val="22"/>
        </w:rPr>
      </w:pPr>
    </w:p>
    <w:p w:rsidR="00CB013A" w:rsidRDefault="00CB013A">
      <w:pPr>
        <w:pBdr>
          <w:top w:val="nil"/>
          <w:left w:val="nil"/>
          <w:bottom w:val="nil"/>
          <w:right w:val="nil"/>
          <w:between w:val="nil"/>
        </w:pBdr>
        <w:spacing w:line="240" w:lineRule="auto"/>
        <w:ind w:right="-57"/>
        <w:jc w:val="both"/>
        <w:rPr>
          <w:sz w:val="22"/>
          <w:szCs w:val="22"/>
        </w:rPr>
      </w:pPr>
    </w:p>
    <w:p w:rsidR="00CB013A" w:rsidRDefault="00DB2A4C">
      <w:pPr>
        <w:pBdr>
          <w:top w:val="nil"/>
          <w:left w:val="nil"/>
          <w:bottom w:val="nil"/>
          <w:right w:val="nil"/>
          <w:between w:val="nil"/>
        </w:pBdr>
        <w:spacing w:line="240" w:lineRule="auto"/>
        <w:ind w:right="-57"/>
        <w:jc w:val="both"/>
        <w:rPr>
          <w:sz w:val="22"/>
          <w:szCs w:val="22"/>
        </w:rPr>
      </w:pPr>
      <w:r>
        <w:rPr>
          <w:sz w:val="22"/>
          <w:szCs w:val="22"/>
        </w:rPr>
        <w:t>Fait à Charenton-le-Pont, le 21 octobre 2022.</w:t>
      </w:r>
    </w:p>
    <w:p w:rsidR="00CB013A" w:rsidRDefault="00CB013A">
      <w:pPr>
        <w:pBdr>
          <w:top w:val="nil"/>
          <w:left w:val="nil"/>
          <w:bottom w:val="nil"/>
          <w:right w:val="nil"/>
          <w:between w:val="nil"/>
        </w:pBdr>
        <w:tabs>
          <w:tab w:pos="9923" w:val="left"/>
        </w:tabs>
        <w:spacing w:line="240" w:lineRule="auto"/>
        <w:ind w:right="-58"/>
        <w:jc w:val="both"/>
        <w:rPr>
          <w:rFonts w:ascii="BNPP Sans Light" w:cs="BNPP Sans Light" w:eastAsia="BNPP Sans Light" w:hAnsi="BNPP Sans Light"/>
          <w:sz w:val="22"/>
          <w:szCs w:val="22"/>
        </w:rPr>
      </w:pPr>
    </w:p>
    <w:p w:rsidR="00CB013A" w:rsidRDefault="00CB013A">
      <w:pPr>
        <w:pBdr>
          <w:top w:val="nil"/>
          <w:left w:val="nil"/>
          <w:bottom w:val="nil"/>
          <w:right w:val="nil"/>
          <w:between w:val="nil"/>
        </w:pBdr>
        <w:tabs>
          <w:tab w:pos="9923" w:val="left"/>
        </w:tabs>
        <w:spacing w:line="240" w:lineRule="auto"/>
        <w:ind w:right="-58"/>
        <w:jc w:val="both"/>
        <w:rPr>
          <w:rFonts w:ascii="BNPP Sans Light" w:cs="BNPP Sans Light" w:eastAsia="BNPP Sans Light" w:hAnsi="BNPP Sans Light"/>
          <w:sz w:val="22"/>
          <w:szCs w:val="22"/>
        </w:rPr>
      </w:pPr>
    </w:p>
    <w:p w:rsidR="00CB013A" w:rsidRDefault="00DB2A4C">
      <w:pPr>
        <w:spacing w:line="480" w:lineRule="auto"/>
        <w:jc w:val="both"/>
        <w:rPr>
          <w:rFonts w:ascii="BNPP Sans Light" w:cs="BNPP Sans Light" w:eastAsia="BNPP Sans Light" w:hAnsi="BNPP Sans Light"/>
          <w:sz w:val="21"/>
          <w:szCs w:val="21"/>
        </w:rPr>
      </w:pPr>
      <w:r>
        <w:rPr>
          <w:rFonts w:ascii="BNPP Sans Light" w:cs="BNPP Sans Light" w:eastAsia="BNPP Sans Light" w:hAnsi="BNPP Sans Light"/>
          <w:sz w:val="21"/>
          <w:szCs w:val="21"/>
        </w:rPr>
        <w:t xml:space="preserve">           </w:t>
      </w:r>
    </w:p>
    <w:p w:rsidR="00CB013A" w:rsidRDefault="00CB013A">
      <w:pPr>
        <w:rPr>
          <w:sz w:val="22"/>
          <w:szCs w:val="22"/>
        </w:rPr>
      </w:pPr>
    </w:p>
    <w:tbl>
      <w:tblPr>
        <w:tblStyle w:val="a2"/>
        <w:tblW w:type="dxa" w:w="9330"/>
        <w:tblInd w:type="dxa" w:w="0"/>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firstColumn="0" w:firstRow="0" w:lastColumn="0" w:lastRow="0" w:noHBand="0" w:noVBand="0" w:val="0000"/>
      </w:tblPr>
      <w:tblGrid>
        <w:gridCol w:w="3110"/>
        <w:gridCol w:w="3110"/>
        <w:gridCol w:w="3110"/>
      </w:tblGrid>
      <w:tr w:rsidR="00CB013A">
        <w:trPr>
          <w:trHeight w:val="600"/>
        </w:trPr>
        <w:tc>
          <w:tcPr>
            <w:tcW w:type="dxa" w:w="3110"/>
            <w:tcBorders>
              <w:top w:val="nil"/>
              <w:left w:val="nil"/>
            </w:tcBorders>
          </w:tcPr>
          <w:p w:rsidR="00CB013A" w:rsidRDefault="00CB013A">
            <w:pPr>
              <w:jc w:val="center"/>
              <w:rPr>
                <w:sz w:val="22"/>
                <w:szCs w:val="22"/>
              </w:rPr>
            </w:pPr>
          </w:p>
          <w:p w:rsidR="00CB013A" w:rsidRDefault="00CB013A">
            <w:pPr>
              <w:jc w:val="center"/>
              <w:rPr>
                <w:sz w:val="22"/>
                <w:szCs w:val="22"/>
              </w:rPr>
            </w:pPr>
          </w:p>
          <w:p w:rsidR="00CB013A" w:rsidRDefault="00CB013A">
            <w:pPr>
              <w:jc w:val="center"/>
              <w:rPr>
                <w:sz w:val="22"/>
                <w:szCs w:val="22"/>
              </w:rPr>
            </w:pPr>
          </w:p>
        </w:tc>
        <w:tc>
          <w:tcPr>
            <w:tcW w:type="dxa" w:w="3110"/>
          </w:tcPr>
          <w:p w:rsidR="00CB013A" w:rsidRDefault="00CB013A">
            <w:pPr>
              <w:jc w:val="center"/>
              <w:rPr>
                <w:sz w:val="22"/>
                <w:szCs w:val="22"/>
              </w:rPr>
            </w:pPr>
          </w:p>
          <w:p w:rsidR="00CB013A" w:rsidRDefault="00DB2A4C">
            <w:pPr>
              <w:jc w:val="center"/>
              <w:rPr>
                <w:b/>
                <w:sz w:val="22"/>
                <w:szCs w:val="22"/>
              </w:rPr>
            </w:pPr>
            <w:r>
              <w:rPr>
                <w:b/>
                <w:sz w:val="22"/>
                <w:szCs w:val="22"/>
              </w:rPr>
              <w:t>Noms des signataires</w:t>
            </w:r>
          </w:p>
          <w:p w:rsidR="00CB013A" w:rsidRDefault="00CB013A">
            <w:pPr>
              <w:jc w:val="center"/>
              <w:rPr>
                <w:sz w:val="22"/>
                <w:szCs w:val="22"/>
              </w:rPr>
            </w:pPr>
          </w:p>
        </w:tc>
        <w:tc>
          <w:tcPr>
            <w:tcW w:type="dxa" w:w="3110"/>
          </w:tcPr>
          <w:p w:rsidR="00CB013A" w:rsidRDefault="00CB013A">
            <w:pPr>
              <w:jc w:val="center"/>
              <w:rPr>
                <w:sz w:val="22"/>
                <w:szCs w:val="22"/>
              </w:rPr>
            </w:pPr>
          </w:p>
          <w:p w:rsidR="00CB013A" w:rsidRDefault="00DB2A4C">
            <w:pPr>
              <w:jc w:val="center"/>
              <w:rPr>
                <w:b/>
                <w:sz w:val="22"/>
                <w:szCs w:val="22"/>
              </w:rPr>
            </w:pPr>
            <w:r>
              <w:rPr>
                <w:b/>
                <w:sz w:val="22"/>
                <w:szCs w:val="22"/>
              </w:rPr>
              <w:t>Signatures</w:t>
            </w:r>
          </w:p>
        </w:tc>
      </w:tr>
      <w:tr w:rsidR="00CB013A">
        <w:trPr>
          <w:trHeight w:val="1140"/>
        </w:trPr>
        <w:tc>
          <w:tcPr>
            <w:tcW w:type="dxa" w:w="3110"/>
          </w:tcPr>
          <w:p w:rsidR="00CB013A" w:rsidRDefault="00CB013A">
            <w:pPr>
              <w:rPr>
                <w:sz w:val="22"/>
                <w:szCs w:val="22"/>
              </w:rPr>
            </w:pPr>
          </w:p>
          <w:p w:rsidR="00CB013A" w:rsidRDefault="00CB013A">
            <w:pPr>
              <w:rPr>
                <w:sz w:val="22"/>
                <w:szCs w:val="22"/>
              </w:rPr>
            </w:pPr>
          </w:p>
          <w:p w:rsidR="00CB013A" w:rsidRDefault="00DB2A4C">
            <w:pPr>
              <w:rPr>
                <w:sz w:val="22"/>
                <w:szCs w:val="22"/>
              </w:rPr>
            </w:pPr>
            <w:r>
              <w:rPr>
                <w:sz w:val="22"/>
                <w:szCs w:val="22"/>
              </w:rPr>
              <w:t xml:space="preserve">  Pour la société FPE</w:t>
            </w:r>
          </w:p>
          <w:p w:rsidR="00CB013A" w:rsidRDefault="00CB013A">
            <w:pPr>
              <w:rPr>
                <w:sz w:val="22"/>
                <w:szCs w:val="22"/>
              </w:rPr>
            </w:pPr>
          </w:p>
        </w:tc>
        <w:tc>
          <w:tcPr>
            <w:tcW w:type="dxa" w:w="3110"/>
          </w:tcPr>
          <w:p w:rsidR="00CB013A" w:rsidRDefault="00CB013A">
            <w:pPr>
              <w:rPr>
                <w:sz w:val="22"/>
                <w:szCs w:val="22"/>
              </w:rPr>
            </w:pPr>
          </w:p>
          <w:p w:rsidR="00CB013A" w:rsidRDefault="00CB013A">
            <w:pPr>
              <w:rPr>
                <w:sz w:val="22"/>
                <w:szCs w:val="22"/>
              </w:rPr>
            </w:pPr>
          </w:p>
          <w:p w:rsidR="00CB013A" w:rsidRDefault="00DB2A4C">
            <w:pPr>
              <w:jc w:val="both"/>
              <w:rPr>
                <w:sz w:val="22"/>
                <w:szCs w:val="22"/>
              </w:rPr>
            </w:pPr>
            <w:r>
              <w:rPr>
                <w:sz w:val="22"/>
                <w:szCs w:val="22"/>
              </w:rPr>
              <w:t>XXXXXXX</w:t>
            </w:r>
          </w:p>
        </w:tc>
        <w:tc>
          <w:tcPr>
            <w:tcW w:type="dxa" w:w="3110"/>
          </w:tcPr>
          <w:p w:rsidR="00CB013A" w:rsidRDefault="00CB013A">
            <w:pPr>
              <w:rPr>
                <w:sz w:val="22"/>
                <w:szCs w:val="22"/>
              </w:rPr>
            </w:pPr>
          </w:p>
        </w:tc>
      </w:tr>
      <w:tr w:rsidR="00CB013A">
        <w:trPr>
          <w:trHeight w:val="980"/>
        </w:trPr>
        <w:tc>
          <w:tcPr>
            <w:tcW w:type="dxa" w:w="3110"/>
          </w:tcPr>
          <w:p w:rsidR="00CB013A" w:rsidRDefault="00CB013A">
            <w:pPr>
              <w:rPr>
                <w:sz w:val="22"/>
                <w:szCs w:val="22"/>
                <w:highlight w:val="lightGray"/>
              </w:rPr>
            </w:pPr>
          </w:p>
          <w:p w:rsidR="00CB013A" w:rsidRDefault="00DB2A4C">
            <w:pPr>
              <w:rPr>
                <w:sz w:val="22"/>
                <w:szCs w:val="22"/>
                <w:highlight w:val="lightGray"/>
              </w:rPr>
            </w:pPr>
            <w:r>
              <w:rPr>
                <w:sz w:val="22"/>
                <w:szCs w:val="22"/>
              </w:rPr>
              <w:t xml:space="preserve">  Pour le SNB CFE-CGC</w:t>
            </w:r>
          </w:p>
        </w:tc>
        <w:tc>
          <w:tcPr>
            <w:tcW w:type="dxa" w:w="3110"/>
          </w:tcPr>
          <w:p w:rsidR="00CB013A" w:rsidRDefault="00CB013A">
            <w:pPr>
              <w:rPr>
                <w:sz w:val="22"/>
                <w:szCs w:val="22"/>
              </w:rPr>
            </w:pPr>
          </w:p>
          <w:p w:rsidR="00CB013A" w:rsidRDefault="00DB2A4C">
            <w:pPr>
              <w:jc w:val="both"/>
              <w:rPr>
                <w:sz w:val="22"/>
                <w:szCs w:val="22"/>
              </w:rPr>
            </w:pPr>
            <w:r>
              <w:rPr>
                <w:sz w:val="22"/>
                <w:szCs w:val="22"/>
              </w:rPr>
              <w:t>XXXXXXX</w:t>
            </w:r>
          </w:p>
        </w:tc>
        <w:tc>
          <w:tcPr>
            <w:tcW w:type="dxa" w:w="3110"/>
          </w:tcPr>
          <w:p w:rsidR="00CB013A" w:rsidRDefault="00CB013A">
            <w:pPr>
              <w:rPr>
                <w:sz w:val="22"/>
                <w:szCs w:val="22"/>
                <w:highlight w:val="yellow"/>
              </w:rPr>
            </w:pPr>
          </w:p>
        </w:tc>
      </w:tr>
      <w:tr w:rsidR="00CB013A">
        <w:trPr>
          <w:trHeight w:val="840"/>
        </w:trPr>
        <w:tc>
          <w:tcPr>
            <w:tcW w:type="dxa" w:w="3110"/>
          </w:tcPr>
          <w:p w:rsidR="00CB013A" w:rsidRDefault="00CB013A">
            <w:pPr>
              <w:rPr>
                <w:sz w:val="22"/>
                <w:szCs w:val="22"/>
                <w:highlight w:val="lightGray"/>
              </w:rPr>
            </w:pPr>
          </w:p>
          <w:p w:rsidR="00CB013A" w:rsidRDefault="00DB2A4C">
            <w:pPr>
              <w:rPr>
                <w:sz w:val="22"/>
                <w:szCs w:val="22"/>
                <w:highlight w:val="lightGray"/>
              </w:rPr>
            </w:pPr>
            <w:r>
              <w:rPr>
                <w:sz w:val="22"/>
                <w:szCs w:val="22"/>
              </w:rPr>
              <w:t xml:space="preserve">  Pour la CGT</w:t>
            </w:r>
          </w:p>
        </w:tc>
        <w:tc>
          <w:tcPr>
            <w:tcW w:type="dxa" w:w="3110"/>
          </w:tcPr>
          <w:p w:rsidR="00CB013A" w:rsidRDefault="00CB013A">
            <w:pPr>
              <w:rPr>
                <w:sz w:val="22"/>
                <w:szCs w:val="22"/>
              </w:rPr>
            </w:pPr>
          </w:p>
          <w:p w:rsidR="00CB013A" w:rsidRDefault="00DB2A4C">
            <w:pPr>
              <w:jc w:val="both"/>
              <w:rPr>
                <w:sz w:val="22"/>
                <w:szCs w:val="22"/>
              </w:rPr>
            </w:pPr>
            <w:r>
              <w:rPr>
                <w:sz w:val="22"/>
                <w:szCs w:val="22"/>
              </w:rPr>
              <w:t>XXXXXXX</w:t>
            </w:r>
          </w:p>
        </w:tc>
        <w:tc>
          <w:tcPr>
            <w:tcW w:type="dxa" w:w="3110"/>
          </w:tcPr>
          <w:p w:rsidR="00CB013A" w:rsidRDefault="00CB013A">
            <w:pPr>
              <w:rPr>
                <w:sz w:val="22"/>
                <w:szCs w:val="22"/>
                <w:highlight w:val="yellow"/>
              </w:rPr>
            </w:pPr>
          </w:p>
        </w:tc>
      </w:tr>
    </w:tbl>
    <w:p w:rsidR="00CB013A" w:rsidRDefault="00CB013A">
      <w:pPr>
        <w:tabs>
          <w:tab w:pos="4536" w:val="center"/>
          <w:tab w:pos="9072" w:val="right"/>
        </w:tabs>
        <w:spacing w:after="120"/>
        <w:jc w:val="both"/>
        <w:rPr>
          <w:rFonts w:ascii="Century Gothic" w:cs="Century Gothic" w:eastAsia="Century Gothic" w:hAnsi="Century Gothic"/>
          <w:sz w:val="22"/>
          <w:szCs w:val="22"/>
        </w:rPr>
      </w:pPr>
      <w:bookmarkStart w:colFirst="0" w:colLast="0" w:id="3" w:name="_heading=h.30j0zll"/>
      <w:bookmarkEnd w:id="3"/>
    </w:p>
    <w:p w:rsidR="00CB013A" w:rsidRDefault="00CB013A">
      <w:pPr>
        <w:pBdr>
          <w:top w:val="nil"/>
          <w:left w:val="nil"/>
          <w:bottom w:val="nil"/>
          <w:right w:val="nil"/>
          <w:between w:val="nil"/>
        </w:pBdr>
        <w:tabs>
          <w:tab w:pos="9923" w:val="left"/>
        </w:tabs>
        <w:spacing w:line="240" w:lineRule="auto"/>
        <w:ind w:right="-58"/>
        <w:jc w:val="both"/>
        <w:rPr>
          <w:rFonts w:ascii="BNPP Sans Light" w:cs="BNPP Sans Light" w:eastAsia="BNPP Sans Light" w:hAnsi="BNPP Sans Light"/>
          <w:color w:val="000000"/>
          <w:sz w:val="21"/>
          <w:szCs w:val="21"/>
        </w:rPr>
      </w:pPr>
    </w:p>
    <w:sectPr w:rsidR="00CB013A">
      <w:headerReference r:id="rId8" w:type="default"/>
      <w:footerReference r:id="rId9" w:type="default"/>
      <w:headerReference r:id="rId10" w:type="first"/>
      <w:footerReference r:id="rId11" w:type="first"/>
      <w:pgSz w:h="16840" w:w="11907"/>
      <w:pgMar w:bottom="1247" w:footer="510" w:gutter="0" w:header="851" w:left="1134" w:right="1134" w:top="1247"/>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A4C" w:rsidRDefault="00DB2A4C">
      <w:pPr>
        <w:spacing w:line="240" w:lineRule="auto"/>
      </w:pPr>
      <w:r>
        <w:separator/>
      </w:r>
    </w:p>
  </w:endnote>
  <w:endnote w:type="continuationSeparator" w:id="0">
    <w:p w:rsidR="00DB2A4C" w:rsidRDefault="00DB2A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NPP Sans Light">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w:charset w:val="00"/>
    <w:family w:val="swiss"/>
    <w:pitch w:val="variable"/>
    <w:sig w:usb0="E00002FF" w:usb1="4000001F" w:usb2="08000029"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BR-01T">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Corps C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CB013A" w:rsidRDefault="00DB2A4C">
    <w:pPr>
      <w:pBdr>
        <w:top w:val="nil"/>
        <w:left w:val="nil"/>
        <w:bottom w:val="nil"/>
        <w:right w:val="nil"/>
        <w:between w:val="nil"/>
      </w:pBdr>
      <w:tabs>
        <w:tab w:pos="4819" w:val="center"/>
        <w:tab w:pos="9071" w:val="right"/>
      </w:tabs>
      <w:spacing w:line="240" w:lineRule="auto"/>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sidR="008420F8">
      <w:rPr>
        <w:color w:val="000000"/>
        <w:sz w:val="16"/>
        <w:szCs w:val="16"/>
      </w:rPr>
      <w:fldChar w:fldCharType="separate"/>
    </w:r>
    <w:r w:rsidR="008420F8">
      <w:rPr>
        <w:noProof/>
        <w:color w:val="000000"/>
        <w:sz w:val="16"/>
        <w:szCs w:val="16"/>
      </w:rPr>
      <w:t>2</w:t>
    </w:r>
    <w:r>
      <w:rPr>
        <w:color w:val="000000"/>
        <w:sz w:val="16"/>
        <w:szCs w:val="16"/>
      </w:rPr>
      <w:fldChar w:fldCharType="end"/>
    </w:r>
    <w:r>
      <w:rPr>
        <w:color w:val="000000"/>
        <w:sz w:val="16"/>
        <w:szCs w:val="16"/>
      </w:rPr>
      <w:t xml:space="preserve"> sur </w:t>
    </w:r>
    <w:r>
      <w:rPr>
        <w:color w:val="000000"/>
        <w:sz w:val="16"/>
        <w:szCs w:val="16"/>
      </w:rPr>
      <w:fldChar w:fldCharType="begin"/>
    </w:r>
    <w:r>
      <w:rPr>
        <w:color w:val="000000"/>
        <w:sz w:val="16"/>
        <w:szCs w:val="16"/>
      </w:rPr>
      <w:instrText>NUMPAGES</w:instrText>
    </w:r>
    <w:r w:rsidR="008420F8">
      <w:rPr>
        <w:color w:val="000000"/>
        <w:sz w:val="16"/>
        <w:szCs w:val="16"/>
      </w:rPr>
      <w:fldChar w:fldCharType="separate"/>
    </w:r>
    <w:r w:rsidR="008420F8">
      <w:rPr>
        <w:noProof/>
        <w:color w:val="000000"/>
        <w:sz w:val="16"/>
        <w:szCs w:val="16"/>
      </w:rPr>
      <w:t>4</w:t>
    </w:r>
    <w:r>
      <w:rPr>
        <w:color w:val="000000"/>
        <w:sz w:val="16"/>
        <w:szCs w:val="16"/>
      </w:rPr>
      <w:fldChar w:fldCharType="end"/>
    </w: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CB013A" w:rsidRDefault="00DB2A4C">
    <w:pPr>
      <w:pBdr>
        <w:top w:val="nil"/>
        <w:left w:val="nil"/>
        <w:bottom w:val="nil"/>
        <w:right w:val="nil"/>
        <w:between w:val="nil"/>
      </w:pBdr>
      <w:tabs>
        <w:tab w:pos="4819" w:val="center"/>
        <w:tab w:pos="9071" w:val="right"/>
      </w:tabs>
      <w:spacing w:line="240" w:lineRule="auto"/>
      <w:jc w:val="center"/>
      <w:rPr>
        <w:i/>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sidR="008420F8">
      <w:rPr>
        <w:color w:val="000000"/>
        <w:sz w:val="16"/>
        <w:szCs w:val="16"/>
      </w:rPr>
      <w:fldChar w:fldCharType="separate"/>
    </w:r>
    <w:r w:rsidR="008420F8">
      <w:rPr>
        <w:noProof/>
        <w:color w:val="000000"/>
        <w:sz w:val="16"/>
        <w:szCs w:val="16"/>
      </w:rPr>
      <w:t>1</w:t>
    </w:r>
    <w:r>
      <w:rPr>
        <w:color w:val="000000"/>
        <w:sz w:val="16"/>
        <w:szCs w:val="16"/>
      </w:rPr>
      <w:fldChar w:fldCharType="end"/>
    </w:r>
    <w:r>
      <w:rPr>
        <w:color w:val="000000"/>
        <w:sz w:val="16"/>
        <w:szCs w:val="16"/>
      </w:rPr>
      <w:t xml:space="preserve"> sur </w:t>
    </w:r>
    <w:r>
      <w:rPr>
        <w:color w:val="000000"/>
        <w:sz w:val="16"/>
        <w:szCs w:val="16"/>
      </w:rPr>
      <w:fldChar w:fldCharType="begin"/>
    </w:r>
    <w:r>
      <w:rPr>
        <w:color w:val="000000"/>
        <w:sz w:val="16"/>
        <w:szCs w:val="16"/>
      </w:rPr>
      <w:instrText>NUMPAGES</w:instrText>
    </w:r>
    <w:r w:rsidR="008420F8">
      <w:rPr>
        <w:color w:val="000000"/>
        <w:sz w:val="16"/>
        <w:szCs w:val="16"/>
      </w:rPr>
      <w:fldChar w:fldCharType="separate"/>
    </w:r>
    <w:r w:rsidR="008420F8">
      <w:rPr>
        <w:noProof/>
        <w:color w:val="000000"/>
        <w:sz w:val="16"/>
        <w:szCs w:val="16"/>
      </w:rPr>
      <w:t>4</w:t>
    </w:r>
    <w:r>
      <w:rPr>
        <w:color w:val="000000"/>
        <w:sz w:val="16"/>
        <w:szCs w:val="16"/>
      </w:rPr>
      <w:fldChar w:fldCharType="end"/>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R="00DB2A4C" w:rsidRDefault="00DB2A4C">
      <w:pPr>
        <w:spacing w:line="240" w:lineRule="auto"/>
      </w:pPr>
      <w:r>
        <w:separator/>
      </w:r>
    </w:p>
  </w:footnote>
  <w:footnote w:id="0" w:type="continuationSeparator">
    <w:p w:rsidR="00DB2A4C" w:rsidRDefault="00DB2A4C">
      <w:pPr>
        <w:spacing w:line="240" w:lineRule="auto"/>
      </w:pPr>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CB013A" w:rsidRDefault="00CB013A">
    <w:pPr>
      <w:widowControl w:val="0"/>
      <w:pBdr>
        <w:top w:val="nil"/>
        <w:left w:val="nil"/>
        <w:bottom w:val="nil"/>
        <w:right w:val="nil"/>
        <w:between w:val="nil"/>
      </w:pBdr>
      <w:spacing w:line="276" w:lineRule="auto"/>
      <w:rPr>
        <w:color w:val="000000"/>
      </w:rPr>
    </w:pPr>
  </w:p>
  <w:tbl>
    <w:tblPr>
      <w:tblStyle w:val="a4"/>
      <w:tblW w:type="dxa" w:w="9630"/>
      <w:tblInd w:type="dxa" w:w="0"/>
      <w:tblLayout w:type="fixed"/>
      <w:tblLook w:firstColumn="0" w:firstRow="0" w:lastColumn="0" w:lastRow="0" w:noHBand="1" w:noVBand="1" w:val="0600"/>
    </w:tblPr>
    <w:tblGrid>
      <w:gridCol w:w="3210"/>
      <w:gridCol w:w="3210"/>
      <w:gridCol w:w="3210"/>
    </w:tblGrid>
    <w:tr w:rsidR="00CB013A">
      <w:tc>
        <w:tcPr>
          <w:tcW w:type="dxa" w:w="3210"/>
        </w:tcPr>
        <w:p w:rsidR="00CB013A" w:rsidRDefault="00CB013A">
          <w:pPr>
            <w:pBdr>
              <w:top w:val="nil"/>
              <w:left w:val="nil"/>
              <w:bottom w:val="nil"/>
              <w:right w:val="nil"/>
              <w:between w:val="nil"/>
            </w:pBdr>
            <w:tabs>
              <w:tab w:pos="4819" w:val="center"/>
              <w:tab w:pos="9071" w:val="right"/>
            </w:tabs>
            <w:spacing w:line="240" w:lineRule="auto"/>
            <w:ind w:left="-115"/>
            <w:rPr>
              <w:color w:val="000000"/>
            </w:rPr>
          </w:pPr>
        </w:p>
      </w:tc>
      <w:tc>
        <w:tcPr>
          <w:tcW w:type="dxa" w:w="3210"/>
        </w:tcPr>
        <w:p w:rsidR="00CB013A" w:rsidRDefault="00CB013A">
          <w:pPr>
            <w:pBdr>
              <w:top w:val="nil"/>
              <w:left w:val="nil"/>
              <w:bottom w:val="nil"/>
              <w:right w:val="nil"/>
              <w:between w:val="nil"/>
            </w:pBdr>
            <w:tabs>
              <w:tab w:pos="4819" w:val="center"/>
              <w:tab w:pos="9071" w:val="right"/>
            </w:tabs>
            <w:spacing w:line="240" w:lineRule="auto"/>
            <w:jc w:val="center"/>
            <w:rPr>
              <w:color w:val="000000"/>
            </w:rPr>
          </w:pPr>
        </w:p>
      </w:tc>
      <w:tc>
        <w:tcPr>
          <w:tcW w:type="dxa" w:w="3210"/>
        </w:tcPr>
        <w:p w:rsidR="00CB013A" w:rsidRDefault="00CB013A">
          <w:pPr>
            <w:pBdr>
              <w:top w:val="nil"/>
              <w:left w:val="nil"/>
              <w:bottom w:val="nil"/>
              <w:right w:val="nil"/>
              <w:between w:val="nil"/>
            </w:pBdr>
            <w:tabs>
              <w:tab w:pos="4819" w:val="center"/>
              <w:tab w:pos="9071" w:val="right"/>
            </w:tabs>
            <w:spacing w:line="240" w:lineRule="auto"/>
            <w:ind w:right="-115"/>
            <w:jc w:val="right"/>
            <w:rPr>
              <w:color w:val="000000"/>
            </w:rPr>
          </w:pPr>
        </w:p>
      </w:tc>
    </w:tr>
  </w:tbl>
  <w:p w:rsidR="00CB013A" w:rsidRDefault="00CB013A">
    <w:pPr>
      <w:pBdr>
        <w:top w:val="nil"/>
        <w:left w:val="nil"/>
        <w:bottom w:val="nil"/>
        <w:right w:val="nil"/>
        <w:between w:val="nil"/>
      </w:pBdr>
      <w:tabs>
        <w:tab w:pos="4819" w:val="center"/>
        <w:tab w:pos="9071" w:val="right"/>
      </w:tabs>
      <w:spacing w:line="240" w:lineRule="auto"/>
      <w:rPr>
        <w:color w:val="000000"/>
      </w:rPr>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CB013A" w:rsidRDefault="00CB013A">
    <w:pPr>
      <w:widowControl w:val="0"/>
      <w:pBdr>
        <w:top w:val="nil"/>
        <w:left w:val="nil"/>
        <w:bottom w:val="nil"/>
        <w:right w:val="nil"/>
        <w:between w:val="nil"/>
      </w:pBdr>
      <w:spacing w:line="276" w:lineRule="auto"/>
      <w:rPr>
        <w:rFonts w:ascii="BNPP Sans Light" w:cs="BNPP Sans Light" w:eastAsia="BNPP Sans Light" w:hAnsi="BNPP Sans Light"/>
        <w:color w:val="000000"/>
        <w:sz w:val="16"/>
        <w:szCs w:val="16"/>
      </w:rPr>
    </w:pPr>
  </w:p>
  <w:tbl>
    <w:tblPr>
      <w:tblStyle w:val="a3"/>
      <w:tblW w:type="dxa" w:w="9630"/>
      <w:tblInd w:type="dxa" w:w="0"/>
      <w:tblLayout w:type="fixed"/>
      <w:tblLook w:firstColumn="0" w:firstRow="0" w:lastColumn="0" w:lastRow="0" w:noHBand="1" w:noVBand="1" w:val="0600"/>
    </w:tblPr>
    <w:tblGrid>
      <w:gridCol w:w="3210"/>
      <w:gridCol w:w="3210"/>
      <w:gridCol w:w="3210"/>
    </w:tblGrid>
    <w:tr w:rsidR="00CB013A">
      <w:tc>
        <w:tcPr>
          <w:tcW w:type="dxa" w:w="3210"/>
        </w:tcPr>
        <w:p w:rsidR="00CB013A" w:rsidRDefault="00CB013A">
          <w:pPr>
            <w:pBdr>
              <w:top w:val="nil"/>
              <w:left w:val="nil"/>
              <w:bottom w:val="nil"/>
              <w:right w:val="nil"/>
              <w:between w:val="nil"/>
            </w:pBdr>
            <w:tabs>
              <w:tab w:pos="4819" w:val="center"/>
              <w:tab w:pos="9071" w:val="right"/>
            </w:tabs>
            <w:spacing w:line="240" w:lineRule="auto"/>
            <w:ind w:left="-115"/>
            <w:rPr>
              <w:color w:val="000000"/>
            </w:rPr>
          </w:pPr>
        </w:p>
      </w:tc>
      <w:tc>
        <w:tcPr>
          <w:tcW w:type="dxa" w:w="3210"/>
        </w:tcPr>
        <w:p w:rsidR="00CB013A" w:rsidRDefault="00CB013A">
          <w:pPr>
            <w:pBdr>
              <w:top w:val="nil"/>
              <w:left w:val="nil"/>
              <w:bottom w:val="nil"/>
              <w:right w:val="nil"/>
              <w:between w:val="nil"/>
            </w:pBdr>
            <w:tabs>
              <w:tab w:pos="4819" w:val="center"/>
              <w:tab w:pos="9071" w:val="right"/>
            </w:tabs>
            <w:spacing w:line="240" w:lineRule="auto"/>
            <w:jc w:val="center"/>
            <w:rPr>
              <w:color w:val="000000"/>
            </w:rPr>
          </w:pPr>
        </w:p>
      </w:tc>
      <w:tc>
        <w:tcPr>
          <w:tcW w:type="dxa" w:w="3210"/>
        </w:tcPr>
        <w:p w:rsidR="00CB013A" w:rsidRDefault="00CB013A">
          <w:pPr>
            <w:pBdr>
              <w:top w:val="nil"/>
              <w:left w:val="nil"/>
              <w:bottom w:val="nil"/>
              <w:right w:val="nil"/>
              <w:between w:val="nil"/>
            </w:pBdr>
            <w:tabs>
              <w:tab w:pos="4819" w:val="center"/>
              <w:tab w:pos="9071" w:val="right"/>
            </w:tabs>
            <w:spacing w:line="240" w:lineRule="auto"/>
            <w:ind w:right="-115"/>
            <w:jc w:val="right"/>
            <w:rPr>
              <w:color w:val="000000"/>
            </w:rPr>
          </w:pPr>
        </w:p>
      </w:tc>
    </w:tr>
  </w:tbl>
  <w:p w:rsidR="00CB013A" w:rsidRDefault="00CB013A">
    <w:pPr>
      <w:pBdr>
        <w:top w:val="nil"/>
        <w:left w:val="nil"/>
        <w:bottom w:val="nil"/>
        <w:right w:val="nil"/>
        <w:between w:val="nil"/>
      </w:pBdr>
      <w:tabs>
        <w:tab w:pos="4819" w:val="center"/>
        <w:tab w:pos="9071" w:val="right"/>
      </w:tabs>
      <w:spacing w:line="240" w:lineRule="auto"/>
      <w:rPr>
        <w:color w:val="000000"/>
      </w:rP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3A74D21"/>
    <w:multiLevelType w:val="multilevel"/>
    <w:tmpl w:val="5DE6D274"/>
    <w:lvl w:ilvl="0">
      <w:numFmt w:val="bullet"/>
      <w:lvlText w:val="-"/>
      <w:lvlJc w:val="left"/>
      <w:pPr>
        <w:ind w:hanging="360" w:left="720"/>
      </w:pPr>
      <w:rPr>
        <w:rFonts w:ascii="BNPP Sans Light" w:cs="BNPP Sans Light" w:eastAsia="BNPP Sans Light" w:hAnsi="BNPP Sans Light"/>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w:cs="Noto Sans" w:eastAsia="Noto Sans" w:hAnsi="Noto Sans"/>
      </w:rPr>
    </w:lvl>
    <w:lvl w:ilvl="3">
      <w:start w:val="1"/>
      <w:numFmt w:val="bullet"/>
      <w:lvlText w:val="●"/>
      <w:lvlJc w:val="left"/>
      <w:pPr>
        <w:ind w:hanging="360" w:left="2880"/>
      </w:pPr>
      <w:rPr>
        <w:rFonts w:ascii="Noto Sans" w:cs="Noto Sans" w:eastAsia="Noto Sans" w:hAnsi="Noto San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w:cs="Noto Sans" w:eastAsia="Noto Sans" w:hAnsi="Noto Sans"/>
      </w:rPr>
    </w:lvl>
    <w:lvl w:ilvl="6">
      <w:start w:val="1"/>
      <w:numFmt w:val="bullet"/>
      <w:lvlText w:val="●"/>
      <w:lvlJc w:val="left"/>
      <w:pPr>
        <w:ind w:hanging="360" w:left="5040"/>
      </w:pPr>
      <w:rPr>
        <w:rFonts w:ascii="Noto Sans" w:cs="Noto Sans" w:eastAsia="Noto Sans" w:hAnsi="Noto San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w:cs="Noto Sans" w:eastAsia="Noto Sans" w:hAnsi="Noto Sans"/>
      </w:rPr>
    </w:lvl>
  </w:abstractNum>
  <w:abstractNum w15:restartNumberingAfterBreak="0" w:abstractNumId="1">
    <w:nsid w:val="2D7D53F8"/>
    <w:multiLevelType w:val="multilevel"/>
    <w:tmpl w:val="503EDE44"/>
    <w:lvl w:ilvl="0">
      <w:start w:val="1"/>
      <w:numFmt w:val="decimal"/>
      <w:pStyle w:val="PuceN1"/>
      <w:lvlText w:val="%1."/>
      <w:lvlJc w:val="left"/>
      <w:pPr>
        <w:tabs>
          <w:tab w:pos="720" w:val="num"/>
        </w:tabs>
        <w:ind w:hanging="720" w:left="720"/>
      </w:pPr>
    </w:lvl>
    <w:lvl w:ilvl="1">
      <w:start w:val="1"/>
      <w:numFmt w:val="decimal"/>
      <w:pStyle w:val="PuceN2"/>
      <w:lvlText w:val="%2."/>
      <w:lvlJc w:val="left"/>
      <w:pPr>
        <w:tabs>
          <w:tab w:pos="1440" w:val="num"/>
        </w:tabs>
        <w:ind w:hanging="720" w:left="1440"/>
      </w:pPr>
    </w:lvl>
    <w:lvl w:ilvl="2">
      <w:start w:val="1"/>
      <w:numFmt w:val="decimal"/>
      <w:pStyle w:val="PuceN3"/>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num w:numId="1">
    <w:abstractNumId w:val="0"/>
  </w:num>
  <w:num w:numId="2">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3A"/>
    <w:rsid w:val="008420F8"/>
    <w:rsid w:val="00CB013A"/>
    <w:rsid w:val="00DB2A4C"/>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5:docId w15:val="{711C5C8C-1DBF-42BE-B32F-5328ED0FF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Arial" w:eastAsia="Arial" w:hAnsi="Arial"/>
        <w:lang w:bidi="ar-SA" w:eastAsia="fr-FR" w:val="fr-FR"/>
      </w:rPr>
    </w:rPrDefault>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965FB"/>
    <w:pPr>
      <w:spacing w:line="240" w:lineRule="exact"/>
    </w:pPr>
  </w:style>
  <w:style w:styleId="Titre1" w:type="paragraph">
    <w:name w:val="heading 1"/>
    <w:basedOn w:val="Normal"/>
    <w:next w:val="Normal"/>
    <w:pPr>
      <w:keepNext/>
      <w:keepLines/>
      <w:spacing w:after="120" w:before="480"/>
      <w:outlineLvl w:val="0"/>
    </w:pPr>
    <w:rPr>
      <w:b/>
      <w:sz w:val="48"/>
      <w:szCs w:val="48"/>
    </w:rPr>
  </w:style>
  <w:style w:styleId="Titre2" w:type="paragraph">
    <w:name w:val="heading 2"/>
    <w:basedOn w:val="Normal"/>
    <w:next w:val="Normal"/>
    <w:pPr>
      <w:keepNext/>
      <w:keepLines/>
      <w:spacing w:after="80" w:before="360"/>
      <w:outlineLvl w:val="1"/>
    </w:pPr>
    <w:rPr>
      <w:b/>
      <w:sz w:val="36"/>
      <w:szCs w:val="36"/>
    </w:rPr>
  </w:style>
  <w:style w:styleId="Titre3" w:type="paragraph">
    <w:name w:val="heading 3"/>
    <w:basedOn w:val="Normal"/>
    <w:next w:val="Normal"/>
    <w:pPr>
      <w:keepNext/>
      <w:keepLines/>
      <w:spacing w:after="80" w:before="280"/>
      <w:outlineLvl w:val="2"/>
    </w:pPr>
    <w:rPr>
      <w:b/>
      <w:sz w:val="28"/>
      <w:szCs w:val="28"/>
    </w:rPr>
  </w:style>
  <w:style w:styleId="Titre4" w:type="paragraph">
    <w:name w:val="heading 4"/>
    <w:basedOn w:val="Normal"/>
    <w:next w:val="Normal"/>
    <w:pPr>
      <w:keepNext/>
      <w:keepLines/>
      <w:spacing w:after="40" w:before="240"/>
      <w:outlineLvl w:val="3"/>
    </w:pPr>
    <w:rPr>
      <w:b/>
      <w:sz w:val="24"/>
      <w:szCs w:val="24"/>
    </w:rPr>
  </w:style>
  <w:style w:styleId="Titre5" w:type="paragraph">
    <w:name w:val="heading 5"/>
    <w:basedOn w:val="Normal"/>
    <w:next w:val="Normal"/>
    <w:pPr>
      <w:keepNext/>
      <w:keepLines/>
      <w:spacing w:after="40" w:before="220"/>
      <w:outlineLvl w:val="4"/>
    </w:pPr>
    <w:rPr>
      <w:b/>
      <w:sz w:val="22"/>
      <w:szCs w:val="22"/>
    </w:rPr>
  </w:style>
  <w:style w:styleId="Titre6" w:type="paragraph">
    <w:name w:val="heading 6"/>
    <w:basedOn w:val="Normal"/>
    <w:next w:val="Normal"/>
    <w:pPr>
      <w:keepNext/>
      <w:keepLines/>
      <w:spacing w:after="40" w:before="200"/>
      <w:outlineLvl w:val="5"/>
    </w:pPr>
    <w:rPr>
      <w:b/>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ableNormal" w:type="table">
    <w:name w:val="Table Normal"/>
    <w:tblPr>
      <w:tblCellMar>
        <w:top w:type="dxa" w:w="0"/>
        <w:left w:type="dxa" w:w="0"/>
        <w:bottom w:type="dxa" w:w="0"/>
        <w:right w:type="dxa" w:w="0"/>
      </w:tblCellMar>
    </w:tblPr>
  </w:style>
  <w:style w:styleId="Titre" w:type="paragraph">
    <w:name w:val="Title"/>
    <w:basedOn w:val="Normal"/>
    <w:next w:val="Normal"/>
    <w:pPr>
      <w:keepNext/>
      <w:keepLines/>
      <w:spacing w:after="120" w:before="480"/>
    </w:pPr>
    <w:rPr>
      <w:b/>
      <w:sz w:val="72"/>
      <w:szCs w:val="72"/>
    </w:rPr>
  </w:style>
  <w:style w:customStyle="1" w:styleId="TableNormal0" w:type="table">
    <w:name w:val="Table Normal"/>
    <w:tblPr>
      <w:tblCellMar>
        <w:top w:type="dxa" w:w="0"/>
        <w:left w:type="dxa" w:w="0"/>
        <w:bottom w:type="dxa" w:w="0"/>
        <w:right w:type="dxa" w:w="0"/>
      </w:tblCellMar>
    </w:tblPr>
  </w:style>
  <w:style w:styleId="Appeldenotedefin" w:type="character">
    <w:name w:val="endnote reference"/>
    <w:semiHidden/>
    <w:rPr>
      <w:vertAlign w:val="superscript"/>
    </w:rPr>
  </w:style>
  <w:style w:styleId="Pieddepage" w:type="paragraph">
    <w:name w:val="footer"/>
    <w:basedOn w:val="Normal"/>
    <w:pPr>
      <w:tabs>
        <w:tab w:pos="4819" w:val="center"/>
        <w:tab w:pos="9071" w:val="right"/>
      </w:tabs>
    </w:pPr>
  </w:style>
  <w:style w:styleId="En-tte" w:type="paragraph">
    <w:name w:val="header"/>
    <w:basedOn w:val="Normal"/>
    <w:link w:val="En-tteCar"/>
    <w:uiPriority w:val="99"/>
    <w:pPr>
      <w:tabs>
        <w:tab w:pos="4819" w:val="center"/>
        <w:tab w:pos="9071" w:val="right"/>
      </w:tabs>
    </w:pPr>
  </w:style>
  <w:style w:styleId="Appelnotedebasdep" w:type="character">
    <w:name w:val="footnote reference"/>
    <w:semiHidden/>
    <w:rPr>
      <w:position w:val="6"/>
      <w:sz w:val="16"/>
    </w:rPr>
  </w:style>
  <w:style w:styleId="Notedebasdepage" w:type="paragraph">
    <w:name w:val="footnote text"/>
    <w:basedOn w:val="Normal"/>
    <w:link w:val="NotedebasdepageCar"/>
    <w:semiHidden/>
  </w:style>
  <w:style w:styleId="Corpsdetexte" w:type="paragraph">
    <w:name w:val="Body Text"/>
    <w:basedOn w:val="Normal"/>
    <w:pPr>
      <w:spacing w:line="240" w:lineRule="auto"/>
      <w:jc w:val="both"/>
    </w:pPr>
  </w:style>
  <w:style w:styleId="Textedebulles" w:type="paragraph">
    <w:name w:val="Balloon Text"/>
    <w:basedOn w:val="Normal"/>
    <w:semiHidden/>
    <w:rsid w:val="00954AFD"/>
    <w:rPr>
      <w:rFonts w:ascii="Tahoma" w:cs="Tahoma" w:hAnsi="Tahoma"/>
      <w:sz w:val="16"/>
      <w:szCs w:val="16"/>
    </w:rPr>
  </w:style>
  <w:style w:customStyle="1" w:styleId="CharChar1" w:type="paragraph">
    <w:name w:val="Char Char1"/>
    <w:basedOn w:val="Normal"/>
    <w:semiHidden/>
    <w:rsid w:val="004E355D"/>
    <w:pPr>
      <w:spacing w:after="160"/>
      <w:jc w:val="both"/>
    </w:pPr>
    <w:rPr>
      <w:rFonts w:ascii="Verdana" w:hAnsi="Verdana"/>
      <w:lang w:val="en-US"/>
    </w:rPr>
  </w:style>
  <w:style w:styleId="Retraitcorpsdetexte" w:type="paragraph">
    <w:name w:val="Body Text Indent"/>
    <w:basedOn w:val="Normal"/>
    <w:link w:val="RetraitcorpsdetexteCar"/>
    <w:rsid w:val="00C24D8A"/>
    <w:pPr>
      <w:spacing w:after="120"/>
      <w:ind w:left="283"/>
    </w:pPr>
  </w:style>
  <w:style w:customStyle="1" w:styleId="Default" w:type="paragraph">
    <w:name w:val="Default"/>
    <w:rsid w:val="007C4969"/>
    <w:pPr>
      <w:autoSpaceDE w:val="0"/>
      <w:autoSpaceDN w:val="0"/>
      <w:adjustRightInd w:val="0"/>
    </w:pPr>
    <w:rPr>
      <w:rFonts w:ascii="Arial Narrow" w:cs="Arial Narrow" w:hAnsi="Arial Narrow"/>
      <w:color w:val="000000"/>
      <w:sz w:val="24"/>
      <w:szCs w:val="24"/>
    </w:rPr>
  </w:style>
  <w:style w:styleId="Corpsdetexte2" w:type="paragraph">
    <w:name w:val="Body Text 2"/>
    <w:basedOn w:val="Normal"/>
    <w:rsid w:val="00FA00F7"/>
    <w:pPr>
      <w:spacing w:after="120" w:line="480" w:lineRule="auto"/>
    </w:pPr>
    <w:rPr>
      <w:sz w:val="24"/>
      <w:lang w:eastAsia="ja-JP"/>
    </w:rPr>
  </w:style>
  <w:style w:styleId="Grilledutableau" w:type="table">
    <w:name w:val="Table Grid"/>
    <w:basedOn w:val="TableauNormal"/>
    <w:rsid w:val="00FA00F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En-tteCar" w:type="character">
    <w:name w:val="En-tête Car"/>
    <w:link w:val="En-tte"/>
    <w:uiPriority w:val="99"/>
    <w:locked/>
    <w:rsid w:val="00030B47"/>
    <w:rPr>
      <w:rFonts w:ascii="Arial" w:hAnsi="Arial"/>
      <w:lang w:bidi="ar-SA" w:eastAsia="fr-FR" w:val="fr-FR"/>
    </w:rPr>
  </w:style>
  <w:style w:customStyle="1" w:styleId="NormalArialCarCarCar" w:type="paragraph">
    <w:name w:val="Normal + Arial Car Car Car"/>
    <w:basedOn w:val="Normal"/>
    <w:semiHidden/>
    <w:rsid w:val="001F1522"/>
    <w:pPr>
      <w:spacing w:after="160"/>
      <w:jc w:val="both"/>
    </w:pPr>
    <w:rPr>
      <w:rFonts w:cs="Arial Unicode MS"/>
      <w:lang w:val="en-US"/>
    </w:rPr>
  </w:style>
  <w:style w:styleId="Corpsdetexte3" w:type="paragraph">
    <w:name w:val="Body Text 3"/>
    <w:basedOn w:val="Normal"/>
    <w:rsid w:val="001429F4"/>
    <w:pPr>
      <w:spacing w:after="120"/>
    </w:pPr>
    <w:rPr>
      <w:sz w:val="16"/>
      <w:szCs w:val="16"/>
    </w:rPr>
  </w:style>
  <w:style w:customStyle="1" w:styleId="NormalArial" w:type="paragraph">
    <w:name w:val="Normal + Arial"/>
    <w:basedOn w:val="Normal"/>
    <w:semiHidden/>
    <w:rsid w:val="00F42486"/>
    <w:pPr>
      <w:spacing w:after="160"/>
      <w:jc w:val="both"/>
    </w:pPr>
    <w:rPr>
      <w:rFonts w:cs="Arial Unicode MS"/>
      <w:lang w:val="en-US"/>
    </w:rPr>
  </w:style>
  <w:style w:customStyle="1" w:styleId="CarCarCarCarCar" w:type="paragraph">
    <w:name w:val="Car Car Car Car Car"/>
    <w:basedOn w:val="Normal"/>
    <w:semiHidden/>
    <w:rsid w:val="00A9121F"/>
    <w:pPr>
      <w:spacing w:after="160"/>
      <w:jc w:val="both"/>
    </w:pPr>
    <w:rPr>
      <w:rFonts w:ascii="Verdana" w:hAnsi="Verdana"/>
      <w:lang w:val="en-US"/>
    </w:rPr>
  </w:style>
  <w:style w:styleId="NormalWeb" w:type="paragraph">
    <w:name w:val="Normal (Web)"/>
    <w:basedOn w:val="Normal"/>
    <w:uiPriority w:val="99"/>
    <w:semiHidden/>
    <w:unhideWhenUsed/>
    <w:rsid w:val="008431B8"/>
    <w:pPr>
      <w:spacing w:after="100" w:afterAutospacing="1" w:before="100" w:beforeAutospacing="1" w:line="240" w:lineRule="auto"/>
    </w:pPr>
    <w:rPr>
      <w:rFonts w:ascii="Times New Roman" w:hAnsi="Times New Roman"/>
      <w:sz w:val="24"/>
      <w:szCs w:val="24"/>
    </w:rPr>
  </w:style>
  <w:style w:styleId="Lienhypertexte" w:type="character">
    <w:name w:val="Hyperlink"/>
    <w:uiPriority w:val="99"/>
    <w:unhideWhenUsed/>
    <w:rsid w:val="008431B8"/>
    <w:rPr>
      <w:color w:val="0000FF"/>
      <w:u w:val="single"/>
    </w:rPr>
  </w:style>
  <w:style w:customStyle="1" w:styleId="Standard" w:type="paragraph">
    <w:name w:val="Standard"/>
    <w:rsid w:val="00F62DE3"/>
    <w:pPr>
      <w:ind w:right="-1"/>
      <w:jc w:val="both"/>
    </w:pPr>
    <w:rPr>
      <w:rFonts w:ascii="BR-01T" w:hAnsi="BR-01T"/>
      <w:noProof/>
    </w:rPr>
  </w:style>
  <w:style w:customStyle="1" w:styleId="Corpsdetexte21" w:type="paragraph">
    <w:name w:val="Corps de texte 21"/>
    <w:basedOn w:val="Normal"/>
    <w:rsid w:val="00B17B12"/>
    <w:pPr>
      <w:tabs>
        <w:tab w:pos="3686" w:val="left"/>
      </w:tabs>
      <w:spacing w:line="240" w:lineRule="auto"/>
      <w:jc w:val="both"/>
    </w:pPr>
    <w:rPr>
      <w:rFonts w:ascii="Times New Roman" w:hAnsi="Times New Roman"/>
      <w:sz w:val="24"/>
      <w:lang w:eastAsia="ja-JP"/>
    </w:rPr>
  </w:style>
  <w:style w:customStyle="1" w:styleId="CarCar" w:type="paragraph">
    <w:name w:val="Car Car"/>
    <w:basedOn w:val="Normal"/>
    <w:semiHidden/>
    <w:rsid w:val="00B17B12"/>
    <w:pPr>
      <w:spacing w:after="160"/>
      <w:jc w:val="both"/>
    </w:pPr>
    <w:rPr>
      <w:rFonts w:ascii="Verdana" w:hAnsi="Verdana"/>
      <w:lang w:val="en-US"/>
    </w:rPr>
  </w:style>
  <w:style w:customStyle="1" w:styleId="NotedebasdepageCar" w:type="character">
    <w:name w:val="Note de bas de page Car"/>
    <w:link w:val="Notedebasdepage"/>
    <w:semiHidden/>
    <w:rsid w:val="00B07BD4"/>
    <w:rPr>
      <w:rFonts w:ascii="Arial" w:hAnsi="Arial"/>
    </w:rPr>
  </w:style>
  <w:style w:styleId="Numrodepage" w:type="character">
    <w:name w:val="page number"/>
    <w:rsid w:val="009005D1"/>
  </w:style>
  <w:style w:styleId="Commentaire" w:type="paragraph">
    <w:name w:val="annotation text"/>
    <w:basedOn w:val="Normal"/>
    <w:link w:val="CommentaireCar"/>
    <w:uiPriority w:val="99"/>
    <w:semiHidden/>
    <w:rsid w:val="009005D1"/>
    <w:pPr>
      <w:spacing w:line="240" w:lineRule="auto"/>
    </w:pPr>
    <w:rPr>
      <w:rFonts w:ascii="Times New Roman" w:hAnsi="Times New Roman"/>
      <w:lang w:eastAsia="ja-JP"/>
    </w:rPr>
  </w:style>
  <w:style w:customStyle="1" w:styleId="CommentaireCar" w:type="character">
    <w:name w:val="Commentaire Car"/>
    <w:link w:val="Commentaire"/>
    <w:uiPriority w:val="99"/>
    <w:semiHidden/>
    <w:rsid w:val="009005D1"/>
    <w:rPr>
      <w:lang w:eastAsia="ja-JP"/>
    </w:rPr>
  </w:style>
  <w:style w:styleId="Marquedecommentaire" w:type="character">
    <w:name w:val="annotation reference"/>
    <w:uiPriority w:val="99"/>
    <w:semiHidden/>
    <w:rsid w:val="009005D1"/>
    <w:rPr>
      <w:sz w:val="16"/>
      <w:szCs w:val="16"/>
    </w:rPr>
  </w:style>
  <w:style w:styleId="Objetducommentaire" w:type="paragraph">
    <w:name w:val="annotation subject"/>
    <w:basedOn w:val="Commentaire"/>
    <w:next w:val="Commentaire"/>
    <w:link w:val="ObjetducommentaireCar"/>
    <w:uiPriority w:val="99"/>
    <w:semiHidden/>
    <w:unhideWhenUsed/>
    <w:rsid w:val="000C5BFA"/>
    <w:pPr>
      <w:spacing w:line="240" w:lineRule="exact"/>
    </w:pPr>
    <w:rPr>
      <w:rFonts w:ascii="Arial" w:hAnsi="Arial"/>
      <w:b/>
      <w:bCs/>
      <w:lang w:eastAsia="fr-FR"/>
    </w:rPr>
  </w:style>
  <w:style w:customStyle="1" w:styleId="ObjetducommentaireCar" w:type="character">
    <w:name w:val="Objet du commentaire Car"/>
    <w:link w:val="Objetducommentaire"/>
    <w:uiPriority w:val="99"/>
    <w:semiHidden/>
    <w:rsid w:val="000C5BFA"/>
    <w:rPr>
      <w:rFonts w:ascii="Arial" w:hAnsi="Arial"/>
      <w:b/>
      <w:bCs/>
      <w:lang w:eastAsia="ja-JP"/>
    </w:rPr>
  </w:style>
  <w:style w:styleId="Paragraphedeliste" w:type="paragraph">
    <w:name w:val="List Paragraph"/>
    <w:basedOn w:val="Normal"/>
    <w:uiPriority w:val="34"/>
    <w:qFormat/>
    <w:rsid w:val="000C5BFA"/>
    <w:pPr>
      <w:spacing w:line="240" w:lineRule="auto"/>
      <w:ind w:left="720"/>
    </w:pPr>
    <w:rPr>
      <w:rFonts w:ascii="Calibri" w:eastAsia="SimSun" w:hAnsi="Calibri"/>
      <w:sz w:val="22"/>
      <w:szCs w:val="22"/>
      <w:lang w:eastAsia="zh-CN"/>
    </w:rPr>
  </w:style>
  <w:style w:customStyle="1" w:styleId="RetraitcorpsdetexteCar" w:type="character">
    <w:name w:val="Retrait corps de texte Car"/>
    <w:link w:val="Retraitcorpsdetexte"/>
    <w:rsid w:val="00F23BC9"/>
    <w:rPr>
      <w:rFonts w:ascii="Arial" w:hAnsi="Arial"/>
    </w:rPr>
  </w:style>
  <w:style w:customStyle="1" w:styleId="P1justifi" w:type="paragraph">
    <w:name w:val="P1 (justifié)"/>
    <w:rsid w:val="00895839"/>
    <w:pPr>
      <w:spacing w:before="360" w:line="240" w:lineRule="exact"/>
      <w:jc w:val="both"/>
    </w:pPr>
    <w:rPr>
      <w:lang w:eastAsia="ja-JP"/>
    </w:rPr>
  </w:style>
  <w:style w:customStyle="1" w:styleId="Mentionnonrsolue1" w:type="character">
    <w:name w:val="Mention non résolue1"/>
    <w:uiPriority w:val="99"/>
    <w:semiHidden/>
    <w:unhideWhenUsed/>
    <w:rsid w:val="00122118"/>
    <w:rPr>
      <w:color w:val="605E5C"/>
      <w:shd w:color="auto" w:fill="E1DFDD" w:val="clear"/>
    </w:rPr>
  </w:style>
  <w:style w:customStyle="1" w:styleId="PuceN1" w:type="paragraph">
    <w:name w:val="Puce N1"/>
    <w:basedOn w:val="Normal"/>
    <w:uiPriority w:val="4"/>
    <w:qFormat/>
    <w:rsid w:val="008F3299"/>
    <w:pPr>
      <w:widowControl w:val="0"/>
      <w:numPr>
        <w:numId w:val="2"/>
      </w:numPr>
      <w:spacing w:before="48" w:line="276" w:lineRule="auto"/>
    </w:pPr>
    <w:rPr>
      <w:rFonts w:cs="Times New Roman (Corps CS)" w:eastAsia="BNPP Sans Light"/>
      <w:lang w:eastAsia="en-US"/>
    </w:rPr>
  </w:style>
  <w:style w:customStyle="1" w:styleId="PuceN2" w:type="paragraph">
    <w:name w:val="Puce N2"/>
    <w:basedOn w:val="Normal"/>
    <w:uiPriority w:val="4"/>
    <w:qFormat/>
    <w:rsid w:val="008F3299"/>
    <w:pPr>
      <w:widowControl w:val="0"/>
      <w:numPr>
        <w:ilvl w:val="1"/>
        <w:numId w:val="2"/>
      </w:numPr>
      <w:spacing w:before="48" w:line="276" w:lineRule="auto"/>
    </w:pPr>
    <w:rPr>
      <w:rFonts w:cs="Times New Roman (Corps CS)" w:eastAsia="BNPP Sans Light"/>
      <w:szCs w:val="18"/>
      <w:lang w:eastAsia="en-US"/>
    </w:rPr>
  </w:style>
  <w:style w:customStyle="1" w:styleId="PuceN3" w:type="paragraph">
    <w:name w:val="Puce N3"/>
    <w:basedOn w:val="Corpsdetexte"/>
    <w:uiPriority w:val="4"/>
    <w:qFormat/>
    <w:rsid w:val="008F3299"/>
    <w:pPr>
      <w:numPr>
        <w:ilvl w:val="2"/>
        <w:numId w:val="2"/>
      </w:numPr>
      <w:spacing w:before="48" w:line="276" w:lineRule="auto"/>
      <w:jc w:val="left"/>
    </w:pPr>
    <w:rPr>
      <w:rFonts w:cs="Times New Roman (Corps CS)" w:eastAsia="BNPP Sans Light"/>
      <w:lang w:eastAsia="en-US"/>
    </w:rPr>
  </w:style>
  <w:style w:styleId="Sous-titre" w:type="paragraph">
    <w:name w:val="Subtitle"/>
    <w:basedOn w:val="Normal"/>
    <w:next w:val="Normal"/>
    <w:pPr>
      <w:keepNext/>
      <w:keepLines/>
      <w:spacing w:after="80" w:before="360"/>
    </w:pPr>
    <w:rPr>
      <w:rFonts w:ascii="Georgia" w:cs="Georgia" w:eastAsia="Georgia" w:hAnsi="Georgia"/>
      <w:i/>
      <w:color w:val="666666"/>
      <w:sz w:val="48"/>
      <w:szCs w:val="48"/>
    </w:rPr>
  </w:style>
  <w:style w:customStyle="1" w:styleId="a" w:type="table">
    <w:basedOn w:val="TableNormal0"/>
    <w:tblPr>
      <w:tblStyleRowBandSize w:val="1"/>
      <w:tblStyleColBandSize w:val="1"/>
      <w:tblCellMar>
        <w:top w:type="dxa" w:w="0"/>
        <w:left w:type="dxa" w:w="70"/>
        <w:bottom w:type="dxa" w:w="0"/>
        <w:right w:type="dxa" w:w="70"/>
      </w:tblCellMar>
    </w:tblPr>
  </w:style>
  <w:style w:customStyle="1" w:styleId="a0" w:type="table">
    <w:basedOn w:val="TableNormal0"/>
    <w:tblPr>
      <w:tblStyleRowBandSize w:val="1"/>
      <w:tblStyleColBandSize w:val="1"/>
      <w:tblCellMar>
        <w:top w:type="dxa" w:w="0"/>
        <w:left w:type="dxa" w:w="115"/>
        <w:bottom w:type="dxa" w:w="0"/>
        <w:right w:type="dxa" w:w="115"/>
      </w:tblCellMar>
    </w:tblPr>
  </w:style>
  <w:style w:customStyle="1" w:styleId="a1" w:type="table">
    <w:basedOn w:val="TableNormal0"/>
    <w:tblPr>
      <w:tblStyleRowBandSize w:val="1"/>
      <w:tblStyleColBandSize w:val="1"/>
      <w:tblCellMar>
        <w:top w:type="dxa" w:w="0"/>
        <w:left w:type="dxa" w:w="115"/>
        <w:bottom w:type="dxa" w:w="0"/>
        <w:right w:type="dxa" w:w="115"/>
      </w:tblCellMar>
    </w:tblPr>
  </w:style>
  <w:style w:customStyle="1" w:styleId="a2" w:type="table">
    <w:basedOn w:val="TableNormal0"/>
    <w:tblPr>
      <w:tblStyleRowBandSize w:val="1"/>
      <w:tblStyleColBandSize w:val="1"/>
      <w:tblCellMar>
        <w:top w:type="dxa" w:w="0"/>
        <w:left w:type="dxa" w:w="115"/>
        <w:bottom w:type="dxa" w:w="0"/>
        <w:right w:type="dxa" w:w="115"/>
      </w:tblCellMar>
    </w:tblPr>
  </w:style>
  <w:style w:customStyle="1" w:styleId="a3" w:type="table">
    <w:basedOn w:val="TableNormal0"/>
    <w:tblPr>
      <w:tblStyleRowBandSize w:val="1"/>
      <w:tblStyleColBandSize w:val="1"/>
      <w:tblCellMar>
        <w:top w:type="dxa" w:w="0"/>
        <w:left w:type="dxa" w:w="115"/>
        <w:bottom w:type="dxa" w:w="0"/>
        <w:right w:type="dxa" w:w="115"/>
      </w:tblCellMar>
    </w:tblPr>
  </w:style>
  <w:style w:customStyle="1" w:styleId="a4" w:type="table">
    <w:basedOn w:val="TableNormal0"/>
    <w:tblPr>
      <w:tblStyleRowBandSize w:val="1"/>
      <w:tblStyleColBandSize w:val="1"/>
      <w:tblCellMar>
        <w:top w:type="dxa" w:w="0"/>
        <w:left w:type="dxa" w:w="115"/>
        <w:bottom w:type="dxa" w:w="0"/>
        <w:right w:type="dxa" w:w="115"/>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2.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jVWscBvu1XZI9C8wIv4xPUZwmQ==">AMUW2mUt5X+3+TRCNO193FYpA0gGx6N35sDa2wpJchueBnPnuvCWGzrrL3+Al2NZTiYKFGh/bknxhTnzK+aWLULQCxrMxJoHOr6Q1TFaG/qi83q75NKvAOXYmaZZMPHQNfVpvbfiJy2yJ/qprwwY9REZiEJjstEmYw==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969</Words>
  <Characters>5334</Characters>
  <Application>Microsoft Office Word</Application>
  <DocSecurity>0</DocSecurity>
  <Lines>44</Lines>
  <Paragraphs>12</Paragraphs>
  <ScaleCrop>false</ScaleCrop>
  <HeadingPairs>
    <vt:vector baseType="variant" size="2">
      <vt:variant>
        <vt:lpstr>Titre</vt:lpstr>
      </vt:variant>
      <vt:variant>
        <vt:i4>1</vt:i4>
      </vt:variant>
    </vt:vector>
  </HeadingPairs>
  <TitlesOfParts>
    <vt:vector baseType="lpstr" size="1">
      <vt:lpstr/>
    </vt:vector>
  </TitlesOfParts>
  <Company>FPE</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2022-10-26T15:07:00Z</dcterms:created>
  <dcterms:modified xsi:type="dcterms:W3CDTF">2022-10-26T15:07:00Z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MSIP_Label_48ed5431-0ab7-4c1b-98f4-d4e50f674d02_Enabled" pid="2">
    <vt:lpwstr>true</vt:lpwstr>
  </property>
  <property fmtid="{D5CDD505-2E9C-101B-9397-08002B2CF9AE}" name="MSIP_Label_48ed5431-0ab7-4c1b-98f4-d4e50f674d02_SetDate" pid="3">
    <vt:lpwstr>2020-10-19T15:24:35Z</vt:lpwstr>
  </property>
  <property fmtid="{D5CDD505-2E9C-101B-9397-08002B2CF9AE}" name="MSIP_Label_48ed5431-0ab7-4c1b-98f4-d4e50f674d02_Method" pid="4">
    <vt:lpwstr>Privileged</vt:lpwstr>
  </property>
  <property fmtid="{D5CDD505-2E9C-101B-9397-08002B2CF9AE}" name="MSIP_Label_48ed5431-0ab7-4c1b-98f4-d4e50f674d02_Name" pid="5">
    <vt:lpwstr>48ed5431-0ab7-4c1b-98f4-d4e50f674d02</vt:lpwstr>
  </property>
  <property fmtid="{D5CDD505-2E9C-101B-9397-08002B2CF9AE}" name="MSIP_Label_48ed5431-0ab7-4c1b-98f4-d4e50f674d02_SiteId" pid="6">
    <vt:lpwstr>614f9c25-bffa-42c7-86d8-964101f55fa2</vt:lpwstr>
  </property>
  <property fmtid="{D5CDD505-2E9C-101B-9397-08002B2CF9AE}" name="MSIP_Label_48ed5431-0ab7-4c1b-98f4-d4e50f674d02_ActionId" pid="7">
    <vt:lpwstr>74cc0ceb-646b-480e-8d6d-e7eeb7869826</vt:lpwstr>
  </property>
  <property fmtid="{D5CDD505-2E9C-101B-9397-08002B2CF9AE}" name="MSIP_Label_48ed5431-0ab7-4c1b-98f4-d4e50f674d02_ContentBits" pid="8">
    <vt:lpwstr>0</vt:lpwstr>
  </property>
  <property fmtid="{D5CDD505-2E9C-101B-9397-08002B2CF9AE}" name="ContentTypeId" pid="9">
    <vt:lpwstr>0x010100C22855997EF6B443BF0FBFCEBDE7E5E5</vt:lpwstr>
  </property>
</Properties>
</file>