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590509" w:rsidRDefault="00EE6493">
      <w:pPr>
        <w:spacing w:line="240" w:lineRule="auto"/>
        <w:ind w:right="-45"/>
        <w:jc w:val="center"/>
        <w:rPr>
          <w:b/>
          <w:sz w:val="32"/>
          <w:szCs w:val="32"/>
        </w:rPr>
      </w:pPr>
      <w:r>
        <w:rPr>
          <w:noProof/>
          <w:sz w:val="32"/>
          <w:szCs w:val="32"/>
          <w:lang w:val="fr-FR"/>
        </w:rPr>
        <w:drawing>
          <wp:anchor allowOverlap="1" behindDoc="0" distB="0" distL="114300" distR="114300" distT="0" hidden="0" layoutInCell="1" locked="0" relativeHeight="251658240" simplePos="0">
            <wp:simplePos x="0" y="0"/>
            <wp:positionH relativeFrom="margin">
              <wp:posOffset>-676856</wp:posOffset>
            </wp:positionH>
            <wp:positionV relativeFrom="margin">
              <wp:posOffset>-942974</wp:posOffset>
            </wp:positionV>
            <wp:extent cx="1643948" cy="942975"/>
            <wp:effectExtent b="0" l="0" r="0" t="0"/>
            <wp:wrapSquare distB="0" distL="114300" distR="114300" distT="0" wrapText="bothSides"/>
            <wp:docPr descr="log_valeo" id="1" name="image1.jpg"/>
            <wp:cNvGraphicFramePr/>
            <a:graphic xmlns:a="http://schemas.openxmlformats.org/drawingml/2006/main">
              <a:graphicData uri="http://schemas.openxmlformats.org/drawingml/2006/picture">
                <pic:pic xmlns:pic="http://schemas.openxmlformats.org/drawingml/2006/picture">
                  <pic:nvPicPr>
                    <pic:cNvPr descr="log_valeo" id="0" name="image1.jpg"/>
                    <pic:cNvPicPr preferRelativeResize="0"/>
                  </pic:nvPicPr>
                  <pic:blipFill>
                    <a:blip r:embed="rId7"/>
                    <a:srcRect b="17869"/>
                    <a:stretch>
                      <a:fillRect/>
                    </a:stretch>
                  </pic:blipFill>
                  <pic:spPr>
                    <a:xfrm>
                      <a:off x="0" y="0"/>
                      <a:ext cx="1643948" cy="942975"/>
                    </a:xfrm>
                    <a:prstGeom prst="rect">
                      <a:avLst/>
                    </a:prstGeom>
                    <a:ln/>
                  </pic:spPr>
                </pic:pic>
              </a:graphicData>
            </a:graphic>
          </wp:anchor>
        </w:drawing>
      </w:r>
      <w:r>
        <w:rPr>
          <w:b/>
          <w:sz w:val="32"/>
          <w:szCs w:val="32"/>
        </w:rPr>
        <w:t>VALEO COMFORT AND DRIVING ASSISTANCE</w:t>
      </w:r>
    </w:p>
    <w:p w:rsidR="00590509" w:rsidRDefault="00590509">
      <w:pPr>
        <w:spacing w:line="240" w:lineRule="auto"/>
        <w:ind w:right="-45"/>
        <w:jc w:val="center"/>
        <w:rPr>
          <w:b/>
          <w:sz w:val="32"/>
          <w:szCs w:val="32"/>
          <w:highlight w:val="yellow"/>
        </w:rPr>
      </w:pPr>
    </w:p>
    <w:p w:rsidR="00590509" w:rsidRDefault="00590509">
      <w:pPr>
        <w:spacing w:line="240" w:lineRule="auto"/>
        <w:ind w:right="-45"/>
        <w:jc w:val="center"/>
        <w:rPr>
          <w:b/>
        </w:rPr>
      </w:pPr>
    </w:p>
    <w:p w:rsidR="00590509" w:rsidRDefault="00590509">
      <w:pPr>
        <w:spacing w:line="240" w:lineRule="auto"/>
        <w:ind w:right="-45"/>
        <w:jc w:val="center"/>
        <w:rPr>
          <w:b/>
        </w:rPr>
      </w:pPr>
    </w:p>
    <w:p w:rsidR="00590509" w:rsidRDefault="00EE6493">
      <w:pPr>
        <w:spacing w:line="240" w:lineRule="auto"/>
        <w:ind w:right="-45"/>
        <w:jc w:val="center"/>
        <w:rPr>
          <w:b/>
        </w:rPr>
      </w:pPr>
      <w:r>
        <w:rPr>
          <w:b/>
        </w:rPr>
        <w:t>ACCORD DU 12 12 2022 RELATIF A LA NÉGOCIATION ANNUELLE OBLIGATOIRE 2023 SUR LA RÉMUNÉRATION, LE TEMPS DE TRAVAIL ET</w:t>
      </w:r>
    </w:p>
    <w:p w:rsidR="00590509" w:rsidRDefault="00EE6493">
      <w:pPr>
        <w:spacing w:line="240" w:lineRule="auto"/>
        <w:ind w:right="-45"/>
        <w:jc w:val="center"/>
        <w:rPr>
          <w:b/>
        </w:rPr>
      </w:pPr>
      <w:r>
        <w:rPr>
          <w:b/>
        </w:rPr>
        <w:t xml:space="preserve"> LE PARTAGE DE LA VALEUR AJOUTÉE</w:t>
      </w:r>
    </w:p>
    <w:p w:rsidR="00590509" w:rsidRDefault="00EE6493">
      <w:pPr>
        <w:spacing w:line="240" w:lineRule="auto"/>
        <w:ind w:right="-45"/>
        <w:jc w:val="both"/>
      </w:pPr>
      <w:r>
        <w:t xml:space="preserve"> </w:t>
      </w:r>
    </w:p>
    <w:p w:rsidR="00590509" w:rsidRDefault="00EE6493">
      <w:pPr>
        <w:spacing w:line="240" w:lineRule="auto"/>
        <w:ind w:right="-45"/>
        <w:jc w:val="both"/>
      </w:pPr>
      <w:r>
        <w:t xml:space="preserve"> </w:t>
      </w:r>
    </w:p>
    <w:p w:rsidR="00590509" w:rsidRDefault="00EE6493">
      <w:pPr>
        <w:spacing w:line="240" w:lineRule="auto"/>
        <w:ind w:right="-45"/>
        <w:jc w:val="both"/>
      </w:pPr>
      <w:r>
        <w:t xml:space="preserve"> </w:t>
      </w:r>
    </w:p>
    <w:p w:rsidR="00590509" w:rsidRDefault="00EE6493">
      <w:pPr>
        <w:spacing w:line="240" w:lineRule="auto"/>
        <w:ind w:right="-45"/>
        <w:jc w:val="both"/>
        <w:rPr>
          <w:b/>
        </w:rPr>
      </w:pPr>
      <w:r>
        <w:rPr>
          <w:b/>
        </w:rPr>
        <w:t>Entre :</w:t>
      </w:r>
    </w:p>
    <w:p w:rsidR="00590509" w:rsidRDefault="00EE6493">
      <w:pPr>
        <w:spacing w:line="240" w:lineRule="auto"/>
        <w:ind w:right="-45"/>
        <w:jc w:val="both"/>
      </w:pPr>
      <w:r>
        <w:t xml:space="preserve"> </w:t>
      </w:r>
    </w:p>
    <w:p w:rsidR="00590509" w:rsidRDefault="00EE6493">
      <w:pPr>
        <w:spacing w:after="200"/>
        <w:jc w:val="both"/>
      </w:pPr>
      <w:r>
        <w:t xml:space="preserve">La société </w:t>
      </w:r>
      <w:r>
        <w:rPr>
          <w:b/>
        </w:rPr>
        <w:t xml:space="preserve">Valeo </w:t>
      </w:r>
      <w:proofErr w:type="spellStart"/>
      <w:r>
        <w:rPr>
          <w:b/>
        </w:rPr>
        <w:t>Comfort</w:t>
      </w:r>
      <w:proofErr w:type="spellEnd"/>
      <w:r>
        <w:rPr>
          <w:b/>
        </w:rPr>
        <w:t xml:space="preserve"> and </w:t>
      </w:r>
      <w:proofErr w:type="spellStart"/>
      <w:r>
        <w:rPr>
          <w:b/>
        </w:rPr>
        <w:t>Driving</w:t>
      </w:r>
      <w:proofErr w:type="spellEnd"/>
      <w:r>
        <w:rPr>
          <w:b/>
        </w:rPr>
        <w:t xml:space="preserve"> Assistance (VCDA)</w:t>
      </w:r>
      <w:r>
        <w:t xml:space="preserve">, Société par actions simplifiée au capital de 886 185,00 Euros dont le siège est situé au 6 rue Daniel </w:t>
      </w:r>
      <w:proofErr w:type="spellStart"/>
      <w:r>
        <w:t>Costantini</w:t>
      </w:r>
      <w:proofErr w:type="spellEnd"/>
      <w:r>
        <w:t xml:space="preserve">, 94000 Créteil, </w:t>
      </w:r>
    </w:p>
    <w:p w:rsidR="00590509" w:rsidRDefault="00590509">
      <w:pPr>
        <w:spacing w:after="200"/>
        <w:jc w:val="both"/>
      </w:pPr>
    </w:p>
    <w:p w:rsidR="00590509" w:rsidRDefault="00EE6493">
      <w:pPr>
        <w:spacing w:line="240" w:lineRule="auto"/>
        <w:ind w:right="-45"/>
        <w:jc w:val="both"/>
      </w:pPr>
      <w:r>
        <w:t xml:space="preserve"> </w:t>
      </w:r>
    </w:p>
    <w:p w:rsidR="00590509" w:rsidRDefault="00EE6493">
      <w:pPr>
        <w:spacing w:line="240" w:lineRule="auto"/>
        <w:ind w:right="-45"/>
        <w:jc w:val="both"/>
      </w:pPr>
      <w:r>
        <w:t>D’une part,</w:t>
      </w:r>
    </w:p>
    <w:p w:rsidR="00590509" w:rsidRDefault="00EE6493">
      <w:pPr>
        <w:spacing w:line="240" w:lineRule="auto"/>
        <w:ind w:right="-45"/>
        <w:jc w:val="both"/>
      </w:pPr>
      <w:r>
        <w:t xml:space="preserve"> </w:t>
      </w:r>
    </w:p>
    <w:p w:rsidR="00590509" w:rsidRDefault="00590509">
      <w:pPr>
        <w:spacing w:line="240" w:lineRule="auto"/>
        <w:ind w:right="-45"/>
        <w:jc w:val="both"/>
      </w:pPr>
    </w:p>
    <w:p w:rsidR="00590509" w:rsidRDefault="00EE6493">
      <w:pPr>
        <w:spacing w:line="240" w:lineRule="auto"/>
        <w:ind w:right="-45"/>
        <w:jc w:val="both"/>
        <w:rPr>
          <w:b/>
        </w:rPr>
      </w:pPr>
      <w:r>
        <w:rPr>
          <w:b/>
        </w:rPr>
        <w:t>Et :</w:t>
      </w:r>
    </w:p>
    <w:p w:rsidR="00590509" w:rsidRDefault="00EE6493">
      <w:pPr>
        <w:spacing w:line="240" w:lineRule="auto"/>
        <w:ind w:right="-45"/>
        <w:jc w:val="both"/>
      </w:pPr>
      <w:r>
        <w:t xml:space="preserve"> </w:t>
      </w:r>
    </w:p>
    <w:p w:rsidR="00590509" w:rsidRDefault="00EE6493">
      <w:pPr>
        <w:spacing w:line="240" w:lineRule="auto"/>
        <w:ind w:right="-45"/>
        <w:jc w:val="both"/>
        <w:rPr>
          <w:b/>
        </w:rPr>
      </w:pPr>
      <w:r>
        <w:rPr>
          <w:b/>
        </w:rPr>
        <w:t xml:space="preserve">Les Organisations Syndicales représentatives au sein de </w:t>
      </w:r>
      <w:r>
        <w:rPr>
          <w:b/>
        </w:rPr>
        <w:t>l’Entreprise :</w:t>
      </w:r>
    </w:p>
    <w:p w:rsidR="00590509" w:rsidRDefault="00EE6493">
      <w:pPr>
        <w:spacing w:line="240" w:lineRule="auto"/>
        <w:ind w:right="-45"/>
        <w:jc w:val="both"/>
      </w:pPr>
      <w:r>
        <w:tab/>
      </w:r>
      <w:r>
        <w:tab/>
        <w:t xml:space="preserve"> </w:t>
      </w:r>
    </w:p>
    <w:p w:rsidR="00590509" w:rsidRDefault="00EE6493">
      <w:pPr>
        <w:numPr>
          <w:ilvl w:val="0"/>
          <w:numId w:val="4"/>
        </w:numPr>
        <w:spacing w:line="240" w:lineRule="auto"/>
        <w:ind w:right="-45"/>
        <w:jc w:val="both"/>
      </w:pPr>
      <w:proofErr w:type="gramStart"/>
      <w:r>
        <w:t>la</w:t>
      </w:r>
      <w:proofErr w:type="gramEnd"/>
      <w:r>
        <w:t xml:space="preserve"> CFE-CGC </w:t>
      </w:r>
    </w:p>
    <w:p w:rsidR="00590509" w:rsidRDefault="00590509">
      <w:pPr>
        <w:spacing w:line="240" w:lineRule="auto"/>
        <w:ind w:left="720" w:right="-45"/>
        <w:jc w:val="both"/>
      </w:pPr>
    </w:p>
    <w:p w:rsidR="00590509" w:rsidRDefault="00EE6493">
      <w:pPr>
        <w:numPr>
          <w:ilvl w:val="0"/>
          <w:numId w:val="4"/>
        </w:numPr>
        <w:spacing w:after="200"/>
        <w:jc w:val="both"/>
      </w:pPr>
      <w:proofErr w:type="gramStart"/>
      <w:r>
        <w:t>la</w:t>
      </w:r>
      <w:proofErr w:type="gramEnd"/>
      <w:r>
        <w:t xml:space="preserve"> CFTC </w:t>
      </w:r>
    </w:p>
    <w:p w:rsidR="00590509" w:rsidRDefault="00EE6493">
      <w:pPr>
        <w:numPr>
          <w:ilvl w:val="0"/>
          <w:numId w:val="4"/>
        </w:numPr>
        <w:spacing w:after="200"/>
        <w:jc w:val="both"/>
      </w:pPr>
      <w:bookmarkStart w:colFirst="0" w:colLast="0" w:id="0" w:name="_gjdgxs"/>
      <w:bookmarkEnd w:id="0"/>
      <w:proofErr w:type="gramStart"/>
      <w:r>
        <w:t>la</w:t>
      </w:r>
      <w:proofErr w:type="gramEnd"/>
      <w:r>
        <w:t xml:space="preserve"> CGT </w:t>
      </w:r>
    </w:p>
    <w:p w:rsidR="00590509" w:rsidRDefault="00EE6493">
      <w:pPr>
        <w:spacing w:line="240" w:lineRule="auto"/>
        <w:ind w:firstLine="700" w:right="-45"/>
        <w:jc w:val="both"/>
      </w:pPr>
      <w:r>
        <w:t xml:space="preserve"> </w:t>
      </w:r>
    </w:p>
    <w:p w:rsidR="00590509" w:rsidRDefault="00EE6493">
      <w:pPr>
        <w:spacing w:line="240" w:lineRule="auto"/>
        <w:ind w:right="-45"/>
        <w:jc w:val="both"/>
      </w:pPr>
      <w:r>
        <w:t>D’autre part,</w:t>
      </w:r>
    </w:p>
    <w:p w:rsidR="00590509" w:rsidRDefault="00590509">
      <w:pPr>
        <w:spacing w:line="240" w:lineRule="auto"/>
        <w:ind w:right="-45"/>
        <w:jc w:val="both"/>
      </w:pPr>
    </w:p>
    <w:p w:rsidR="00590509" w:rsidRDefault="00590509">
      <w:pPr>
        <w:spacing w:line="240" w:lineRule="auto"/>
        <w:ind w:right="-45"/>
        <w:jc w:val="both"/>
      </w:pPr>
    </w:p>
    <w:p w:rsidR="00590509" w:rsidRDefault="00EE6493">
      <w:pPr>
        <w:spacing w:line="240" w:lineRule="auto"/>
        <w:ind w:right="-45"/>
        <w:jc w:val="both"/>
        <w:rPr>
          <w:b/>
          <w:sz w:val="24"/>
          <w:szCs w:val="24"/>
        </w:rPr>
      </w:pPr>
      <w:r>
        <w:rPr>
          <w:b/>
          <w:sz w:val="24"/>
          <w:szCs w:val="24"/>
        </w:rPr>
        <w:t>PREAMBULE</w:t>
      </w:r>
    </w:p>
    <w:p w:rsidR="00590509" w:rsidRDefault="00EE6493">
      <w:pPr>
        <w:spacing w:line="240" w:lineRule="auto"/>
        <w:ind w:right="-45"/>
        <w:jc w:val="both"/>
        <w:rPr>
          <w:highlight w:val="yellow"/>
        </w:rPr>
      </w:pPr>
      <w:r>
        <w:rPr>
          <w:highlight w:val="yellow"/>
        </w:rPr>
        <w:t xml:space="preserve">  </w:t>
      </w:r>
    </w:p>
    <w:p w:rsidR="00590509" w:rsidRDefault="00EE6493">
      <w:pPr>
        <w:spacing w:line="240" w:lineRule="auto"/>
        <w:ind w:right="-45"/>
        <w:jc w:val="both"/>
      </w:pPr>
      <w:r>
        <w:t xml:space="preserve">Le présent accord d’entreprise est conclu : </w:t>
      </w:r>
    </w:p>
    <w:p w:rsidR="00590509" w:rsidRDefault="00EE6493">
      <w:pPr>
        <w:numPr>
          <w:ilvl w:val="0"/>
          <w:numId w:val="2"/>
        </w:numPr>
        <w:spacing w:line="240" w:lineRule="auto"/>
        <w:ind w:right="-45"/>
        <w:jc w:val="both"/>
      </w:pPr>
      <w:proofErr w:type="gramStart"/>
      <w:r>
        <w:t>en</w:t>
      </w:r>
      <w:proofErr w:type="gramEnd"/>
      <w:r>
        <w:t xml:space="preserve"> application des articles L. 2242-1 et suivants du Code du travail ; </w:t>
      </w:r>
    </w:p>
    <w:p w:rsidR="00590509" w:rsidRDefault="00EE6493">
      <w:pPr>
        <w:numPr>
          <w:ilvl w:val="0"/>
          <w:numId w:val="2"/>
        </w:numPr>
        <w:spacing w:line="240" w:lineRule="auto"/>
        <w:ind w:right="-45"/>
        <w:jc w:val="both"/>
      </w:pPr>
      <w:proofErr w:type="gramStart"/>
      <w:r>
        <w:t>dans</w:t>
      </w:r>
      <w:proofErr w:type="gramEnd"/>
      <w:r>
        <w:t xml:space="preserve"> le respect des dispositions de l’Accord de Groupe relatif aux consultations et négociations obligatoires du 10 février 2020 et notamment de son avenant à durée déterminée du 8 novembre 2022 qui définit une période de négociation exceptionnellement ava</w:t>
      </w:r>
      <w:r>
        <w:t>ncée par accord des Parties et eu égard au contexte économique 2022 ;</w:t>
      </w:r>
    </w:p>
    <w:p w:rsidR="00590509" w:rsidRDefault="00590509">
      <w:pPr>
        <w:spacing w:line="240" w:lineRule="auto"/>
        <w:ind w:right="-45"/>
        <w:jc w:val="both"/>
      </w:pPr>
    </w:p>
    <w:p w:rsidR="00590509" w:rsidRDefault="00EE6493">
      <w:pPr>
        <w:spacing w:line="240" w:lineRule="auto"/>
        <w:ind w:right="-45"/>
        <w:jc w:val="both"/>
      </w:pPr>
      <w:r>
        <w:t xml:space="preserve">Des négociations se sont déroulées le 28 novembre 2022 et 6 décembre 2022, entre la Direction de Valeo </w:t>
      </w:r>
      <w:proofErr w:type="spellStart"/>
      <w:r>
        <w:t>Comfort</w:t>
      </w:r>
      <w:proofErr w:type="spellEnd"/>
      <w:r>
        <w:t xml:space="preserve"> and </w:t>
      </w:r>
      <w:proofErr w:type="spellStart"/>
      <w:r>
        <w:t>Driving</w:t>
      </w:r>
      <w:proofErr w:type="spellEnd"/>
      <w:r>
        <w:t xml:space="preserve"> Assistance et les représentants des organisations syndicales r</w:t>
      </w:r>
      <w:r>
        <w:t xml:space="preserve">eprésentatives dans l’entreprise CFE-CGC, CFTC et CGT au titre de la rémunération, du temps de travail et du partage de la valeur ajoutée pour l’exercice 2023. Cette négociation s’est articulée autour des priorités suivantes compte tenu du contexte </w:t>
      </w:r>
      <w:proofErr w:type="gramStart"/>
      <w:r>
        <w:t>économi</w:t>
      </w:r>
      <w:r>
        <w:t>que  :</w:t>
      </w:r>
      <w:proofErr w:type="gramEnd"/>
    </w:p>
    <w:p w:rsidR="00590509" w:rsidRDefault="00590509">
      <w:pPr>
        <w:spacing w:line="240" w:lineRule="auto"/>
        <w:ind w:right="-45"/>
        <w:jc w:val="both"/>
      </w:pPr>
    </w:p>
    <w:p w:rsidR="00590509" w:rsidRDefault="00EE6493">
      <w:pPr>
        <w:widowControl w:val="0"/>
        <w:numPr>
          <w:ilvl w:val="0"/>
          <w:numId w:val="6"/>
        </w:numPr>
        <w:spacing w:line="240" w:lineRule="auto"/>
      </w:pPr>
      <w:r>
        <w:t>Faire face au fort niveau d’inflation prévu en 2023 en soutenant le mieux possible le pouvoir d’achat des collaborateurs</w:t>
      </w:r>
    </w:p>
    <w:p w:rsidR="00590509" w:rsidRDefault="00EE6493">
      <w:pPr>
        <w:widowControl w:val="0"/>
        <w:numPr>
          <w:ilvl w:val="0"/>
          <w:numId w:val="6"/>
        </w:numPr>
        <w:spacing w:line="240" w:lineRule="auto"/>
      </w:pPr>
      <w:r>
        <w:t>Protéger davantage les plus faibles salaires : mise en place d’un talon (montant minimum d’Augmentation Générale en €)</w:t>
      </w:r>
    </w:p>
    <w:p w:rsidR="00590509" w:rsidRDefault="00EE6493">
      <w:pPr>
        <w:spacing w:line="240" w:lineRule="auto"/>
        <w:ind w:right="-45"/>
        <w:jc w:val="both"/>
      </w:pPr>
      <w:r>
        <w:t xml:space="preserve"> </w:t>
      </w:r>
    </w:p>
    <w:p w:rsidR="00590509" w:rsidRDefault="00EE6493">
      <w:pPr>
        <w:spacing w:line="240" w:lineRule="auto"/>
        <w:ind w:right="-45"/>
        <w:jc w:val="both"/>
      </w:pPr>
      <w:r>
        <w:t>A la suite des discussions engagées, le 28 novembre 2022 et 6 décembre 2022, les parties ont convenu des mesures ci-dessous d’application de la Politique salariale pour l’année 2023 qui répondent aux priorités de cette négociation.</w:t>
      </w:r>
    </w:p>
    <w:p w:rsidR="00590509" w:rsidRDefault="00590509">
      <w:pPr>
        <w:spacing w:line="240" w:lineRule="auto"/>
        <w:ind w:right="-45"/>
        <w:jc w:val="both"/>
        <w:rPr>
          <w:b/>
        </w:rPr>
      </w:pPr>
    </w:p>
    <w:p w:rsidR="00590509" w:rsidRDefault="00EE6493">
      <w:pPr>
        <w:spacing w:line="240" w:lineRule="auto"/>
        <w:ind w:right="-45"/>
        <w:jc w:val="both"/>
        <w:rPr>
          <w:u w:val="single"/>
        </w:rPr>
      </w:pPr>
      <w:r>
        <w:rPr>
          <w:b/>
          <w:u w:val="single"/>
        </w:rPr>
        <w:t xml:space="preserve"> </w:t>
      </w:r>
    </w:p>
    <w:p w:rsidR="00590509" w:rsidRDefault="00EE6493">
      <w:pPr>
        <w:pStyle w:val="Titre1"/>
        <w:pBdr>
          <w:top w:val="nil"/>
          <w:left w:val="nil"/>
          <w:bottom w:val="nil"/>
          <w:right w:val="nil"/>
          <w:between w:val="nil"/>
        </w:pBdr>
        <w:spacing w:after="0" w:before="0" w:line="240" w:lineRule="auto"/>
        <w:ind w:right="-45"/>
        <w:jc w:val="both"/>
        <w:rPr>
          <w:b/>
          <w:sz w:val="24"/>
          <w:szCs w:val="24"/>
          <w:u w:val="single"/>
        </w:rPr>
      </w:pPr>
      <w:bookmarkStart w:colFirst="0" w:colLast="0" w:id="1" w:name="_4qp38174d1sz"/>
      <w:bookmarkEnd w:id="1"/>
      <w:r>
        <w:rPr>
          <w:b/>
          <w:sz w:val="24"/>
          <w:szCs w:val="24"/>
          <w:u w:val="single"/>
        </w:rPr>
        <w:t>ARTICLE 1 : CHAMP D’APPLICATION</w:t>
      </w:r>
    </w:p>
    <w:p w:rsidR="00590509" w:rsidRDefault="00590509">
      <w:pPr>
        <w:spacing w:line="240" w:lineRule="auto"/>
        <w:ind w:right="-45"/>
        <w:jc w:val="both"/>
      </w:pPr>
    </w:p>
    <w:p w:rsidR="00590509" w:rsidRDefault="00EE6493">
      <w:pPr>
        <w:spacing w:line="240" w:lineRule="auto"/>
        <w:ind w:right="-45"/>
        <w:jc w:val="both"/>
        <w:rPr>
          <w:b/>
          <w:highlight w:val="yellow"/>
        </w:rPr>
      </w:pPr>
      <w:r>
        <w:t xml:space="preserve">Le présent accord s’applique, pour l’année 2023, à l’ensemble du personnel de la société Valeo </w:t>
      </w:r>
      <w:proofErr w:type="spellStart"/>
      <w:r>
        <w:t>Comfort</w:t>
      </w:r>
      <w:proofErr w:type="spellEnd"/>
      <w:r>
        <w:t xml:space="preserve"> and </w:t>
      </w:r>
      <w:proofErr w:type="spellStart"/>
      <w:r>
        <w:t>Driving</w:t>
      </w:r>
      <w:proofErr w:type="spellEnd"/>
      <w:r>
        <w:t xml:space="preserve"> Assistance SAS, toutes catégories professionnelles confondues (A.T.A.M., Ingénieurs et Cadres) et travaillan</w:t>
      </w:r>
      <w:r>
        <w:t xml:space="preserve">t sur les sites de Créteil/Nevers/Courcelles, et les salariés Valeo </w:t>
      </w:r>
      <w:proofErr w:type="spellStart"/>
      <w:r>
        <w:t>Comfort</w:t>
      </w:r>
      <w:proofErr w:type="spellEnd"/>
      <w:r>
        <w:t xml:space="preserve"> and </w:t>
      </w:r>
      <w:proofErr w:type="spellStart"/>
      <w:r>
        <w:t>Driving</w:t>
      </w:r>
      <w:proofErr w:type="spellEnd"/>
      <w:r>
        <w:t xml:space="preserve"> Assistance SAS mis à disposition d’une autre Société Juridique et basés au sein d’un autre établissement.</w:t>
      </w:r>
    </w:p>
    <w:p w:rsidR="00590509" w:rsidRDefault="00590509">
      <w:pPr>
        <w:spacing w:line="240" w:lineRule="auto"/>
        <w:ind w:right="-45"/>
        <w:jc w:val="both"/>
      </w:pPr>
    </w:p>
    <w:p w:rsidR="00590509" w:rsidRDefault="00EE6493">
      <w:pPr>
        <w:spacing w:line="240" w:lineRule="auto"/>
        <w:ind w:right="-45"/>
        <w:jc w:val="both"/>
      </w:pPr>
      <w:r>
        <w:t>La négociation annuelle sur la rémunération, le temps de trav</w:t>
      </w:r>
      <w:r>
        <w:t>ail et le partage de la valeur ajoutée comprend :</w:t>
      </w:r>
    </w:p>
    <w:p w:rsidR="00590509" w:rsidRDefault="00EE6493">
      <w:pPr>
        <w:numPr>
          <w:ilvl w:val="0"/>
          <w:numId w:val="3"/>
        </w:numPr>
        <w:spacing w:line="240" w:lineRule="auto"/>
        <w:ind w:right="-45"/>
        <w:jc w:val="both"/>
      </w:pPr>
      <w:r>
        <w:t>Les salaires effectifs</w:t>
      </w:r>
    </w:p>
    <w:p w:rsidR="00590509" w:rsidRDefault="00EE6493">
      <w:pPr>
        <w:numPr>
          <w:ilvl w:val="0"/>
          <w:numId w:val="3"/>
        </w:numPr>
        <w:spacing w:line="240" w:lineRule="auto"/>
        <w:ind w:right="-45"/>
        <w:jc w:val="both"/>
      </w:pPr>
      <w:r>
        <w:t>La durée effective et l’organisation du temps de travail</w:t>
      </w:r>
    </w:p>
    <w:p w:rsidR="00590509" w:rsidRDefault="00EE6493">
      <w:pPr>
        <w:numPr>
          <w:ilvl w:val="0"/>
          <w:numId w:val="3"/>
        </w:numPr>
        <w:spacing w:line="240" w:lineRule="auto"/>
        <w:ind w:right="-45"/>
        <w:jc w:val="both"/>
      </w:pPr>
      <w:r>
        <w:t>L’intéressement, la participation et l’épargne salariale</w:t>
      </w:r>
    </w:p>
    <w:p w:rsidR="00590509" w:rsidRDefault="00EE6493">
      <w:pPr>
        <w:numPr>
          <w:ilvl w:val="0"/>
          <w:numId w:val="3"/>
        </w:numPr>
        <w:spacing w:line="240" w:lineRule="auto"/>
        <w:ind w:right="-45"/>
        <w:jc w:val="both"/>
      </w:pPr>
      <w:r>
        <w:t>Le suivi de la mise en œuvre des mesures visant à supprimer les écart</w:t>
      </w:r>
      <w:r>
        <w:t>s de rémunération et les différences de déroulement de carrière entre les femmes et les hommes</w:t>
      </w:r>
    </w:p>
    <w:p w:rsidR="00590509" w:rsidRDefault="00EE6493">
      <w:pPr>
        <w:numPr>
          <w:ilvl w:val="0"/>
          <w:numId w:val="3"/>
        </w:numPr>
        <w:spacing w:line="240" w:lineRule="auto"/>
        <w:ind w:right="-45"/>
        <w:jc w:val="both"/>
      </w:pPr>
      <w:r>
        <w:t>Les dispositions applicables en matière d’intéressement, participation (RSP), épargne salariale et l'égalité professionnelle entre les femmes et les hommes résul</w:t>
      </w:r>
      <w:r>
        <w:t>tent d’accords de Groupe</w:t>
      </w:r>
    </w:p>
    <w:p w:rsidR="00590509" w:rsidRDefault="00590509">
      <w:pPr>
        <w:spacing w:line="240" w:lineRule="auto"/>
        <w:ind w:right="-45"/>
        <w:jc w:val="both"/>
      </w:pPr>
    </w:p>
    <w:p w:rsidR="00590509" w:rsidRDefault="00EE6493">
      <w:pPr>
        <w:spacing w:line="240" w:lineRule="auto"/>
        <w:ind w:right="-45"/>
        <w:jc w:val="both"/>
      </w:pPr>
      <w:r>
        <w:t>Sont éligibles au présent accord les salariés en CDD et CDI (hors salariés en apprentissage et contrat de professionnalisation qui sont non éligibles sur la politique salariale), présents le 31 décembre 2022.</w:t>
      </w:r>
    </w:p>
    <w:p w:rsidR="00590509" w:rsidRDefault="00590509">
      <w:pPr>
        <w:spacing w:line="240" w:lineRule="auto"/>
        <w:ind w:right="-45"/>
        <w:jc w:val="both"/>
      </w:pPr>
    </w:p>
    <w:p w:rsidR="00590509" w:rsidRDefault="00590509">
      <w:pPr>
        <w:spacing w:line="240" w:lineRule="auto"/>
        <w:ind w:right="-45"/>
        <w:jc w:val="both"/>
      </w:pPr>
    </w:p>
    <w:p w:rsidR="00590509" w:rsidRDefault="00EE6493">
      <w:pPr>
        <w:pStyle w:val="Titre1"/>
        <w:spacing w:after="0" w:before="0" w:line="240" w:lineRule="auto"/>
        <w:ind w:right="-45"/>
        <w:jc w:val="both"/>
      </w:pPr>
      <w:bookmarkStart w:colFirst="0" w:colLast="0" w:id="2" w:name="_ofbiwtr0639h"/>
      <w:bookmarkEnd w:id="2"/>
      <w:r>
        <w:rPr>
          <w:b/>
          <w:sz w:val="24"/>
          <w:szCs w:val="24"/>
          <w:u w:val="single"/>
        </w:rPr>
        <w:t>ARTICLE 2 : PARTAGE</w:t>
      </w:r>
      <w:r>
        <w:rPr>
          <w:b/>
          <w:sz w:val="24"/>
          <w:szCs w:val="24"/>
          <w:u w:val="single"/>
        </w:rPr>
        <w:t xml:space="preserve"> DE LA VALEUR AJOUTÉE ET RÉSULTATS DE L’ENTREPRISE</w:t>
      </w:r>
    </w:p>
    <w:p w:rsidR="00590509" w:rsidRDefault="00EE6493">
      <w:pPr>
        <w:spacing w:line="240" w:lineRule="auto"/>
        <w:ind w:right="-45"/>
        <w:jc w:val="both"/>
      </w:pPr>
      <w:r>
        <w:t xml:space="preserve"> </w:t>
      </w:r>
    </w:p>
    <w:p w:rsidR="00590509" w:rsidRDefault="00EE6493">
      <w:pPr>
        <w:spacing w:line="240" w:lineRule="auto"/>
        <w:ind w:right="-45"/>
        <w:jc w:val="both"/>
        <w:rPr>
          <w:b/>
          <w:u w:val="single"/>
        </w:rPr>
      </w:pPr>
      <w:r>
        <w:rPr>
          <w:b/>
          <w:u w:val="single"/>
        </w:rPr>
        <w:t xml:space="preserve">Epargne salariale et retraite </w:t>
      </w:r>
    </w:p>
    <w:p w:rsidR="00590509" w:rsidRDefault="00590509">
      <w:pPr>
        <w:spacing w:line="240" w:lineRule="auto"/>
        <w:ind w:right="-45"/>
        <w:jc w:val="both"/>
      </w:pPr>
    </w:p>
    <w:p w:rsidR="00590509" w:rsidRDefault="00EE6493">
      <w:pPr>
        <w:spacing w:line="240" w:lineRule="auto"/>
        <w:ind w:right="-45"/>
        <w:jc w:val="both"/>
      </w:pPr>
      <w:r>
        <w:t xml:space="preserve">Suite à la négociation en 2020 d’un accord de Groupe relatif à la compétitivité, il avait été convenu de la suspension de l’abondement sur les sommes versées en FCPE dans le cadre des accords d’épargne salariale et retraite signés en 2020. </w:t>
      </w:r>
    </w:p>
    <w:p w:rsidR="00590509" w:rsidRDefault="00590509">
      <w:pPr>
        <w:spacing w:line="240" w:lineRule="auto"/>
        <w:ind w:left="720" w:right="-45"/>
        <w:jc w:val="both"/>
      </w:pPr>
    </w:p>
    <w:p w:rsidR="00590509" w:rsidRDefault="00EE6493">
      <w:pPr>
        <w:spacing w:line="240" w:lineRule="auto"/>
        <w:ind w:right="-45"/>
        <w:jc w:val="both"/>
      </w:pPr>
      <w:r>
        <w:t>Ainsi, l’avena</w:t>
      </w:r>
      <w:r>
        <w:t xml:space="preserve">nt n°1 à l’accord sur la mise en place d’un plan d’épargne pour la retraite collectif, conclu en date du 30 septembre 2020 ainsi que l'avenant n°2 à l’accord sur la mise en place du plan d’épargne entreprise du Groupe Valeo, conclu en date du 30 septembre </w:t>
      </w:r>
      <w:r>
        <w:t>2020 indiquaient la suspension temporaire de l’abondement pour la période allant du 1er janvier 2021 au 31 décembre 2022.</w:t>
      </w:r>
    </w:p>
    <w:p w:rsidR="00590509" w:rsidRDefault="00590509">
      <w:pPr>
        <w:spacing w:line="240" w:lineRule="auto"/>
        <w:ind w:right="-45"/>
        <w:jc w:val="both"/>
      </w:pPr>
    </w:p>
    <w:p w:rsidR="00590509" w:rsidRDefault="00EE6493">
      <w:pPr>
        <w:spacing w:line="240" w:lineRule="auto"/>
        <w:ind w:right="-45"/>
        <w:jc w:val="both"/>
      </w:pPr>
      <w:r>
        <w:t>A partir de 2023, les dispositions des accords d’épargne salariale et retraite signés en 2020 sont de nouveau applicables. Une commun</w:t>
      </w:r>
      <w:r>
        <w:t xml:space="preserve">ication auprès des salariés sera réalisée via notre teneur de compte d’ici le début de l’année 2023. </w:t>
      </w:r>
    </w:p>
    <w:p w:rsidR="00590509" w:rsidRDefault="00590509">
      <w:pPr>
        <w:spacing w:line="240" w:lineRule="auto"/>
        <w:ind w:left="720" w:right="-45"/>
        <w:jc w:val="both"/>
      </w:pPr>
    </w:p>
    <w:p w:rsidR="00590509" w:rsidRDefault="00EE6493">
      <w:pPr>
        <w:spacing w:line="240" w:lineRule="auto"/>
        <w:ind w:right="-45"/>
        <w:jc w:val="both"/>
      </w:pPr>
      <w:r>
        <w:rPr>
          <w:highlight w:val="white"/>
        </w:rPr>
        <w:t>L</w:t>
      </w:r>
      <w:r>
        <w:t xml:space="preserve">’opération “Shares4U” a été renouvelée courant octobre 2022. </w:t>
      </w:r>
    </w:p>
    <w:p w:rsidR="00590509" w:rsidRDefault="00EE6493">
      <w:pPr>
        <w:spacing w:line="240" w:lineRule="auto"/>
        <w:ind w:right="-45"/>
        <w:jc w:val="both"/>
      </w:pPr>
      <w:r>
        <w:t>Au-delà de ce dispositif, un bilan complet de l’épargne salariale et retraite Valeo France</w:t>
      </w:r>
      <w:r>
        <w:t xml:space="preserve"> a </w:t>
      </w:r>
      <w:proofErr w:type="gramStart"/>
      <w:r>
        <w:t>été  présenté</w:t>
      </w:r>
      <w:proofErr w:type="gramEnd"/>
      <w:r>
        <w:t>, intégrant les données de cette opération Shares4U 2022.</w:t>
      </w:r>
    </w:p>
    <w:p w:rsidR="00590509" w:rsidRDefault="00590509">
      <w:pPr>
        <w:spacing w:line="240" w:lineRule="auto"/>
        <w:ind w:right="-45"/>
        <w:jc w:val="both"/>
      </w:pPr>
    </w:p>
    <w:p w:rsidR="00590509" w:rsidRDefault="00EE6493">
      <w:pPr>
        <w:spacing w:line="240" w:lineRule="auto"/>
        <w:ind w:right="-45"/>
        <w:jc w:val="both"/>
      </w:pPr>
      <w:r>
        <w:t xml:space="preserve">Ces différents dispositifs de partage de la valeur ajoutée font l’objet d’accords Groupe, applicables à la société Valeo </w:t>
      </w:r>
      <w:proofErr w:type="spellStart"/>
      <w:r>
        <w:t>Comfort</w:t>
      </w:r>
      <w:proofErr w:type="spellEnd"/>
      <w:r>
        <w:t xml:space="preserve"> and </w:t>
      </w:r>
      <w:proofErr w:type="spellStart"/>
      <w:r>
        <w:t>Driving</w:t>
      </w:r>
      <w:proofErr w:type="spellEnd"/>
      <w:r>
        <w:t xml:space="preserve"> Assistance.</w:t>
      </w:r>
    </w:p>
    <w:p w:rsidR="00590509" w:rsidRDefault="00590509">
      <w:pPr>
        <w:spacing w:line="240" w:lineRule="auto"/>
        <w:ind w:right="-45"/>
        <w:jc w:val="both"/>
      </w:pPr>
    </w:p>
    <w:p w:rsidR="00590509" w:rsidRDefault="00EE6493">
      <w:pPr>
        <w:spacing w:line="240" w:lineRule="auto"/>
        <w:ind w:right="-45"/>
        <w:jc w:val="both"/>
        <w:rPr>
          <w:b/>
          <w:u w:val="single"/>
        </w:rPr>
      </w:pPr>
      <w:r>
        <w:rPr>
          <w:b/>
          <w:u w:val="single"/>
        </w:rPr>
        <w:t>Intéressement et participat</w:t>
      </w:r>
      <w:r>
        <w:rPr>
          <w:b/>
          <w:u w:val="single"/>
        </w:rPr>
        <w:t xml:space="preserve">ion aux résultats </w:t>
      </w:r>
    </w:p>
    <w:p w:rsidR="00590509" w:rsidRDefault="00590509">
      <w:pPr>
        <w:spacing w:line="240" w:lineRule="auto"/>
        <w:ind w:right="-45"/>
        <w:jc w:val="both"/>
        <w:rPr>
          <w:b/>
          <w:u w:val="single"/>
        </w:rPr>
      </w:pPr>
    </w:p>
    <w:p w:rsidR="00590509" w:rsidRDefault="00EE6493">
      <w:pPr>
        <w:spacing w:line="240" w:lineRule="auto"/>
        <w:ind w:right="-45"/>
        <w:jc w:val="both"/>
      </w:pPr>
      <w:r>
        <w:rPr>
          <w:b/>
        </w:rPr>
        <w:t>Un accord de groupe relatif à la participation</w:t>
      </w:r>
      <w:r>
        <w:t xml:space="preserve"> aux résultats a été signé pour une durée indéterminée en date du 9 juin 2017. </w:t>
      </w:r>
    </w:p>
    <w:p w:rsidR="00590509" w:rsidRDefault="00EE6493">
      <w:pPr>
        <w:spacing w:line="240" w:lineRule="auto"/>
        <w:ind w:right="-45"/>
        <w:jc w:val="both"/>
      </w:pPr>
      <w:r>
        <w:t>Il prévoit la mise en commun des Réserves Spéciales de Participation (RSP) sur le périmètre France en cas de R</w:t>
      </w:r>
      <w:r>
        <w:t xml:space="preserve">SP positive. </w:t>
      </w:r>
    </w:p>
    <w:p w:rsidR="00590509" w:rsidRDefault="00590509">
      <w:pPr>
        <w:spacing w:line="240" w:lineRule="auto"/>
        <w:ind w:right="-45"/>
        <w:jc w:val="both"/>
      </w:pPr>
    </w:p>
    <w:p w:rsidR="00590509" w:rsidRDefault="00EE6493">
      <w:pPr>
        <w:spacing w:line="240" w:lineRule="auto"/>
        <w:ind w:right="-45"/>
        <w:jc w:val="both"/>
      </w:pPr>
      <w:r>
        <w:t xml:space="preserve">A date de signature du présent accord, les Parties ne disposent pas encore d’informations quant au versement d’une éventuelle prime de participation au cours de l’année 2023 (au titre de 2022). </w:t>
      </w:r>
    </w:p>
    <w:p w:rsidR="00590509" w:rsidRDefault="00590509">
      <w:pPr>
        <w:spacing w:line="240" w:lineRule="auto"/>
        <w:ind w:right="-45"/>
        <w:jc w:val="both"/>
      </w:pPr>
    </w:p>
    <w:p w:rsidR="00590509" w:rsidRDefault="00EE6493">
      <w:pPr>
        <w:spacing w:line="240" w:lineRule="auto"/>
        <w:ind w:right="-45"/>
        <w:jc w:val="both"/>
      </w:pPr>
      <w:r>
        <w:t>Il est précisé qu’aucune prime de participati</w:t>
      </w:r>
      <w:r>
        <w:t xml:space="preserve">on n’a été versée en 2022 au titre de l’année 2021. </w:t>
      </w:r>
    </w:p>
    <w:p w:rsidR="00590509" w:rsidRDefault="00590509">
      <w:pPr>
        <w:spacing w:line="240" w:lineRule="auto"/>
        <w:ind w:right="-45"/>
        <w:jc w:val="both"/>
      </w:pPr>
    </w:p>
    <w:p w:rsidR="00590509" w:rsidRDefault="00EE6493">
      <w:pPr>
        <w:spacing w:line="240" w:lineRule="auto"/>
        <w:ind w:right="-45"/>
        <w:jc w:val="both"/>
      </w:pPr>
      <w:r>
        <w:rPr>
          <w:b/>
        </w:rPr>
        <w:t>Un accord de groupe relatif à l’intéressement</w:t>
      </w:r>
      <w:r>
        <w:t xml:space="preserve"> a été signé le 17 juin 2022 pour une durée de 3 ans. </w:t>
      </w:r>
    </w:p>
    <w:p w:rsidR="00590509" w:rsidRDefault="00EE6493">
      <w:pPr>
        <w:spacing w:line="240" w:lineRule="auto"/>
        <w:ind w:right="-45"/>
        <w:jc w:val="both"/>
      </w:pPr>
      <w:r>
        <w:t>Cet accord intervient après une période de suspension du dispositif liée aux conditions économiques re</w:t>
      </w:r>
      <w:r>
        <w:t xml:space="preserve">ncontrées par le Groupe Valeo dans le cadre de la crise sanitaire </w:t>
      </w:r>
      <w:proofErr w:type="spellStart"/>
      <w:r>
        <w:t>Covid</w:t>
      </w:r>
      <w:proofErr w:type="spellEnd"/>
      <w:r>
        <w:t>.</w:t>
      </w:r>
    </w:p>
    <w:p w:rsidR="00590509" w:rsidRDefault="00EE6493">
      <w:pPr>
        <w:spacing w:line="240" w:lineRule="auto"/>
        <w:ind w:right="-45"/>
        <w:jc w:val="both"/>
      </w:pPr>
      <w:r>
        <w:t xml:space="preserve">C’est la raison pour laquelle aucune prime d’intéressement n’a été versée en 2022 au titre de l’année 2021. </w:t>
      </w:r>
    </w:p>
    <w:p w:rsidR="00590509" w:rsidRDefault="00EE6493">
      <w:pPr>
        <w:spacing w:line="240" w:lineRule="auto"/>
        <w:ind w:right="-45"/>
        <w:jc w:val="both"/>
      </w:pPr>
      <w:r>
        <w:t xml:space="preserve"> </w:t>
      </w:r>
    </w:p>
    <w:p w:rsidR="00590509" w:rsidRDefault="00EE6493">
      <w:pPr>
        <w:spacing w:line="240" w:lineRule="auto"/>
        <w:ind w:right="-45"/>
        <w:jc w:val="both"/>
      </w:pPr>
      <w:r>
        <w:t xml:space="preserve">Le nouvel accord d’intéressement prévoit désormais le partage de la valeur ajoutée dégagée par le Groupe Valeo, en France et au niveau de ses établissements pour des critères de performance et de progrès financiers, sécurité et environnement. </w:t>
      </w:r>
    </w:p>
    <w:p w:rsidR="00590509" w:rsidRDefault="00590509">
      <w:pPr>
        <w:spacing w:line="240" w:lineRule="auto"/>
        <w:ind w:right="-45"/>
        <w:jc w:val="both"/>
      </w:pPr>
    </w:p>
    <w:p w:rsidR="00590509" w:rsidRDefault="00EE6493">
      <w:pPr>
        <w:spacing w:line="240" w:lineRule="auto"/>
        <w:ind w:right="-45"/>
        <w:jc w:val="both"/>
      </w:pPr>
      <w:r>
        <w:t>A la date d</w:t>
      </w:r>
      <w:r>
        <w:t>e signature du présent accord, les Parties ne disposent pas encore d’informations quant au versement d’une éventuelle prime d’intéressement au titre de l'année 2022.</w:t>
      </w:r>
    </w:p>
    <w:p w:rsidR="00590509" w:rsidRDefault="00590509">
      <w:pPr>
        <w:spacing w:line="240" w:lineRule="auto"/>
        <w:ind w:right="-45"/>
        <w:jc w:val="both"/>
      </w:pPr>
    </w:p>
    <w:p w:rsidR="00590509" w:rsidRDefault="00590509">
      <w:pPr>
        <w:spacing w:line="240" w:lineRule="auto"/>
        <w:ind w:right="-45"/>
        <w:jc w:val="both"/>
      </w:pPr>
    </w:p>
    <w:p w:rsidR="00590509" w:rsidRDefault="00EE6493">
      <w:pPr>
        <w:spacing w:line="240" w:lineRule="auto"/>
        <w:ind w:right="-45"/>
        <w:jc w:val="both"/>
        <w:rPr>
          <w:b/>
          <w:u w:val="single"/>
        </w:rPr>
      </w:pPr>
      <w:r>
        <w:rPr>
          <w:b/>
          <w:sz w:val="24"/>
          <w:szCs w:val="24"/>
          <w:u w:val="single"/>
        </w:rPr>
        <w:t>ARTICLE 3 : ÉCARTS DE RÉMUNÉRATION ENTRE HOMMES ET FEMMES</w:t>
      </w:r>
    </w:p>
    <w:p w:rsidR="00590509" w:rsidRDefault="00EE6493">
      <w:pPr>
        <w:spacing w:line="240" w:lineRule="auto"/>
        <w:ind w:right="-45"/>
        <w:jc w:val="both"/>
      </w:pPr>
      <w:r>
        <w:t xml:space="preserve"> </w:t>
      </w:r>
    </w:p>
    <w:p w:rsidR="00590509" w:rsidRDefault="00EE6493">
      <w:pPr>
        <w:spacing w:line="240" w:lineRule="auto"/>
        <w:ind w:right="-45"/>
        <w:jc w:val="both"/>
      </w:pPr>
      <w:r>
        <w:t>Comme précisé dans le Procès</w:t>
      </w:r>
      <w:r>
        <w:t xml:space="preserve">-Verbal d’ouverture des négociations portant sur les écarts de rémunération entre hommes et femmes, la </w:t>
      </w:r>
      <w:proofErr w:type="gramStart"/>
      <w:r>
        <w:t>Négociation  Annuelle</w:t>
      </w:r>
      <w:proofErr w:type="gramEnd"/>
      <w:r>
        <w:t xml:space="preserve"> Obligatoire 2023 a été l’occasion de partager nos résultats relatifs à l’Index égalité hommes/femmes (arrêtés au 31 décembre 2021 e</w:t>
      </w:r>
      <w:r>
        <w:t xml:space="preserve">u égard à l’avancement exceptionnel de la période de négociation obligatoire) ainsi que des premiers constats réalisés sur la base des tableaux comparatifs des salaires moyens de base (base 35h) hommes/femmes. Ces tableaux sont présentés par niveau et par </w:t>
      </w:r>
      <w:r>
        <w:t>coefficient et par site conformément aux dispositions de l’accord Groupe égalité professionnelle femmes/ hommes du 10 janvier 2020.</w:t>
      </w:r>
    </w:p>
    <w:p w:rsidR="00590509" w:rsidRDefault="00590509">
      <w:pPr>
        <w:spacing w:line="240" w:lineRule="auto"/>
        <w:ind w:right="-45"/>
        <w:jc w:val="both"/>
      </w:pPr>
    </w:p>
    <w:p w:rsidR="00590509" w:rsidRDefault="00EE6493">
      <w:pPr>
        <w:spacing w:line="240" w:lineRule="auto"/>
        <w:ind w:right="-45"/>
        <w:jc w:val="both"/>
      </w:pPr>
      <w:r>
        <w:t>La Société s’assurera que, pendant la durée de cet accord et dans le respect de ses termes, les actions qui seraient rendues nécessaires au respect de l’égalité de traitement salariale entre les Femmes et les Hommes soient traitées exceptionnellement en de</w:t>
      </w:r>
      <w:r>
        <w:t>hors du budget négocié lors des Négociations Annuelles Obligatoires. Pour cela, elle respectera la méthodologie retenue à l’article 13 de l’accord du 18 février 2020 relatif à l’égalité professionnelle femmes/hommes. Ce dernier précise les dimensions (âge,</w:t>
      </w:r>
      <w:r>
        <w:t xml:space="preserve"> ancienneté, performance et poste équivalent…) dont il doit être tenu compte pour identifier les écarts supérieurs à 3% non justifiés. </w:t>
      </w:r>
    </w:p>
    <w:p w:rsidR="00590509" w:rsidRDefault="00590509">
      <w:pPr>
        <w:spacing w:line="240" w:lineRule="auto"/>
        <w:ind w:right="-45"/>
        <w:jc w:val="both"/>
      </w:pPr>
    </w:p>
    <w:p w:rsidR="00590509" w:rsidRDefault="00EE6493">
      <w:pPr>
        <w:spacing w:line="240" w:lineRule="auto"/>
        <w:ind w:right="-45"/>
        <w:jc w:val="both"/>
      </w:pPr>
      <w:r>
        <w:t>Une négociation de Groupe relative à l’égalité professionnelle entre les femmes et les hommes s’est ouverte le 9 novemb</w:t>
      </w:r>
      <w:r>
        <w:t xml:space="preserve">re 2022 afin de renégocier les termes de l’accord précité dont les dispositions arriveront à échéance en janvier 2023. </w:t>
      </w:r>
    </w:p>
    <w:p w:rsidR="00590509" w:rsidRDefault="00590509">
      <w:pPr>
        <w:spacing w:line="240" w:lineRule="auto"/>
        <w:ind w:right="-45"/>
        <w:jc w:val="both"/>
      </w:pPr>
    </w:p>
    <w:p w:rsidR="00590509" w:rsidRDefault="00EE6493">
      <w:pPr>
        <w:spacing w:line="240" w:lineRule="auto"/>
        <w:ind w:right="-45"/>
        <w:jc w:val="both"/>
      </w:pPr>
      <w:r>
        <w:t>Cette négociation étant toujours en cours à la date de signature du présent accord, les Parties reconnaissent que les dispositions d’un</w:t>
      </w:r>
      <w:r>
        <w:t xml:space="preserve"> éventuel nouvel accord Groupe relatif à l’égalité professionnelle entre les femmes et les hommes ne pourront être prises en considération dans le cadre de cette politique salariale 2023. </w:t>
      </w:r>
    </w:p>
    <w:p w:rsidR="00590509" w:rsidRDefault="00590509">
      <w:pPr>
        <w:spacing w:line="240" w:lineRule="auto"/>
        <w:ind w:right="-45"/>
        <w:jc w:val="both"/>
      </w:pPr>
    </w:p>
    <w:p w:rsidR="00590509" w:rsidRDefault="00590509">
      <w:pPr>
        <w:spacing w:line="240" w:lineRule="auto"/>
        <w:ind w:right="-45"/>
        <w:jc w:val="both"/>
      </w:pPr>
    </w:p>
    <w:p w:rsidR="00590509" w:rsidRDefault="00EE6493">
      <w:pPr>
        <w:pBdr>
          <w:top w:val="nil"/>
          <w:left w:val="nil"/>
          <w:bottom w:val="nil"/>
          <w:right w:val="nil"/>
          <w:between w:val="nil"/>
        </w:pBdr>
        <w:spacing w:line="240" w:lineRule="auto"/>
        <w:ind w:right="-45"/>
        <w:jc w:val="both"/>
        <w:rPr>
          <w:b/>
          <w:sz w:val="24"/>
          <w:szCs w:val="24"/>
          <w:u w:val="single"/>
        </w:rPr>
      </w:pPr>
      <w:r>
        <w:rPr>
          <w:b/>
          <w:sz w:val="24"/>
          <w:szCs w:val="24"/>
          <w:u w:val="single"/>
        </w:rPr>
        <w:t>ARTICLE 4 - TEMPS DE TRAVAIL</w:t>
      </w:r>
    </w:p>
    <w:p w:rsidR="00590509" w:rsidRDefault="00590509">
      <w:pPr>
        <w:pBdr>
          <w:top w:val="nil"/>
          <w:left w:val="nil"/>
          <w:bottom w:val="nil"/>
          <w:right w:val="nil"/>
          <w:between w:val="nil"/>
        </w:pBdr>
        <w:spacing w:line="240" w:lineRule="auto"/>
        <w:ind w:right="-45"/>
        <w:jc w:val="both"/>
        <w:rPr>
          <w:b/>
          <w:sz w:val="24"/>
          <w:szCs w:val="24"/>
          <w:u w:val="single"/>
        </w:rPr>
      </w:pPr>
    </w:p>
    <w:p w:rsidR="00590509" w:rsidRDefault="00EE6493">
      <w:pPr>
        <w:pBdr>
          <w:top w:val="nil"/>
          <w:left w:val="nil"/>
          <w:bottom w:val="nil"/>
          <w:right w:val="nil"/>
          <w:between w:val="nil"/>
        </w:pBdr>
        <w:spacing w:line="240" w:lineRule="auto"/>
        <w:ind w:right="-45"/>
        <w:jc w:val="both"/>
      </w:pPr>
      <w:r>
        <w:t>Les parties signataires conviennent</w:t>
      </w:r>
      <w:r>
        <w:t xml:space="preserve"> que les négociations concernant la durée du travail et l’aménagement du temps de travail relèvent du ressort des établissements suivant les nécessités propres à chacun d’entre eux.</w:t>
      </w:r>
    </w:p>
    <w:p w:rsidR="00590509" w:rsidRDefault="00590509">
      <w:pPr>
        <w:pBdr>
          <w:top w:val="nil"/>
          <w:left w:val="nil"/>
          <w:bottom w:val="nil"/>
          <w:right w:val="nil"/>
          <w:between w:val="nil"/>
        </w:pBdr>
        <w:spacing w:line="240" w:lineRule="auto"/>
        <w:ind w:right="-45"/>
        <w:jc w:val="both"/>
      </w:pPr>
    </w:p>
    <w:p w:rsidR="00590509" w:rsidRDefault="00590509">
      <w:pPr>
        <w:spacing w:line="240" w:lineRule="auto"/>
        <w:ind w:right="-45"/>
        <w:jc w:val="both"/>
        <w:rPr>
          <w:b/>
          <w:sz w:val="24"/>
          <w:szCs w:val="24"/>
          <w:u w:val="single"/>
        </w:rPr>
      </w:pPr>
    </w:p>
    <w:p w:rsidR="00590509" w:rsidRDefault="00EE6493">
      <w:pPr>
        <w:spacing w:line="240" w:lineRule="auto"/>
        <w:ind w:right="-45"/>
        <w:jc w:val="both"/>
        <w:rPr>
          <w:b/>
          <w:u w:val="single"/>
        </w:rPr>
      </w:pPr>
      <w:r>
        <w:rPr>
          <w:b/>
          <w:sz w:val="24"/>
          <w:szCs w:val="24"/>
          <w:u w:val="single"/>
        </w:rPr>
        <w:t>ARTICLE 5 : POLITIQUE SALARIALE 2023</w:t>
      </w:r>
    </w:p>
    <w:p w:rsidR="00590509" w:rsidRDefault="00EE6493">
      <w:pPr>
        <w:spacing w:line="240" w:lineRule="auto"/>
        <w:ind w:right="-45"/>
        <w:jc w:val="both"/>
        <w:rPr>
          <w:b/>
        </w:rPr>
      </w:pPr>
      <w:r>
        <w:rPr>
          <w:b/>
        </w:rPr>
        <w:t xml:space="preserve"> </w:t>
      </w:r>
    </w:p>
    <w:p w:rsidR="00590509" w:rsidRDefault="00EE6493">
      <w:pPr>
        <w:numPr>
          <w:ilvl w:val="0"/>
          <w:numId w:val="1"/>
        </w:numPr>
        <w:spacing w:line="240" w:lineRule="auto"/>
        <w:ind w:right="-45"/>
        <w:jc w:val="both"/>
        <w:rPr>
          <w:b/>
        </w:rPr>
      </w:pPr>
      <w:r>
        <w:rPr>
          <w:b/>
          <w:u w:val="single"/>
        </w:rPr>
        <w:t>Enveloppe globale de l'augmentation salariale :</w:t>
      </w:r>
    </w:p>
    <w:p w:rsidR="00590509" w:rsidRDefault="00590509">
      <w:pPr>
        <w:spacing w:line="240" w:lineRule="auto"/>
        <w:ind w:right="-45"/>
        <w:jc w:val="both"/>
      </w:pPr>
    </w:p>
    <w:p w:rsidR="00590509" w:rsidRDefault="00EE6493">
      <w:pPr>
        <w:spacing w:line="240" w:lineRule="auto"/>
        <w:ind w:right="-45"/>
        <w:jc w:val="both"/>
      </w:pPr>
      <w:r>
        <w:t xml:space="preserve">Il sera attribué, au titre de l'année 2023, une enveloppe globale d'augmentations salariales fixée à </w:t>
      </w:r>
      <w:r>
        <w:rPr>
          <w:b/>
        </w:rPr>
        <w:t>5%</w:t>
      </w:r>
      <w:r>
        <w:t xml:space="preserve"> de la masse salariale correspondant aux salaires bruts de base constatés au 31 octobre 2022 pour l'ense</w:t>
      </w:r>
      <w:r>
        <w:t>mble des catégories.</w:t>
      </w:r>
    </w:p>
    <w:p w:rsidR="00590509" w:rsidRDefault="00590509">
      <w:pPr>
        <w:spacing w:line="240" w:lineRule="auto"/>
        <w:ind w:right="-45"/>
        <w:jc w:val="both"/>
      </w:pPr>
    </w:p>
    <w:p w:rsidR="00590509" w:rsidRDefault="00EE6493">
      <w:pPr>
        <w:spacing w:line="240" w:lineRule="auto"/>
        <w:ind w:right="-45"/>
        <w:jc w:val="both"/>
      </w:pPr>
      <w:r>
        <w:t>Il est entendu entre les Parties au présent accord que toute revalorisation salariale liée au relèvement d’un minimum légal et/ou conventionnel qui interviendrait entre le 31 octobre 2022, date de prise de référence de la masse salari</w:t>
      </w:r>
      <w:r>
        <w:t xml:space="preserve">ale servant au calcul de l’enveloppe salariale, et la date d’application en paie des mesures dudit accord :  </w:t>
      </w:r>
    </w:p>
    <w:p w:rsidR="00590509" w:rsidRDefault="00590509">
      <w:pPr>
        <w:spacing w:line="240" w:lineRule="auto"/>
        <w:ind w:right="-45"/>
        <w:jc w:val="both"/>
      </w:pPr>
    </w:p>
    <w:p w:rsidR="00590509" w:rsidRDefault="00EE6493">
      <w:pPr>
        <w:numPr>
          <w:ilvl w:val="0"/>
          <w:numId w:val="7"/>
        </w:numPr>
        <w:spacing w:line="240" w:lineRule="auto"/>
        <w:ind w:right="-45"/>
        <w:jc w:val="both"/>
      </w:pPr>
      <w:proofErr w:type="gramStart"/>
      <w:r>
        <w:t>ne</w:t>
      </w:r>
      <w:proofErr w:type="gramEnd"/>
      <w:r>
        <w:t xml:space="preserve"> serait pas prise en compte pour le calcul de répartition de l’enveloppe salariale.</w:t>
      </w:r>
    </w:p>
    <w:p w:rsidR="00590509" w:rsidRDefault="00EE6493">
      <w:pPr>
        <w:numPr>
          <w:ilvl w:val="0"/>
          <w:numId w:val="7"/>
        </w:numPr>
        <w:spacing w:line="240" w:lineRule="auto"/>
        <w:ind w:right="-45"/>
        <w:jc w:val="both"/>
      </w:pPr>
      <w:proofErr w:type="gramStart"/>
      <w:r>
        <w:t>serait</w:t>
      </w:r>
      <w:proofErr w:type="gramEnd"/>
      <w:r>
        <w:t xml:space="preserve"> prise en compte pour l’application des mesures salar</w:t>
      </w:r>
      <w:r>
        <w:t>iales (nouvelle base de référence).</w:t>
      </w:r>
    </w:p>
    <w:p w:rsidR="00590509" w:rsidRDefault="00590509">
      <w:pPr>
        <w:spacing w:line="240" w:lineRule="auto"/>
        <w:ind w:right="-45"/>
        <w:jc w:val="both"/>
      </w:pPr>
    </w:p>
    <w:p w:rsidR="00590509" w:rsidRDefault="00590509">
      <w:pPr>
        <w:spacing w:line="240" w:lineRule="auto"/>
        <w:ind w:right="-45"/>
        <w:jc w:val="both"/>
      </w:pPr>
    </w:p>
    <w:p w:rsidR="00590509" w:rsidRDefault="00590509">
      <w:pPr>
        <w:spacing w:line="240" w:lineRule="auto"/>
        <w:ind w:right="-45"/>
        <w:jc w:val="both"/>
      </w:pPr>
    </w:p>
    <w:p w:rsidR="00590509" w:rsidRDefault="00EE6493">
      <w:pPr>
        <w:numPr>
          <w:ilvl w:val="0"/>
          <w:numId w:val="5"/>
        </w:numPr>
        <w:spacing w:line="240" w:lineRule="auto"/>
        <w:ind w:right="-45"/>
        <w:jc w:val="both"/>
        <w:rPr>
          <w:b/>
        </w:rPr>
      </w:pPr>
      <w:r>
        <w:rPr>
          <w:b/>
          <w:u w:val="single"/>
        </w:rPr>
        <w:t>Répartition des augmentations générales et individuelles – calendrier de mise en œuvre :</w:t>
      </w:r>
    </w:p>
    <w:p w:rsidR="00590509" w:rsidRDefault="00590509">
      <w:pPr>
        <w:spacing w:line="240" w:lineRule="auto"/>
        <w:ind w:right="-45"/>
        <w:jc w:val="both"/>
      </w:pPr>
    </w:p>
    <w:p w:rsidR="00590509" w:rsidRDefault="00EE6493">
      <w:pPr>
        <w:spacing w:line="240" w:lineRule="auto"/>
        <w:ind w:right="-45"/>
        <w:jc w:val="both"/>
      </w:pPr>
      <w:r>
        <w:t>L'enveloppe globale d'augmentations s'appliquera sur les salaires de base bruts dans les</w:t>
      </w:r>
    </w:p>
    <w:p w:rsidR="00590509" w:rsidRDefault="00EE6493">
      <w:pPr>
        <w:spacing w:line="240" w:lineRule="auto"/>
        <w:ind w:right="-45"/>
        <w:jc w:val="both"/>
      </w:pPr>
      <w:proofErr w:type="gramStart"/>
      <w:r>
        <w:t>conditions</w:t>
      </w:r>
      <w:proofErr w:type="gramEnd"/>
      <w:r>
        <w:t xml:space="preserve"> suivantes :</w:t>
      </w: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100C16" w:rsidRDefault="00100C16">
      <w:pPr>
        <w:spacing w:line="240" w:lineRule="auto"/>
        <w:ind w:right="-45"/>
        <w:jc w:val="both"/>
      </w:pPr>
    </w:p>
    <w:p w:rsidR="00590509" w:rsidRDefault="00590509">
      <w:pPr>
        <w:spacing w:line="240" w:lineRule="auto"/>
        <w:ind w:right="-45"/>
        <w:jc w:val="both"/>
      </w:pPr>
    </w:p>
    <w:p w:rsidR="00590509" w:rsidRDefault="00590509">
      <w:pPr>
        <w:ind w:right="-45"/>
        <w:jc w:val="both"/>
        <w:rPr>
          <w:b/>
          <w:color w:val="434343"/>
          <w:sz w:val="23"/>
          <w:szCs w:val="23"/>
        </w:rPr>
      </w:pPr>
    </w:p>
    <w:p w:rsidR="00590509" w:rsidRDefault="00EE6493">
      <w:pPr>
        <w:numPr>
          <w:ilvl w:val="0"/>
          <w:numId w:val="1"/>
        </w:numPr>
        <w:pBdr>
          <w:top w:val="nil"/>
          <w:left w:val="nil"/>
          <w:bottom w:val="nil"/>
          <w:right w:val="nil"/>
          <w:between w:val="nil"/>
        </w:pBdr>
        <w:spacing w:line="240" w:lineRule="auto"/>
        <w:ind w:right="-45"/>
        <w:jc w:val="both"/>
        <w:rPr>
          <w:b/>
        </w:rPr>
      </w:pPr>
      <w:r>
        <w:rPr>
          <w:b/>
          <w:u w:val="single"/>
        </w:rPr>
        <w:lastRenderedPageBreak/>
        <w:t>Enveloppe de 5% avec talon au 1er Janvier 2023</w:t>
      </w:r>
    </w:p>
    <w:p w:rsidR="00590509" w:rsidRDefault="00590509">
      <w:pPr>
        <w:widowControl w:val="0"/>
        <w:spacing w:line="240" w:lineRule="auto"/>
        <w:ind w:right="-45"/>
        <w:jc w:val="both"/>
        <w:rPr>
          <w:color w:val="434343"/>
          <w:sz w:val="27"/>
          <w:szCs w:val="27"/>
        </w:rPr>
      </w:pPr>
    </w:p>
    <w:tbl>
      <w:tblPr>
        <w:tblStyle w:val="a"/>
        <w:tblW w:type="dxa" w:w="9090"/>
        <w:tblInd w:type="dxa" w:w="-15"/>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firstColumn="0" w:firstRow="0" w:lastColumn="0" w:lastRow="0" w:noHBand="1" w:noVBand="1" w:val="0600"/>
      </w:tblPr>
      <w:tblGrid>
        <w:gridCol w:w="1605"/>
        <w:gridCol w:w="1650"/>
        <w:gridCol w:w="1350"/>
        <w:gridCol w:w="1650"/>
        <w:gridCol w:w="1440"/>
        <w:gridCol w:w="1395"/>
      </w:tblGrid>
      <w:tr w:rsidR="00590509">
        <w:trPr>
          <w:trHeight w:val="840"/>
        </w:trPr>
        <w:tc>
          <w:tcPr>
            <w:tcW w:type="dxa" w:w="1605"/>
            <w:shd w:color="auto" w:fill="93C47D" w:val="clear"/>
            <w:tcMar>
              <w:top w:type="dxa" w:w="100"/>
              <w:left w:type="dxa" w:w="100"/>
              <w:bottom w:type="dxa" w:w="100"/>
              <w:right w:type="dxa" w:w="100"/>
            </w:tcMar>
          </w:tcPr>
          <w:p w:rsidR="00590509" w:rsidRDefault="00590509">
            <w:pPr>
              <w:widowControl w:val="0"/>
              <w:spacing w:line="240" w:lineRule="auto"/>
              <w:ind w:right="-45"/>
              <w:jc w:val="both"/>
              <w:rPr>
                <w:b/>
                <w:color w:val="434343"/>
                <w:sz w:val="21"/>
                <w:szCs w:val="21"/>
              </w:rPr>
            </w:pPr>
          </w:p>
          <w:p w:rsidR="00590509" w:rsidRDefault="00EE6493">
            <w:pPr>
              <w:widowControl w:val="0"/>
              <w:spacing w:line="240" w:lineRule="auto"/>
              <w:ind w:right="-45"/>
              <w:jc w:val="both"/>
              <w:rPr>
                <w:b/>
                <w:color w:val="434343"/>
                <w:sz w:val="21"/>
                <w:szCs w:val="21"/>
              </w:rPr>
            </w:pPr>
            <w:r>
              <w:rPr>
                <w:b/>
                <w:color w:val="434343"/>
                <w:sz w:val="21"/>
                <w:szCs w:val="21"/>
              </w:rPr>
              <w:t>Catégories</w:t>
            </w:r>
          </w:p>
        </w:tc>
        <w:tc>
          <w:tcPr>
            <w:tcW w:type="dxa" w:w="1650"/>
            <w:shd w:color="auto" w:fill="93C47D" w:val="clear"/>
            <w:tcMar>
              <w:top w:type="dxa" w:w="100"/>
              <w:left w:type="dxa" w:w="100"/>
              <w:bottom w:type="dxa" w:w="100"/>
              <w:right w:type="dxa" w:w="100"/>
            </w:tcMar>
          </w:tcPr>
          <w:p w:rsidR="00590509" w:rsidRDefault="00EE6493">
            <w:pPr>
              <w:widowControl w:val="0"/>
              <w:spacing w:line="240" w:lineRule="auto"/>
              <w:ind w:right="-45"/>
              <w:jc w:val="center"/>
              <w:rPr>
                <w:b/>
                <w:color w:val="434343"/>
                <w:sz w:val="21"/>
                <w:szCs w:val="21"/>
              </w:rPr>
            </w:pPr>
            <w:r>
              <w:rPr>
                <w:b/>
                <w:color w:val="434343"/>
                <w:sz w:val="21"/>
                <w:szCs w:val="21"/>
              </w:rPr>
              <w:t xml:space="preserve">% Augmentation Générale </w:t>
            </w:r>
          </w:p>
        </w:tc>
        <w:tc>
          <w:tcPr>
            <w:tcW w:type="dxa" w:w="1350"/>
            <w:shd w:color="auto" w:fill="93C47D" w:val="clear"/>
            <w:tcMar>
              <w:top w:type="dxa" w:w="100"/>
              <w:left w:type="dxa" w:w="100"/>
              <w:bottom w:type="dxa" w:w="100"/>
              <w:right w:type="dxa" w:w="100"/>
            </w:tcMar>
          </w:tcPr>
          <w:p w:rsidR="00590509" w:rsidRDefault="00590509">
            <w:pPr>
              <w:widowControl w:val="0"/>
              <w:spacing w:line="240" w:lineRule="auto"/>
              <w:ind w:right="-45"/>
              <w:jc w:val="center"/>
              <w:rPr>
                <w:b/>
                <w:color w:val="434343"/>
                <w:sz w:val="21"/>
                <w:szCs w:val="21"/>
              </w:rPr>
            </w:pPr>
          </w:p>
          <w:p w:rsidR="00590509" w:rsidRDefault="00EE6493">
            <w:pPr>
              <w:widowControl w:val="0"/>
              <w:spacing w:line="240" w:lineRule="auto"/>
              <w:ind w:right="-45"/>
              <w:jc w:val="center"/>
              <w:rPr>
                <w:b/>
                <w:color w:val="434343"/>
                <w:sz w:val="21"/>
                <w:szCs w:val="21"/>
              </w:rPr>
            </w:pPr>
            <w:r>
              <w:rPr>
                <w:b/>
                <w:color w:val="434343"/>
                <w:sz w:val="21"/>
                <w:szCs w:val="21"/>
              </w:rPr>
              <w:t>Calendrier</w:t>
            </w:r>
          </w:p>
        </w:tc>
        <w:tc>
          <w:tcPr>
            <w:tcW w:type="dxa" w:w="1650"/>
            <w:shd w:color="auto" w:fill="93C47D" w:val="clear"/>
            <w:tcMar>
              <w:top w:type="dxa" w:w="100"/>
              <w:left w:type="dxa" w:w="100"/>
              <w:bottom w:type="dxa" w:w="100"/>
              <w:right w:type="dxa" w:w="100"/>
            </w:tcMar>
          </w:tcPr>
          <w:p w:rsidR="00590509" w:rsidRDefault="00EE6493">
            <w:pPr>
              <w:widowControl w:val="0"/>
              <w:spacing w:line="240" w:lineRule="auto"/>
              <w:ind w:right="-45"/>
              <w:jc w:val="center"/>
              <w:rPr>
                <w:b/>
                <w:color w:val="434343"/>
                <w:sz w:val="21"/>
                <w:szCs w:val="21"/>
              </w:rPr>
            </w:pPr>
            <w:r>
              <w:rPr>
                <w:b/>
                <w:color w:val="434343"/>
                <w:sz w:val="21"/>
                <w:szCs w:val="21"/>
              </w:rPr>
              <w:t xml:space="preserve">% Augmentation Individuelle </w:t>
            </w:r>
          </w:p>
        </w:tc>
        <w:tc>
          <w:tcPr>
            <w:tcW w:type="dxa" w:w="1440"/>
            <w:shd w:color="auto" w:fill="93C47D" w:val="clear"/>
            <w:tcMar>
              <w:top w:type="dxa" w:w="100"/>
              <w:left w:type="dxa" w:w="100"/>
              <w:bottom w:type="dxa" w:w="100"/>
              <w:right w:type="dxa" w:w="100"/>
            </w:tcMar>
          </w:tcPr>
          <w:p w:rsidR="00590509" w:rsidRDefault="00590509">
            <w:pPr>
              <w:widowControl w:val="0"/>
              <w:spacing w:line="240" w:lineRule="auto"/>
              <w:ind w:right="-45"/>
              <w:jc w:val="center"/>
              <w:rPr>
                <w:b/>
                <w:color w:val="434343"/>
                <w:sz w:val="21"/>
                <w:szCs w:val="21"/>
              </w:rPr>
            </w:pPr>
          </w:p>
          <w:p w:rsidR="00590509" w:rsidRDefault="00EE6493">
            <w:pPr>
              <w:widowControl w:val="0"/>
              <w:spacing w:line="240" w:lineRule="auto"/>
              <w:ind w:right="-45"/>
              <w:jc w:val="center"/>
              <w:rPr>
                <w:b/>
                <w:color w:val="434343"/>
                <w:sz w:val="21"/>
                <w:szCs w:val="21"/>
              </w:rPr>
            </w:pPr>
            <w:r>
              <w:rPr>
                <w:b/>
                <w:color w:val="434343"/>
                <w:sz w:val="21"/>
                <w:szCs w:val="21"/>
              </w:rPr>
              <w:t>Calendrier</w:t>
            </w:r>
          </w:p>
        </w:tc>
        <w:tc>
          <w:tcPr>
            <w:tcW w:type="dxa" w:w="1395"/>
            <w:shd w:color="auto" w:fill="93C47D" w:val="clear"/>
            <w:tcMar>
              <w:top w:type="dxa" w:w="100"/>
              <w:left w:type="dxa" w:w="100"/>
              <w:bottom w:type="dxa" w:w="100"/>
              <w:right w:type="dxa" w:w="100"/>
            </w:tcMar>
          </w:tcPr>
          <w:p w:rsidR="00590509" w:rsidRDefault="00590509">
            <w:pPr>
              <w:widowControl w:val="0"/>
              <w:spacing w:line="240" w:lineRule="auto"/>
              <w:ind w:right="-45"/>
              <w:jc w:val="center"/>
              <w:rPr>
                <w:b/>
                <w:color w:val="434343"/>
                <w:sz w:val="21"/>
                <w:szCs w:val="21"/>
              </w:rPr>
            </w:pPr>
          </w:p>
          <w:p w:rsidR="00590509" w:rsidRDefault="00EE6493">
            <w:pPr>
              <w:widowControl w:val="0"/>
              <w:spacing w:line="240" w:lineRule="auto"/>
              <w:ind w:right="-45"/>
              <w:jc w:val="center"/>
              <w:rPr>
                <w:b/>
                <w:color w:val="434343"/>
                <w:sz w:val="21"/>
                <w:szCs w:val="21"/>
              </w:rPr>
            </w:pPr>
            <w:r>
              <w:rPr>
                <w:b/>
                <w:color w:val="434343"/>
                <w:sz w:val="21"/>
                <w:szCs w:val="21"/>
              </w:rPr>
              <w:t>Talon sur AG/AI</w:t>
            </w:r>
          </w:p>
        </w:tc>
      </w:tr>
      <w:tr w:rsidR="00590509">
        <w:trPr>
          <w:trHeight w:val="450"/>
        </w:trPr>
        <w:tc>
          <w:tcPr>
            <w:tcW w:type="dxa" w:w="1605"/>
            <w:shd w:color="auto" w:fill="auto" w:val="clear"/>
            <w:tcMar>
              <w:top w:type="dxa" w:w="100"/>
              <w:left w:type="dxa" w:w="100"/>
              <w:bottom w:type="dxa" w:w="100"/>
              <w:right w:type="dxa" w:w="100"/>
            </w:tcMar>
          </w:tcPr>
          <w:p w:rsidR="00590509" w:rsidRDefault="00EE6493">
            <w:pPr>
              <w:widowControl w:val="0"/>
              <w:spacing w:line="240" w:lineRule="auto"/>
              <w:ind w:right="-45"/>
              <w:jc w:val="both"/>
              <w:rPr>
                <w:color w:val="434343"/>
                <w:sz w:val="23"/>
                <w:szCs w:val="23"/>
              </w:rPr>
            </w:pPr>
            <w:r>
              <w:rPr>
                <w:color w:val="434343"/>
                <w:sz w:val="23"/>
                <w:szCs w:val="23"/>
              </w:rPr>
              <w:t>Niveau I-II-III</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4,5%</w:t>
            </w:r>
          </w:p>
        </w:tc>
        <w:tc>
          <w:tcPr>
            <w:tcW w:type="dxa" w:w="13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Janvier</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0,5%</w:t>
            </w:r>
          </w:p>
        </w:tc>
        <w:tc>
          <w:tcPr>
            <w:tcW w:type="dxa" w:w="144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Février</w:t>
            </w:r>
          </w:p>
          <w:p w:rsidR="00590509" w:rsidRDefault="00EE6493">
            <w:pPr>
              <w:widowControl w:val="0"/>
              <w:spacing w:line="240" w:lineRule="auto"/>
              <w:ind w:right="-45"/>
              <w:jc w:val="center"/>
              <w:rPr>
                <w:color w:val="434343"/>
                <w:sz w:val="23"/>
                <w:szCs w:val="23"/>
              </w:rPr>
            </w:pPr>
            <w:r>
              <w:rPr>
                <w:color w:val="434343"/>
                <w:sz w:val="17"/>
                <w:szCs w:val="17"/>
              </w:rPr>
              <w:t>(rétroactif janvier)</w:t>
            </w:r>
          </w:p>
        </w:tc>
        <w:tc>
          <w:tcPr>
            <w:tcW w:type="dxa" w:w="1395"/>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100€</w:t>
            </w:r>
          </w:p>
        </w:tc>
      </w:tr>
      <w:tr w:rsidR="00590509">
        <w:tc>
          <w:tcPr>
            <w:tcW w:type="dxa" w:w="1605"/>
            <w:shd w:color="auto" w:fill="auto" w:val="clear"/>
            <w:tcMar>
              <w:top w:type="dxa" w:w="100"/>
              <w:left w:type="dxa" w:w="100"/>
              <w:bottom w:type="dxa" w:w="100"/>
              <w:right w:type="dxa" w:w="100"/>
            </w:tcMar>
          </w:tcPr>
          <w:p w:rsidR="00590509" w:rsidRDefault="00EE6493">
            <w:pPr>
              <w:widowControl w:val="0"/>
              <w:spacing w:line="240" w:lineRule="auto"/>
              <w:ind w:right="-45"/>
              <w:jc w:val="both"/>
              <w:rPr>
                <w:color w:val="434343"/>
                <w:sz w:val="23"/>
                <w:szCs w:val="23"/>
              </w:rPr>
            </w:pPr>
            <w:r>
              <w:rPr>
                <w:color w:val="434343"/>
                <w:sz w:val="23"/>
                <w:szCs w:val="23"/>
              </w:rPr>
              <w:t>Niveau IV</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4,2%</w:t>
            </w:r>
          </w:p>
        </w:tc>
        <w:tc>
          <w:tcPr>
            <w:tcW w:type="dxa" w:w="13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Janvier</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0,8%</w:t>
            </w:r>
          </w:p>
        </w:tc>
        <w:tc>
          <w:tcPr>
            <w:tcW w:type="dxa" w:w="144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Février</w:t>
            </w:r>
          </w:p>
          <w:p w:rsidR="00590509" w:rsidRDefault="00EE6493">
            <w:pPr>
              <w:widowControl w:val="0"/>
              <w:spacing w:line="240" w:lineRule="auto"/>
              <w:ind w:right="-45"/>
              <w:jc w:val="center"/>
              <w:rPr>
                <w:color w:val="434343"/>
                <w:sz w:val="23"/>
                <w:szCs w:val="23"/>
              </w:rPr>
            </w:pPr>
            <w:r>
              <w:rPr>
                <w:color w:val="434343"/>
                <w:sz w:val="17"/>
                <w:szCs w:val="17"/>
              </w:rPr>
              <w:t>(rétroactif janvier)</w:t>
            </w:r>
          </w:p>
        </w:tc>
        <w:tc>
          <w:tcPr>
            <w:tcW w:type="dxa" w:w="1395"/>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100€</w:t>
            </w:r>
          </w:p>
          <w:p w:rsidR="00590509" w:rsidRDefault="00590509">
            <w:pPr>
              <w:widowControl w:val="0"/>
              <w:spacing w:line="240" w:lineRule="auto"/>
              <w:ind w:right="-45"/>
              <w:jc w:val="center"/>
              <w:rPr>
                <w:color w:val="434343"/>
                <w:sz w:val="23"/>
                <w:szCs w:val="23"/>
              </w:rPr>
            </w:pPr>
          </w:p>
        </w:tc>
      </w:tr>
      <w:tr w:rsidR="00590509">
        <w:tc>
          <w:tcPr>
            <w:tcW w:type="dxa" w:w="1605"/>
            <w:shd w:color="auto" w:fill="auto" w:val="clear"/>
            <w:tcMar>
              <w:top w:type="dxa" w:w="100"/>
              <w:left w:type="dxa" w:w="100"/>
              <w:bottom w:type="dxa" w:w="100"/>
              <w:right w:type="dxa" w:w="100"/>
            </w:tcMar>
          </w:tcPr>
          <w:p w:rsidR="00590509" w:rsidRDefault="00EE6493">
            <w:pPr>
              <w:widowControl w:val="0"/>
              <w:spacing w:line="240" w:lineRule="auto"/>
              <w:ind w:right="-45"/>
              <w:jc w:val="both"/>
              <w:rPr>
                <w:color w:val="434343"/>
                <w:sz w:val="23"/>
                <w:szCs w:val="23"/>
              </w:rPr>
            </w:pPr>
            <w:r>
              <w:rPr>
                <w:color w:val="434343"/>
                <w:sz w:val="23"/>
                <w:szCs w:val="23"/>
              </w:rPr>
              <w:t>Niveau V</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4%</w:t>
            </w:r>
          </w:p>
        </w:tc>
        <w:tc>
          <w:tcPr>
            <w:tcW w:type="dxa" w:w="13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Janvier</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1%</w:t>
            </w:r>
          </w:p>
        </w:tc>
        <w:tc>
          <w:tcPr>
            <w:tcW w:type="dxa" w:w="144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Février</w:t>
            </w:r>
          </w:p>
          <w:p w:rsidR="00590509" w:rsidRDefault="00EE6493">
            <w:pPr>
              <w:widowControl w:val="0"/>
              <w:spacing w:line="240" w:lineRule="auto"/>
              <w:ind w:right="-45"/>
              <w:jc w:val="center"/>
              <w:rPr>
                <w:color w:val="434343"/>
                <w:sz w:val="23"/>
                <w:szCs w:val="23"/>
              </w:rPr>
            </w:pPr>
            <w:r>
              <w:rPr>
                <w:color w:val="434343"/>
                <w:sz w:val="17"/>
                <w:szCs w:val="17"/>
              </w:rPr>
              <w:t>(rétroactif janvier)</w:t>
            </w:r>
          </w:p>
        </w:tc>
        <w:tc>
          <w:tcPr>
            <w:tcW w:type="dxa" w:w="1395"/>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100€</w:t>
            </w:r>
          </w:p>
          <w:p w:rsidR="00590509" w:rsidRDefault="00590509">
            <w:pPr>
              <w:widowControl w:val="0"/>
              <w:spacing w:line="240" w:lineRule="auto"/>
              <w:ind w:right="-45"/>
              <w:jc w:val="center"/>
              <w:rPr>
                <w:color w:val="434343"/>
                <w:sz w:val="23"/>
                <w:szCs w:val="23"/>
              </w:rPr>
            </w:pPr>
          </w:p>
        </w:tc>
      </w:tr>
      <w:tr w:rsidR="00590509">
        <w:tc>
          <w:tcPr>
            <w:tcW w:type="dxa" w:w="1605"/>
            <w:shd w:color="auto" w:fill="auto" w:val="clear"/>
            <w:tcMar>
              <w:top w:type="dxa" w:w="100"/>
              <w:left w:type="dxa" w:w="100"/>
              <w:bottom w:type="dxa" w:w="100"/>
              <w:right w:type="dxa" w:w="100"/>
            </w:tcMar>
          </w:tcPr>
          <w:p w:rsidR="00590509" w:rsidRDefault="00EE6493">
            <w:pPr>
              <w:widowControl w:val="0"/>
              <w:spacing w:line="240" w:lineRule="auto"/>
              <w:ind w:right="-45"/>
              <w:jc w:val="both"/>
              <w:rPr>
                <w:color w:val="434343"/>
                <w:sz w:val="23"/>
                <w:szCs w:val="23"/>
              </w:rPr>
            </w:pPr>
            <w:r>
              <w:rPr>
                <w:color w:val="434343"/>
                <w:sz w:val="23"/>
                <w:szCs w:val="23"/>
              </w:rPr>
              <w:t>I&amp;C</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w:t>
            </w:r>
          </w:p>
        </w:tc>
        <w:tc>
          <w:tcPr>
            <w:tcW w:type="dxa" w:w="13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w:t>
            </w:r>
          </w:p>
        </w:tc>
        <w:tc>
          <w:tcPr>
            <w:tcW w:type="dxa" w:w="165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5%</w:t>
            </w:r>
          </w:p>
        </w:tc>
        <w:tc>
          <w:tcPr>
            <w:tcW w:type="dxa" w:w="1440"/>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Février</w:t>
            </w:r>
          </w:p>
          <w:p w:rsidR="00590509" w:rsidRDefault="00EE6493">
            <w:pPr>
              <w:widowControl w:val="0"/>
              <w:spacing w:line="240" w:lineRule="auto"/>
              <w:ind w:right="-45"/>
              <w:jc w:val="center"/>
              <w:rPr>
                <w:color w:val="434343"/>
                <w:sz w:val="23"/>
                <w:szCs w:val="23"/>
              </w:rPr>
            </w:pPr>
            <w:r>
              <w:rPr>
                <w:color w:val="434343"/>
                <w:sz w:val="17"/>
                <w:szCs w:val="17"/>
              </w:rPr>
              <w:t>(rétroactif janvier)</w:t>
            </w:r>
          </w:p>
        </w:tc>
        <w:tc>
          <w:tcPr>
            <w:tcW w:type="dxa" w:w="1395"/>
            <w:shd w:color="auto" w:fill="auto" w:val="clear"/>
            <w:tcMar>
              <w:top w:type="dxa" w:w="100"/>
              <w:left w:type="dxa" w:w="100"/>
              <w:bottom w:type="dxa" w:w="100"/>
              <w:right w:type="dxa" w:w="100"/>
            </w:tcMar>
          </w:tcPr>
          <w:p w:rsidR="00590509" w:rsidRDefault="00EE6493">
            <w:pPr>
              <w:widowControl w:val="0"/>
              <w:spacing w:line="240" w:lineRule="auto"/>
              <w:ind w:right="-45"/>
              <w:jc w:val="center"/>
              <w:rPr>
                <w:color w:val="434343"/>
                <w:sz w:val="23"/>
                <w:szCs w:val="23"/>
              </w:rPr>
            </w:pPr>
            <w:r>
              <w:rPr>
                <w:color w:val="434343"/>
                <w:sz w:val="23"/>
                <w:szCs w:val="23"/>
              </w:rPr>
              <w:t>-</w:t>
            </w:r>
          </w:p>
          <w:p w:rsidR="00590509" w:rsidRDefault="00590509">
            <w:pPr>
              <w:widowControl w:val="0"/>
              <w:spacing w:line="240" w:lineRule="auto"/>
              <w:ind w:right="-45"/>
              <w:jc w:val="center"/>
              <w:rPr>
                <w:color w:val="434343"/>
                <w:sz w:val="23"/>
                <w:szCs w:val="23"/>
              </w:rPr>
            </w:pPr>
          </w:p>
        </w:tc>
      </w:tr>
    </w:tbl>
    <w:p w:rsidR="00590509" w:rsidRDefault="00590509">
      <w:pPr>
        <w:spacing w:line="240" w:lineRule="auto"/>
        <w:ind w:right="-45"/>
        <w:jc w:val="both"/>
        <w:rPr>
          <w:color w:val="434343"/>
          <w:sz w:val="27"/>
          <w:szCs w:val="27"/>
        </w:rPr>
      </w:pPr>
    </w:p>
    <w:p w:rsidR="00590509" w:rsidRDefault="00EE6493">
      <w:pPr>
        <w:spacing w:line="240" w:lineRule="auto"/>
        <w:ind w:right="-45"/>
        <w:jc w:val="both"/>
      </w:pPr>
      <w:r>
        <w:t xml:space="preserve">Cette proposition intègre des mesures de soutien au pouvoir d’achat pour le personnel non-cadre avec la mise en place d’un talon 100€ qui doit permettre d’assurer un niveau minimum d’augmentation pour les salariés concernés. </w:t>
      </w:r>
    </w:p>
    <w:p w:rsidR="00590509" w:rsidRDefault="00590509">
      <w:pPr>
        <w:spacing w:line="240" w:lineRule="auto"/>
        <w:ind w:right="-45"/>
        <w:jc w:val="both"/>
      </w:pPr>
    </w:p>
    <w:p w:rsidR="00590509" w:rsidRDefault="00EE6493">
      <w:pPr>
        <w:spacing w:line="240" w:lineRule="auto"/>
        <w:ind w:right="-45"/>
        <w:jc w:val="both"/>
      </w:pPr>
      <w:r>
        <w:t>Cette mesure de talon s’appli</w:t>
      </w:r>
      <w:r>
        <w:t>que à défaut d’obtenir le niveau de talon par application du taux d’Augmentation Générale et individuel. Le montant du talon est calculé à partir du salaire de base temps plein. Il est payé sur 13 mois et intégré à la base salariale. Si le taux d’Augmentat</w:t>
      </w:r>
      <w:r>
        <w:t xml:space="preserve">ion Générale ne permet pas d’obtenir l’équivalent du montant du talon en euros, le salarié bénéficiera du talon en lieu et place du montant obtenu par application du taux d’Augmentation Générale. </w:t>
      </w:r>
    </w:p>
    <w:p w:rsidR="00590509" w:rsidRDefault="00590509">
      <w:pPr>
        <w:spacing w:line="240" w:lineRule="auto"/>
        <w:ind w:right="-45"/>
        <w:jc w:val="both"/>
      </w:pPr>
    </w:p>
    <w:p w:rsidR="00590509" w:rsidRDefault="00EE6493">
      <w:pPr>
        <w:spacing w:line="240" w:lineRule="auto"/>
        <w:ind w:right="-45"/>
        <w:jc w:val="both"/>
      </w:pPr>
      <w:r>
        <w:t>Cette mesure impacte l’enveloppe globale par niveaux et plus particulièrement, l'Augmentation Individuelle restante après application du taux d’Augmentation Générale et/ou le talon.</w:t>
      </w:r>
    </w:p>
    <w:p w:rsidR="00590509" w:rsidRDefault="00590509">
      <w:pPr>
        <w:spacing w:line="240" w:lineRule="auto"/>
        <w:ind w:right="-45"/>
        <w:jc w:val="both"/>
        <w:rPr>
          <w:highlight w:val="yellow"/>
        </w:rPr>
      </w:pPr>
    </w:p>
    <w:p w:rsidR="00590509" w:rsidRDefault="00EE6493">
      <w:pPr>
        <w:spacing w:line="240" w:lineRule="auto"/>
        <w:jc w:val="both"/>
      </w:pPr>
      <w:r>
        <w:t>Pour les Cadres éligibles, un plancher minimum d’augmentation individuell</w:t>
      </w:r>
      <w:r>
        <w:t>e est fixé à 1,5%. Ce plancher ne s’applique pas aux performances B- et C.</w:t>
      </w:r>
    </w:p>
    <w:p w:rsidR="00590509" w:rsidRDefault="00590509">
      <w:pPr>
        <w:spacing w:line="240" w:lineRule="auto"/>
        <w:jc w:val="both"/>
      </w:pPr>
    </w:p>
    <w:p w:rsidR="00590509" w:rsidRDefault="00590509">
      <w:pPr>
        <w:spacing w:line="240" w:lineRule="auto"/>
        <w:ind w:right="-45"/>
        <w:jc w:val="both"/>
      </w:pPr>
      <w:bookmarkStart w:id="3" w:name="_GoBack"/>
      <w:bookmarkEnd w:id="3"/>
    </w:p>
    <w:p w:rsidR="00590509" w:rsidRDefault="00EE6493">
      <w:pPr>
        <w:numPr>
          <w:ilvl w:val="0"/>
          <w:numId w:val="1"/>
        </w:numPr>
        <w:pBdr>
          <w:top w:val="nil"/>
          <w:left w:val="nil"/>
          <w:bottom w:val="nil"/>
          <w:right w:val="nil"/>
          <w:between w:val="nil"/>
        </w:pBdr>
        <w:spacing w:line="240" w:lineRule="auto"/>
        <w:ind w:right="-45"/>
        <w:jc w:val="both"/>
        <w:rPr>
          <w:b/>
        </w:rPr>
      </w:pPr>
      <w:r>
        <w:rPr>
          <w:b/>
          <w:u w:val="single"/>
        </w:rPr>
        <w:t>Modalités d'application :</w:t>
      </w:r>
    </w:p>
    <w:p w:rsidR="00590509" w:rsidRDefault="00590509">
      <w:pPr>
        <w:spacing w:line="240" w:lineRule="auto"/>
        <w:ind w:right="-45"/>
        <w:jc w:val="both"/>
      </w:pPr>
    </w:p>
    <w:p w:rsidR="00590509" w:rsidRDefault="00EE6493">
      <w:pPr>
        <w:spacing w:line="240" w:lineRule="auto"/>
        <w:ind w:right="-45"/>
        <w:jc w:val="both"/>
      </w:pPr>
      <w:r>
        <w:t xml:space="preserve">Le processus des augmentations générales et individuelles fera l’objet d’une application :  </w:t>
      </w:r>
    </w:p>
    <w:p w:rsidR="00590509" w:rsidRDefault="00EE6493">
      <w:pPr>
        <w:numPr>
          <w:ilvl w:val="0"/>
          <w:numId w:val="8"/>
        </w:numPr>
        <w:spacing w:line="240" w:lineRule="auto"/>
        <w:ind w:right="-45"/>
        <w:jc w:val="both"/>
      </w:pPr>
      <w:proofErr w:type="gramStart"/>
      <w:r>
        <w:t>sur</w:t>
      </w:r>
      <w:proofErr w:type="gramEnd"/>
      <w:r>
        <w:t xml:space="preserve"> la paie du mois de janvier pour les augmentations générales, </w:t>
      </w:r>
    </w:p>
    <w:p w:rsidR="00590509" w:rsidRDefault="00EE6493">
      <w:pPr>
        <w:numPr>
          <w:ilvl w:val="0"/>
          <w:numId w:val="8"/>
        </w:numPr>
        <w:spacing w:line="240" w:lineRule="auto"/>
        <w:ind w:right="-45"/>
        <w:jc w:val="both"/>
      </w:pPr>
      <w:proofErr w:type="gramStart"/>
      <w:r>
        <w:t>sur</w:t>
      </w:r>
      <w:proofErr w:type="gramEnd"/>
      <w:r>
        <w:t xml:space="preserve"> la paie du mois de février avec effet rétroactif au 1er janvier 2023 pour les augmentations individuelles,</w:t>
      </w:r>
    </w:p>
    <w:p w:rsidR="00590509" w:rsidRDefault="00590509">
      <w:pPr>
        <w:spacing w:line="240" w:lineRule="auto"/>
        <w:ind w:left="720" w:right="-45"/>
        <w:jc w:val="both"/>
      </w:pPr>
    </w:p>
    <w:p w:rsidR="00590509" w:rsidRDefault="00EE6493">
      <w:pPr>
        <w:spacing w:line="240" w:lineRule="auto"/>
        <w:ind w:right="-45"/>
        <w:jc w:val="both"/>
      </w:pPr>
      <w:proofErr w:type="gramStart"/>
      <w:r>
        <w:t>pour</w:t>
      </w:r>
      <w:proofErr w:type="gramEnd"/>
      <w:r>
        <w:t xml:space="preserve"> les salariés éligibles, selon le calendrier figurant dans les </w:t>
      </w:r>
      <w:r>
        <w:t>dispositions du présent article et sur les rémunérations brutes de base des salariés au 31 décembre 2022.</w:t>
      </w:r>
    </w:p>
    <w:p w:rsidR="00590509" w:rsidRDefault="00590509">
      <w:pPr>
        <w:spacing w:line="240" w:lineRule="auto"/>
        <w:ind w:right="-45"/>
        <w:jc w:val="both"/>
      </w:pPr>
    </w:p>
    <w:p w:rsidR="00590509" w:rsidRDefault="00EE6493">
      <w:pPr>
        <w:numPr>
          <w:ilvl w:val="0"/>
          <w:numId w:val="1"/>
        </w:numPr>
        <w:spacing w:line="240" w:lineRule="auto"/>
        <w:ind w:right="-45"/>
        <w:jc w:val="both"/>
        <w:rPr>
          <w:b/>
        </w:rPr>
      </w:pPr>
      <w:r>
        <w:rPr>
          <w:b/>
          <w:u w:val="single"/>
        </w:rPr>
        <w:t>Revalorisation du plafond annuel de l’indemnité kilométrique vélo :</w:t>
      </w:r>
    </w:p>
    <w:p w:rsidR="00590509" w:rsidRDefault="00590509">
      <w:pPr>
        <w:spacing w:line="240" w:lineRule="auto"/>
        <w:ind w:right="-45"/>
        <w:jc w:val="both"/>
        <w:rPr>
          <w:b/>
          <w:u w:val="single"/>
        </w:rPr>
      </w:pPr>
    </w:p>
    <w:p w:rsidR="00590509" w:rsidRDefault="00EE6493">
      <w:pPr>
        <w:spacing w:line="240" w:lineRule="auto"/>
        <w:jc w:val="both"/>
      </w:pPr>
      <w:r>
        <w:t>Le présent accord inclut la revalorisation du plafond annuel de l’indemnité kilo</w:t>
      </w:r>
      <w:r>
        <w:t>métrique réalisé à vélo sur le trajet Domicile/travail à 400€/an sur déclaration annuelle sur l'honneur.</w:t>
      </w:r>
    </w:p>
    <w:p w:rsidR="00590509" w:rsidRDefault="00590509">
      <w:pPr>
        <w:spacing w:line="240" w:lineRule="auto"/>
        <w:jc w:val="both"/>
      </w:pPr>
    </w:p>
    <w:p w:rsidR="00590509" w:rsidRDefault="00EE6493">
      <w:pPr>
        <w:numPr>
          <w:ilvl w:val="0"/>
          <w:numId w:val="1"/>
        </w:numPr>
        <w:spacing w:line="240" w:lineRule="auto"/>
        <w:ind w:right="-45"/>
        <w:jc w:val="both"/>
        <w:rPr>
          <w:b/>
        </w:rPr>
      </w:pPr>
      <w:r>
        <w:rPr>
          <w:b/>
          <w:u w:val="single"/>
        </w:rPr>
        <w:lastRenderedPageBreak/>
        <w:t>Prise en charge de l’augmentation de l’admission restaurant et de l’augmentation des prix de l’alimentaire :</w:t>
      </w:r>
    </w:p>
    <w:p w:rsidR="00590509" w:rsidRDefault="00590509">
      <w:pPr>
        <w:spacing w:line="240" w:lineRule="auto"/>
        <w:ind w:right="-45"/>
        <w:jc w:val="both"/>
        <w:rPr>
          <w:b/>
          <w:u w:val="single"/>
        </w:rPr>
      </w:pPr>
    </w:p>
    <w:p w:rsidR="00590509" w:rsidRDefault="00EE6493">
      <w:pPr>
        <w:spacing w:line="240" w:lineRule="auto"/>
        <w:jc w:val="both"/>
      </w:pPr>
      <w:r>
        <w:t>Le présent accord prévoit la prise en ch</w:t>
      </w:r>
      <w:r>
        <w:t>arge de l’augmentation de l’admission restaurant et de 50% de l’augmentation des prix de l’alimentaire.</w:t>
      </w:r>
    </w:p>
    <w:p w:rsidR="00590509" w:rsidRDefault="00590509">
      <w:pPr>
        <w:spacing w:line="240" w:lineRule="auto"/>
        <w:ind w:right="-45"/>
        <w:jc w:val="both"/>
        <w:rPr>
          <w:i/>
          <w:shd w:color="auto" w:fill="F4CCCC" w:val="clear"/>
        </w:rPr>
      </w:pPr>
    </w:p>
    <w:p w:rsidR="00590509" w:rsidRDefault="00590509">
      <w:pPr>
        <w:spacing w:line="240" w:lineRule="auto"/>
        <w:ind w:right="-45"/>
        <w:jc w:val="both"/>
        <w:rPr>
          <w:b/>
          <w:u w:val="single"/>
        </w:rPr>
      </w:pPr>
    </w:p>
    <w:p w:rsidR="00590509" w:rsidRDefault="00EE6493">
      <w:pPr>
        <w:spacing w:line="240" w:lineRule="auto"/>
        <w:ind w:right="-45"/>
        <w:jc w:val="both"/>
        <w:rPr>
          <w:b/>
          <w:u w:val="single"/>
        </w:rPr>
      </w:pPr>
      <w:r>
        <w:rPr>
          <w:b/>
          <w:u w:val="single"/>
        </w:rPr>
        <w:t>ARTICLE 6: DURÉE DE L’ACCORD ET FORMALITES DE PUBLICITE</w:t>
      </w:r>
    </w:p>
    <w:p w:rsidR="00590509" w:rsidRDefault="00EE6493">
      <w:pPr>
        <w:spacing w:line="240" w:lineRule="auto"/>
        <w:ind w:right="-45"/>
        <w:jc w:val="both"/>
      </w:pPr>
      <w:r>
        <w:t xml:space="preserve"> </w:t>
      </w:r>
    </w:p>
    <w:p w:rsidR="00590509" w:rsidRDefault="00EE6493">
      <w:pPr>
        <w:spacing w:line="240" w:lineRule="auto"/>
        <w:ind w:right="-45"/>
        <w:jc w:val="both"/>
        <w:rPr>
          <w:highlight w:val="white"/>
        </w:rPr>
      </w:pPr>
      <w:r>
        <w:t>Les dispositions du présent accord sont conclues pour une durée déterminée jusqu'au 31 décem</w:t>
      </w:r>
      <w:r>
        <w:t>bre 2023. En application de l’article L.2222-4 du Code du travail, les dispositions à durée déterminée du présent accord ne se transformeront pas en accord à durée indéterminée à l’échéance du terme ci-dessus fixé et cesseront de produire tout effet à cett</w:t>
      </w:r>
      <w:r>
        <w:t>e date.</w:t>
      </w:r>
    </w:p>
    <w:p w:rsidR="00590509" w:rsidRDefault="00590509">
      <w:pPr>
        <w:spacing w:line="240" w:lineRule="auto"/>
        <w:ind w:right="-45"/>
        <w:jc w:val="both"/>
        <w:rPr>
          <w:highlight w:val="white"/>
        </w:rPr>
      </w:pPr>
    </w:p>
    <w:p w:rsidR="00590509" w:rsidRDefault="00EE6493">
      <w:pPr>
        <w:spacing w:line="240" w:lineRule="auto"/>
        <w:ind w:right="-45"/>
        <w:jc w:val="both"/>
        <w:rPr>
          <w:highlight w:val="white"/>
        </w:rPr>
      </w:pPr>
      <w:r>
        <w:rPr>
          <w:highlight w:val="white"/>
        </w:rPr>
        <w:t>Le présent accord sera notifié par la Direction de la Société à l’ensemble des organisations syndicales représentatives de l’entreprise, accompagné du procès-verbal d’ouverture des négociations portant sur les écarts de rémunération entre les homm</w:t>
      </w:r>
      <w:r>
        <w:rPr>
          <w:highlight w:val="white"/>
        </w:rPr>
        <w:t>es et les femmes.</w:t>
      </w:r>
    </w:p>
    <w:p w:rsidR="00590509" w:rsidRDefault="00EE6493">
      <w:pPr>
        <w:spacing w:line="240" w:lineRule="auto"/>
        <w:ind w:right="-45"/>
        <w:jc w:val="both"/>
        <w:rPr>
          <w:highlight w:val="white"/>
        </w:rPr>
      </w:pPr>
      <w:r>
        <w:rPr>
          <w:highlight w:val="white"/>
        </w:rPr>
        <w:t xml:space="preserve">  </w:t>
      </w:r>
    </w:p>
    <w:p w:rsidR="00590509" w:rsidRDefault="00EE6493">
      <w:pPr>
        <w:spacing w:line="240" w:lineRule="auto"/>
        <w:ind w:right="-45"/>
        <w:jc w:val="both"/>
        <w:rPr>
          <w:highlight w:val="white"/>
        </w:rPr>
      </w:pPr>
      <w:r>
        <w:rPr>
          <w:highlight w:val="white"/>
        </w:rPr>
        <w:t xml:space="preserve">A l’expiration du délai d’opposition de 8 jours, l’accord sera déposé par la Direction de la Société en deux exemplaires : </w:t>
      </w:r>
    </w:p>
    <w:p w:rsidR="00590509" w:rsidRDefault="00EE6493">
      <w:pPr>
        <w:spacing w:line="240" w:lineRule="auto"/>
        <w:ind w:right="-45"/>
      </w:pPr>
      <w:r>
        <w:t xml:space="preserve">- En version électronique via la plateforme: </w:t>
      </w:r>
      <w:hyperlink r:id="rId8">
        <w:r>
          <w:rPr>
            <w:color w:val="1155CC"/>
            <w:u w:val="single"/>
          </w:rPr>
          <w:t>https://www.teleaccords.travail-emploi.gouv.fr/PortailTeleprocedures/</w:t>
        </w:r>
      </w:hyperlink>
      <w:r>
        <w:t xml:space="preserve"> .</w:t>
      </w:r>
    </w:p>
    <w:p w:rsidR="00590509" w:rsidRDefault="00EE6493">
      <w:pPr>
        <w:spacing w:line="240" w:lineRule="auto"/>
        <w:ind w:right="-45"/>
        <w:jc w:val="both"/>
        <w:rPr>
          <w:highlight w:val="white"/>
        </w:rPr>
      </w:pPr>
      <w:r>
        <w:t>- Sur support papier au secrétariat greffe du Conseil de prud'hommes de Créteil</w:t>
      </w:r>
      <w:r>
        <w:rPr>
          <w:highlight w:val="white"/>
        </w:rPr>
        <w:t>.</w:t>
      </w:r>
    </w:p>
    <w:p w:rsidR="00590509" w:rsidRDefault="00EE6493">
      <w:pPr>
        <w:spacing w:line="240" w:lineRule="auto"/>
        <w:ind w:right="-45"/>
        <w:jc w:val="both"/>
        <w:rPr>
          <w:highlight w:val="white"/>
        </w:rPr>
      </w:pPr>
      <w:r>
        <w:rPr>
          <w:highlight w:val="white"/>
        </w:rPr>
        <w:t xml:space="preserve">  </w:t>
      </w:r>
    </w:p>
    <w:p w:rsidR="00590509" w:rsidRDefault="00EE6493">
      <w:pPr>
        <w:spacing w:line="240" w:lineRule="auto"/>
        <w:ind w:right="-45"/>
        <w:jc w:val="both"/>
        <w:rPr>
          <w:highlight w:val="white"/>
        </w:rPr>
      </w:pPr>
      <w:r>
        <w:rPr>
          <w:highlight w:val="white"/>
        </w:rPr>
        <w:t>Le présent accord fera l’objet d’un affichage au sein des établissements de C</w:t>
      </w:r>
      <w:r>
        <w:rPr>
          <w:highlight w:val="white"/>
        </w:rPr>
        <w:t xml:space="preserve">réteil et Nevers, et fera l’objet d’une communication spécifique aux salariés basés en dehors de ces </w:t>
      </w:r>
      <w:r>
        <w:t>2</w:t>
      </w:r>
      <w:r>
        <w:rPr>
          <w:highlight w:val="yellow"/>
        </w:rPr>
        <w:t xml:space="preserve"> </w:t>
      </w:r>
      <w:r>
        <w:rPr>
          <w:highlight w:val="white"/>
        </w:rPr>
        <w:t>établissements.</w:t>
      </w:r>
    </w:p>
    <w:p w:rsidR="00590509" w:rsidRDefault="00590509">
      <w:pPr>
        <w:spacing w:line="240" w:lineRule="auto"/>
        <w:ind w:right="-45"/>
        <w:jc w:val="both"/>
        <w:rPr>
          <w:highlight w:val="white"/>
        </w:rPr>
      </w:pPr>
    </w:p>
    <w:p w:rsidR="00590509" w:rsidRDefault="00590509">
      <w:pPr>
        <w:spacing w:line="240" w:lineRule="auto"/>
        <w:ind w:right="-45"/>
        <w:jc w:val="both"/>
      </w:pPr>
    </w:p>
    <w:p w:rsidR="00590509" w:rsidRDefault="00EE6493">
      <w:pPr>
        <w:spacing w:line="240" w:lineRule="auto"/>
        <w:ind w:right="-45"/>
        <w:jc w:val="both"/>
      </w:pPr>
      <w:r>
        <w:br w:type="page"/>
      </w:r>
    </w:p>
    <w:p w:rsidR="00590509" w:rsidRDefault="00EE6493">
      <w:pPr>
        <w:spacing w:line="240" w:lineRule="auto"/>
        <w:ind w:right="-45"/>
        <w:jc w:val="both"/>
      </w:pPr>
      <w:r>
        <w:lastRenderedPageBreak/>
        <w:t>Fait à Créteil, le 12 décembre 2022</w:t>
      </w:r>
    </w:p>
    <w:p w:rsidR="00590509" w:rsidRDefault="00EE6493">
      <w:pPr>
        <w:spacing w:line="240" w:lineRule="auto"/>
        <w:ind w:right="-45"/>
        <w:jc w:val="both"/>
      </w:pPr>
      <w:r>
        <w:t>En 5 exemplaires originaux.</w:t>
      </w:r>
    </w:p>
    <w:p w:rsidR="00590509" w:rsidRDefault="00590509">
      <w:pPr>
        <w:spacing w:line="240" w:lineRule="auto"/>
        <w:ind w:right="-45"/>
        <w:jc w:val="both"/>
        <w:rPr>
          <w:i/>
          <w:shd w:color="auto" w:fill="F4CCCC" w:val="clear"/>
        </w:rPr>
      </w:pPr>
    </w:p>
    <w:p w:rsidR="00590509" w:rsidRDefault="00590509">
      <w:pPr>
        <w:spacing w:line="240" w:lineRule="auto"/>
        <w:ind w:right="-45"/>
        <w:jc w:val="both"/>
      </w:pPr>
    </w:p>
    <w:p w:rsidR="00590509" w:rsidRDefault="00EE6493">
      <w:pPr>
        <w:spacing w:line="240" w:lineRule="auto"/>
        <w:ind w:right="-45"/>
        <w:jc w:val="both"/>
      </w:pPr>
      <w:r>
        <w:t xml:space="preserve"> </w:t>
      </w:r>
    </w:p>
    <w:p w:rsidR="00590509" w:rsidRDefault="00EE6493">
      <w:pPr>
        <w:spacing w:line="240" w:lineRule="auto"/>
        <w:ind w:right="-45"/>
        <w:jc w:val="both"/>
      </w:pPr>
      <w:r>
        <w:t xml:space="preserve"> </w:t>
      </w:r>
    </w:p>
    <w:p w:rsidR="00590509" w:rsidRDefault="00EE6493">
      <w:pPr>
        <w:spacing w:line="240" w:lineRule="auto"/>
        <w:ind w:right="-45"/>
        <w:jc w:val="both"/>
      </w:pPr>
      <w:r>
        <w:t>Pour la Direction                                                        Pour les Organisations Syndicales,</w:t>
      </w:r>
    </w:p>
    <w:p w:rsidR="00590509" w:rsidRDefault="00EE6493">
      <w:pPr>
        <w:spacing w:line="240" w:lineRule="auto"/>
        <w:ind w:right="-45"/>
        <w:jc w:val="both"/>
      </w:pPr>
      <w:r>
        <w:t xml:space="preserve">                                                                             </w:t>
      </w:r>
      <w:r>
        <w:tab/>
        <w:t>Les Délégués Syndicaux Centraux</w:t>
      </w:r>
    </w:p>
    <w:p w:rsidR="00590509" w:rsidRDefault="00EE6493">
      <w:pPr>
        <w:spacing w:line="240" w:lineRule="auto"/>
        <w:ind w:right="-45"/>
        <w:jc w:val="both"/>
      </w:pPr>
      <w:r>
        <w:t xml:space="preserve"> </w:t>
      </w:r>
    </w:p>
    <w:p w:rsidR="00590509" w:rsidRDefault="00EE6493">
      <w:pPr>
        <w:spacing w:line="240" w:lineRule="auto"/>
        <w:ind w:firstLine="720" w:left="720" w:right="-45"/>
        <w:jc w:val="both"/>
        <w:rPr>
          <w:b/>
        </w:rPr>
      </w:pPr>
      <w:r>
        <w:rPr>
          <w:b/>
        </w:rPr>
        <w:tab/>
      </w:r>
      <w:r>
        <w:rPr>
          <w:b/>
        </w:rPr>
        <w:tab/>
      </w:r>
      <w:r>
        <w:rPr>
          <w:b/>
        </w:rPr>
        <w:tab/>
      </w:r>
      <w:r>
        <w:rPr>
          <w:b/>
        </w:rPr>
        <w:tab/>
      </w:r>
      <w:r>
        <w:rPr>
          <w:b/>
        </w:rPr>
        <w:tab/>
        <w:t>Pour la CFE-CGC</w:t>
      </w:r>
    </w:p>
    <w:p w:rsidR="00590509" w:rsidRDefault="00EE6493">
      <w:pPr>
        <w:spacing w:line="240" w:lineRule="auto"/>
        <w:ind w:right="-45"/>
        <w:jc w:val="both"/>
        <w:rPr>
          <w:b/>
        </w:rPr>
      </w:pPr>
      <w:r>
        <w:rPr>
          <w:b/>
        </w:rPr>
        <w:tab/>
      </w:r>
      <w:r>
        <w:rPr>
          <w:b/>
        </w:rPr>
        <w:tab/>
        <w:t xml:space="preserve">            </w:t>
      </w:r>
      <w:r>
        <w:rPr>
          <w:b/>
        </w:rPr>
        <w:tab/>
      </w:r>
      <w:r>
        <w:rPr>
          <w:b/>
        </w:rPr>
        <w:t xml:space="preserve"> </w:t>
      </w:r>
    </w:p>
    <w:p w:rsidR="00590509" w:rsidRDefault="00590509">
      <w:pPr>
        <w:spacing w:line="240" w:lineRule="auto"/>
        <w:ind w:right="-45"/>
        <w:jc w:val="both"/>
        <w:rPr>
          <w:b/>
          <w:highlight w:val="yellow"/>
        </w:rPr>
      </w:pPr>
    </w:p>
    <w:p w:rsidR="00590509" w:rsidRDefault="00590509">
      <w:pPr>
        <w:spacing w:line="240" w:lineRule="auto"/>
        <w:ind w:right="-45"/>
        <w:jc w:val="both"/>
        <w:rPr>
          <w:b/>
          <w:highlight w:val="yellow"/>
        </w:rPr>
      </w:pPr>
    </w:p>
    <w:p w:rsidR="00590509" w:rsidRDefault="00590509">
      <w:pPr>
        <w:spacing w:line="240" w:lineRule="auto"/>
        <w:ind w:right="-45"/>
        <w:jc w:val="both"/>
        <w:rPr>
          <w:b/>
          <w:highlight w:val="yellow"/>
        </w:rPr>
      </w:pPr>
    </w:p>
    <w:p w:rsidR="00590509" w:rsidRDefault="00590509">
      <w:pPr>
        <w:spacing w:line="240" w:lineRule="auto"/>
        <w:ind w:firstLine="720" w:left="4320" w:right="-45"/>
        <w:jc w:val="both"/>
        <w:rPr>
          <w:b/>
        </w:rPr>
      </w:pPr>
    </w:p>
    <w:p w:rsidR="00590509" w:rsidRDefault="00EE6493">
      <w:pPr>
        <w:spacing w:line="240" w:lineRule="auto"/>
        <w:ind w:firstLine="720" w:left="4320" w:right="-45"/>
        <w:jc w:val="both"/>
        <w:rPr>
          <w:b/>
        </w:rPr>
      </w:pPr>
      <w:r>
        <w:rPr>
          <w:b/>
        </w:rPr>
        <w:t>Pour la CFTC</w:t>
      </w:r>
    </w:p>
    <w:p w:rsidR="00590509" w:rsidRDefault="00590509">
      <w:pPr>
        <w:spacing w:line="240" w:lineRule="auto"/>
        <w:ind w:firstLine="720" w:left="4320" w:right="-45"/>
        <w:jc w:val="both"/>
        <w:rPr>
          <w:b/>
        </w:rPr>
      </w:pPr>
    </w:p>
    <w:p w:rsidR="00590509" w:rsidRDefault="00590509">
      <w:pPr>
        <w:spacing w:line="240" w:lineRule="auto"/>
        <w:ind w:firstLine="720" w:left="4320" w:right="-45"/>
        <w:jc w:val="both"/>
        <w:rPr>
          <w:b/>
        </w:rPr>
      </w:pPr>
    </w:p>
    <w:p w:rsidR="00590509" w:rsidRDefault="00590509">
      <w:pPr>
        <w:spacing w:line="240" w:lineRule="auto"/>
        <w:ind w:firstLine="720" w:left="4320" w:right="-45"/>
        <w:jc w:val="both"/>
        <w:rPr>
          <w:b/>
        </w:rPr>
      </w:pPr>
    </w:p>
    <w:p w:rsidR="00590509" w:rsidRDefault="00590509">
      <w:pPr>
        <w:spacing w:line="240" w:lineRule="auto"/>
        <w:ind w:firstLine="720" w:left="4320" w:right="-45"/>
        <w:jc w:val="both"/>
        <w:rPr>
          <w:b/>
        </w:rPr>
      </w:pPr>
    </w:p>
    <w:p w:rsidR="00590509" w:rsidRDefault="00590509">
      <w:pPr>
        <w:spacing w:line="240" w:lineRule="auto"/>
        <w:ind w:firstLine="720" w:left="4320" w:right="-45"/>
        <w:jc w:val="both"/>
        <w:rPr>
          <w:b/>
        </w:rPr>
      </w:pPr>
    </w:p>
    <w:p w:rsidR="00590509" w:rsidRDefault="00EE6493">
      <w:pPr>
        <w:spacing w:line="240" w:lineRule="auto"/>
        <w:ind w:firstLine="720" w:left="4320" w:right="-45"/>
        <w:jc w:val="both"/>
        <w:rPr>
          <w:b/>
        </w:rPr>
      </w:pPr>
      <w:r>
        <w:rPr>
          <w:b/>
        </w:rPr>
        <w:t>Pour la CGT</w:t>
      </w:r>
    </w:p>
    <w:p w:rsidR="00590509" w:rsidRDefault="00590509">
      <w:pPr>
        <w:spacing w:line="240" w:lineRule="auto"/>
        <w:ind w:firstLine="720" w:left="4320" w:right="-45"/>
        <w:jc w:val="both"/>
      </w:pPr>
    </w:p>
    <w:sectPr w:rsidR="00590509">
      <w:headerReference r:id="rId9" w:type="default"/>
      <w:footerReference r:id="rId10" w:type="default"/>
      <w:pgSz w:h="16834" w:w="11909"/>
      <w:pgMar w:bottom="1440" w:footer="720" w:gutter="0" w:header="720" w:left="1440" w:right="1440" w:top="144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493" w:rsidRDefault="00EE6493">
      <w:pPr>
        <w:spacing w:line="240" w:lineRule="auto"/>
      </w:pPr>
      <w:r>
        <w:separator/>
      </w:r>
    </w:p>
  </w:endnote>
  <w:endnote w:type="continuationSeparator" w:id="0">
    <w:p w:rsidR="00EE6493" w:rsidRDefault="00EE6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590509" w:rsidRDefault="00EE6493">
    <w:pPr>
      <w:jc w:val="right"/>
    </w:pPr>
    <w:r>
      <w:fldChar w:fldCharType="begin"/>
    </w:r>
    <w:r>
      <w:instrText>PAGE</w:instrText>
    </w:r>
    <w:r w:rsidR="00100C16">
      <w:fldChar w:fldCharType="separate"/>
    </w:r>
    <w:r w:rsidR="00100C16">
      <w:rPr>
        <w:noProof/>
      </w:rPr>
      <w:t>7</w:t>
    </w:r>
    <w: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EE6493" w:rsidRDefault="00EE6493">
      <w:pPr>
        <w:spacing w:line="240" w:lineRule="auto"/>
      </w:pPr>
      <w:r>
        <w:separator/>
      </w:r>
    </w:p>
  </w:footnote>
  <w:footnote w:id="0" w:type="continuationSeparator">
    <w:p w:rsidR="00EE6493" w:rsidRDefault="00EE6493">
      <w:pPr>
        <w:spacing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590509" w:rsidRDefault="00590509">
    <w:pPr>
      <w:jc w:val="center"/>
      <w:rPr>
        <w:b/>
        <w:color w:val="FF0000"/>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B1466C"/>
    <w:multiLevelType w:val="multilevel"/>
    <w:tmpl w:val="BEAEA3F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
    <w:nsid w:val="22B06C48"/>
    <w:multiLevelType w:val="multilevel"/>
    <w:tmpl w:val="9D94AC4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2">
    <w:nsid w:val="23D444D1"/>
    <w:multiLevelType w:val="multilevel"/>
    <w:tmpl w:val="704230C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3">
    <w:nsid w:val="2865780A"/>
    <w:multiLevelType w:val="multilevel"/>
    <w:tmpl w:val="E38889F0"/>
    <w:lvl w:ilvl="0">
      <w:start w:val="4"/>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15:restartNumberingAfterBreak="0" w:abstractNumId="4">
    <w:nsid w:val="45730443"/>
    <w:multiLevelType w:val="multilevel"/>
    <w:tmpl w:val="77C2B6B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5">
    <w:nsid w:val="595E21FD"/>
    <w:multiLevelType w:val="multilevel"/>
    <w:tmpl w:val="6092212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6BAD10D6"/>
    <w:multiLevelType w:val="multilevel"/>
    <w:tmpl w:val="095A38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7C8E2720"/>
    <w:multiLevelType w:val="multilevel"/>
    <w:tmpl w:val="4D4CC69C"/>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7"/>
  </w:num>
  <w:num w:numId="8">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activeWritingStyle w:appName="MSWord" w:checkStyle="0" w:dllVersion="131078" w:lang="fr-FR" w:nlCheck="1" w:vendorID="64"/>
  <w:proofState w:grammar="clean"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09"/>
    <w:rsid w:val="00100C16"/>
    <w:rsid w:val="00590509"/>
    <w:rsid w:val="00EE649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CB87F0C"/>
  <w15:docId w15:val="{27C41203-A27A-4425-87A6-C3167356A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sz w:val="22"/>
        <w:szCs w:val="22"/>
        <w:lang w:bidi="ar-SA" w:eastAsia="fr-FR" w:val="fr"/>
      </w:rPr>
    </w:rPrDefault>
    <w:pPrDefault>
      <w:pPr>
        <w:spacing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00"/>
      <w:outlineLvl w:val="0"/>
    </w:pPr>
    <w:rPr>
      <w:sz w:val="40"/>
      <w:szCs w:val="40"/>
    </w:rPr>
  </w:style>
  <w:style w:styleId="Titre2" w:type="paragraph">
    <w:name w:val="heading 2"/>
    <w:basedOn w:val="Normal"/>
    <w:next w:val="Normal"/>
    <w:pPr>
      <w:keepNext/>
      <w:keepLines/>
      <w:spacing w:after="120" w:before="360"/>
      <w:outlineLvl w:val="1"/>
    </w:pPr>
    <w:rPr>
      <w:sz w:val="32"/>
      <w:szCs w:val="32"/>
    </w:rPr>
  </w:style>
  <w:style w:styleId="Titre3" w:type="paragraph">
    <w:name w:val="heading 3"/>
    <w:basedOn w:val="Normal"/>
    <w:next w:val="Normal"/>
    <w:pPr>
      <w:keepNext/>
      <w:keepLines/>
      <w:spacing w:after="80" w:before="320"/>
      <w:outlineLvl w:val="2"/>
    </w:pPr>
    <w:rPr>
      <w:color w:val="434343"/>
      <w:sz w:val="28"/>
      <w:szCs w:val="28"/>
    </w:rPr>
  </w:style>
  <w:style w:styleId="Titre4" w:type="paragraph">
    <w:name w:val="heading 4"/>
    <w:basedOn w:val="Normal"/>
    <w:next w:val="Normal"/>
    <w:pPr>
      <w:keepNext/>
      <w:keepLines/>
      <w:spacing w:after="80" w:before="280"/>
      <w:outlineLvl w:val="3"/>
    </w:pPr>
    <w:rPr>
      <w:color w:val="666666"/>
      <w:sz w:val="24"/>
      <w:szCs w:val="24"/>
    </w:rPr>
  </w:style>
  <w:style w:styleId="Titre5" w:type="paragraph">
    <w:name w:val="heading 5"/>
    <w:basedOn w:val="Normal"/>
    <w:next w:val="Normal"/>
    <w:pPr>
      <w:keepNext/>
      <w:keepLines/>
      <w:spacing w:after="80" w:before="240"/>
      <w:outlineLvl w:val="4"/>
    </w:pPr>
    <w:rPr>
      <w:color w:val="666666"/>
    </w:rPr>
  </w:style>
  <w:style w:styleId="Titre6" w:type="paragraph">
    <w:name w:val="heading 6"/>
    <w:basedOn w:val="Normal"/>
    <w:next w:val="Normal"/>
    <w:pPr>
      <w:keepNext/>
      <w:keepLines/>
      <w:spacing w:after="80" w:before="240"/>
      <w:outlineLvl w:val="5"/>
    </w:pPr>
    <w:rPr>
      <w:i/>
      <w:color w:val="66666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60"/>
    </w:pPr>
    <w:rPr>
      <w:sz w:val="52"/>
      <w:szCs w:val="52"/>
    </w:rPr>
  </w:style>
  <w:style w:styleId="Sous-titre" w:type="paragraph">
    <w:name w:val="Subtitle"/>
    <w:basedOn w:val="Normal"/>
    <w:next w:val="Normal"/>
    <w:pPr>
      <w:keepNext/>
      <w:keepLines/>
      <w:spacing w:after="320"/>
    </w:pPr>
    <w:rPr>
      <w:color w:val="666666"/>
      <w:sz w:val="30"/>
      <w:szCs w:val="30"/>
    </w:rPr>
  </w:style>
  <w:style w:customStyle="1" w:styleId="a" w:type="table">
    <w:basedOn w:val="TableNormal"/>
    <w:tblPr>
      <w:tblStyleRowBandSize w:val="1"/>
      <w:tblStyleColBandSize w:val="1"/>
      <w:tblCellMar>
        <w:top w:type="dxa" w:w="100"/>
        <w:left w:type="dxa" w:w="100"/>
        <w:bottom w:type="dxa" w:w="100"/>
        <w:right w:type="dxa" w:w="100"/>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g" Type="http://schemas.openxmlformats.org/officeDocument/2006/relationships/image"/><Relationship Id="rId8" Target="https://www.teleaccords.travail-emploi.gouv.fr/PortailTeleprocedures/"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2043</Words>
  <Characters>11237</Characters>
  <Application>Microsoft Office Word</Application>
  <DocSecurity>0</DocSecurity>
  <Lines>93</Lines>
  <Paragraphs>26</Paragraphs>
  <ScaleCrop>false</ScaleCrop>
  <HeadingPairs>
    <vt:vector baseType="variant" size="2">
      <vt:variant>
        <vt:lpstr>Titre</vt:lpstr>
      </vt:variant>
      <vt:variant>
        <vt:i4>1</vt:i4>
      </vt:variant>
    </vt:vector>
  </HeadingPairs>
  <TitlesOfParts>
    <vt:vector baseType="lpstr" size="1">
      <vt:lpstr/>
    </vt:vector>
  </TitlesOfParts>
  <Company>Valeo</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2023-02-21T18:13:00Z</dcterms:created>
  <dcterms:modified xsi:type="dcterms:W3CDTF">2023-02-21T18:13:00Z</dcterms:modified>
  <cp:revision>2</cp:revision>
</cp:coreProperties>
</file>