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cs="Arial"/>
        </w:rPr>
      </w:pPr>
      <w:r>
        <w:rPr>
          <w:rFonts w:cs="Arial" w:ascii="Calibri" w:hAnsi="Calibri"/>
        </w:rPr>
      </w:r>
    </w:p>
    <w:tbl>
      <w:tblPr>
        <w:tblW w:w="922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20"/>
      </w:tblGrid>
      <w:tr>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ing1"/>
              <w:numPr>
                <w:ilvl w:val="0"/>
                <w:numId w:val="1"/>
              </w:numPr>
              <w:rPr>
                <w:rFonts w:ascii="Calibri" w:hAnsi="Calibri" w:cs="Arial"/>
                <w:sz w:val="36"/>
                <w:szCs w:val="28"/>
              </w:rPr>
            </w:pPr>
            <w:r>
              <w:rPr>
                <w:rFonts w:cs="Arial" w:ascii="Calibri" w:hAnsi="Calibri"/>
                <w:sz w:val="36"/>
                <w:szCs w:val="28"/>
              </w:rPr>
              <w:t>ACCORD COLLECTIF SUR LES</w:t>
            </w:r>
          </w:p>
          <w:p>
            <w:pPr>
              <w:pStyle w:val="Heading1"/>
              <w:numPr>
                <w:ilvl w:val="0"/>
                <w:numId w:val="1"/>
              </w:numPr>
              <w:rPr>
                <w:rFonts w:ascii="Calibri" w:hAnsi="Calibri" w:cs="Arial"/>
                <w:sz w:val="36"/>
                <w:szCs w:val="28"/>
              </w:rPr>
            </w:pPr>
            <w:r>
              <w:rPr>
                <w:rFonts w:cs="Arial" w:ascii="Calibri" w:hAnsi="Calibri"/>
                <w:sz w:val="36"/>
                <w:szCs w:val="28"/>
              </w:rPr>
              <w:t>NEGOCIATIONS ANNUELLES OBLIGATOIRES</w:t>
            </w:r>
          </w:p>
          <w:p>
            <w:pPr>
              <w:pStyle w:val="Heading1"/>
              <w:numPr>
                <w:ilvl w:val="0"/>
                <w:numId w:val="1"/>
              </w:numPr>
              <w:rPr>
                <w:rFonts w:ascii="Calibri" w:hAnsi="Calibri" w:cs="Arial"/>
                <w:sz w:val="36"/>
                <w:szCs w:val="28"/>
              </w:rPr>
            </w:pPr>
            <w:r>
              <w:rPr>
                <w:rFonts w:cs="Arial" w:ascii="Calibri" w:hAnsi="Calibri"/>
                <w:sz w:val="36"/>
                <w:szCs w:val="28"/>
              </w:rPr>
              <w:t>AU TITRE DE L’ANNEE 2022</w:t>
            </w:r>
          </w:p>
        </w:tc>
      </w:tr>
    </w:tbl>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r>
    </w:p>
    <w:p>
      <w:pPr>
        <w:pStyle w:val="Normal"/>
        <w:jc w:val="both"/>
        <w:rPr>
          <w:rFonts w:ascii="Calibri" w:hAnsi="Calibri" w:cs="Arial"/>
          <w:b/>
          <w:b/>
          <w:sz w:val="22"/>
          <w:szCs w:val="22"/>
          <w:u w:val="single"/>
        </w:rPr>
      </w:pPr>
      <w:r>
        <w:rPr>
          <w:rFonts w:cs="Arial" w:ascii="Calibri" w:hAnsi="Calibri"/>
          <w:b/>
          <w:sz w:val="22"/>
          <w:szCs w:val="22"/>
          <w:u w:val="single"/>
        </w:rPr>
        <w:t>Entre d’une part,</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sz w:val="24"/>
        </w:rPr>
      </w:pPr>
      <w:r>
        <w:rPr>
          <w:rFonts w:cs="Arial" w:ascii="Calibri" w:hAnsi="Calibri"/>
          <w:sz w:val="22"/>
        </w:rPr>
        <w:t xml:space="preserve">La Société DASSAULT FALCON SERVICE (D.F.S.), située </w:t>
        <w:tab/>
        <w:t xml:space="preserve">53-55 Avenue de L’Europe, Aéroport du Bourget, Zone d’aviation d’affaires, CS 70003 - 93352 Le Bourget CEDEX, </w:t>
      </w:r>
    </w:p>
    <w:p>
      <w:pPr>
        <w:pStyle w:val="Normal"/>
        <w:jc w:val="both"/>
        <w:rPr>
          <w:rFonts w:ascii="Calibri" w:hAnsi="Calibri" w:cs="Arial"/>
          <w:sz w:val="24"/>
        </w:rPr>
      </w:pPr>
      <w:r>
        <w:rPr>
          <w:rFonts w:cs="Arial" w:ascii="Calibri" w:hAnsi="Calibri"/>
          <w:sz w:val="24"/>
        </w:rPr>
      </w:r>
    </w:p>
    <w:p>
      <w:pPr>
        <w:pStyle w:val="Normal"/>
        <w:jc w:val="both"/>
        <w:rPr>
          <w:rFonts w:ascii="Calibri" w:hAnsi="Calibri" w:cs="Arial"/>
          <w:sz w:val="24"/>
        </w:rPr>
      </w:pPr>
      <w:r>
        <w:rPr>
          <w:rFonts w:cs="Arial" w:ascii="Calibri" w:hAnsi="Calibri"/>
          <w:sz w:val="24"/>
        </w:rPr>
      </w:r>
    </w:p>
    <w:p>
      <w:pPr>
        <w:pStyle w:val="Normal"/>
        <w:jc w:val="both"/>
        <w:rPr>
          <w:rFonts w:ascii="Calibri" w:hAnsi="Calibri" w:cs="Arial"/>
          <w:sz w:val="24"/>
        </w:rPr>
      </w:pPr>
      <w:r>
        <w:rPr>
          <w:rFonts w:cs="Arial" w:ascii="Calibri" w:hAnsi="Calibri"/>
          <w:sz w:val="24"/>
        </w:rPr>
      </w:r>
    </w:p>
    <w:p>
      <w:pPr>
        <w:pStyle w:val="Normal"/>
        <w:jc w:val="both"/>
        <w:rPr>
          <w:rFonts w:ascii="Calibri" w:hAnsi="Calibri" w:cs="Arial"/>
          <w:b/>
          <w:b/>
          <w:sz w:val="22"/>
          <w:u w:val="single"/>
        </w:rPr>
      </w:pPr>
      <w:r>
        <w:rPr>
          <w:rFonts w:cs="Arial" w:ascii="Calibri" w:hAnsi="Calibri"/>
          <w:b/>
          <w:sz w:val="22"/>
          <w:u w:val="single"/>
        </w:rPr>
        <w:t>Et d’autre part les organisations syndicales représentatives dans l’entreprise,</w:t>
      </w:r>
    </w:p>
    <w:p>
      <w:pPr>
        <w:pStyle w:val="Normal"/>
        <w:jc w:val="both"/>
        <w:rPr>
          <w:rFonts w:ascii="Calibri" w:hAnsi="Calibri" w:cs="Arial"/>
          <w:b/>
          <w:b/>
          <w:sz w:val="22"/>
          <w:u w:val="single"/>
        </w:rPr>
      </w:pPr>
      <w:r>
        <w:rPr>
          <w:rFonts w:cs="Arial" w:ascii="Calibri" w:hAnsi="Calibri"/>
          <w:b/>
          <w:sz w:val="22"/>
          <w:u w:val="single"/>
        </w:rPr>
      </w:r>
    </w:p>
    <w:p>
      <w:pPr>
        <w:pStyle w:val="Normal"/>
        <w:jc w:val="both"/>
        <w:rPr>
          <w:rFonts w:ascii="Calibri" w:hAnsi="Calibri" w:cs="Arial"/>
          <w:b/>
          <w:b/>
          <w:sz w:val="22"/>
        </w:rPr>
      </w:pPr>
      <w:r>
        <w:rPr>
          <w:rFonts w:cs="Arial" w:ascii="Calibri" w:hAnsi="Calibri"/>
          <w:sz w:val="22"/>
        </w:rPr>
        <w:t xml:space="preserve">La </w:t>
      </w:r>
      <w:r>
        <w:rPr>
          <w:rFonts w:cs="Arial" w:ascii="Calibri" w:hAnsi="Calibri"/>
          <w:b/>
          <w:sz w:val="22"/>
        </w:rPr>
        <w:t>C.F.D.T.</w:t>
      </w:r>
      <w:r>
        <w:rPr>
          <w:rFonts w:cs="Arial" w:ascii="Calibri" w:hAnsi="Calibri"/>
          <w:sz w:val="22"/>
        </w:rPr>
        <w:t xml:space="preserve"> </w:t>
      </w:r>
    </w:p>
    <w:p>
      <w:pPr>
        <w:pStyle w:val="Normal"/>
        <w:jc w:val="both"/>
        <w:rPr>
          <w:rFonts w:ascii="Calibri" w:hAnsi="Calibri" w:cs="Arial"/>
          <w:b/>
          <w:b/>
          <w:sz w:val="22"/>
        </w:rPr>
      </w:pPr>
      <w:r>
        <w:rPr>
          <w:rFonts w:cs="Arial" w:ascii="Calibri" w:hAnsi="Calibri"/>
          <w:b/>
          <w:sz w:val="22"/>
        </w:rPr>
      </w:r>
    </w:p>
    <w:p>
      <w:pPr>
        <w:pStyle w:val="Normal"/>
        <w:jc w:val="both"/>
        <w:rPr>
          <w:rFonts w:ascii="Calibri" w:hAnsi="Calibri" w:cs="Arial"/>
          <w:b/>
          <w:b/>
          <w:sz w:val="22"/>
        </w:rPr>
      </w:pPr>
      <w:r>
        <w:rPr>
          <w:rFonts w:cs="Arial" w:ascii="Calibri" w:hAnsi="Calibri"/>
          <w:sz w:val="22"/>
        </w:rPr>
        <w:t xml:space="preserve">La </w:t>
      </w:r>
      <w:r>
        <w:rPr>
          <w:rFonts w:cs="Arial" w:ascii="Calibri" w:hAnsi="Calibri"/>
          <w:b/>
          <w:sz w:val="22"/>
        </w:rPr>
        <w:t>C.G.T. &amp; C.G.T. - U.G.I.C.T.</w:t>
      </w:r>
      <w:r>
        <w:rPr>
          <w:rFonts w:cs="Arial" w:ascii="Calibri" w:hAnsi="Calibri"/>
          <w:sz w:val="22"/>
        </w:rPr>
        <w:t xml:space="preserve"> </w:t>
      </w:r>
    </w:p>
    <w:p>
      <w:pPr>
        <w:pStyle w:val="Normal"/>
        <w:jc w:val="both"/>
        <w:rPr>
          <w:rFonts w:ascii="Calibri" w:hAnsi="Calibri" w:cs="Arial"/>
          <w:b/>
          <w:b/>
          <w:sz w:val="22"/>
        </w:rPr>
      </w:pPr>
      <w:r>
        <w:rPr>
          <w:rFonts w:cs="Arial" w:ascii="Calibri" w:hAnsi="Calibri"/>
          <w:b/>
          <w:sz w:val="22"/>
        </w:rPr>
      </w:r>
    </w:p>
    <w:p>
      <w:pPr>
        <w:pStyle w:val="Normal"/>
        <w:jc w:val="both"/>
        <w:rPr>
          <w:rFonts w:ascii="Calibri" w:hAnsi="Calibri" w:cs="Arial"/>
          <w:sz w:val="22"/>
        </w:rPr>
      </w:pPr>
      <w:r>
        <w:rPr>
          <w:rFonts w:cs="Arial" w:ascii="Calibri" w:hAnsi="Calibri"/>
          <w:sz w:val="22"/>
        </w:rPr>
      </w:r>
    </w:p>
    <w:p>
      <w:pPr>
        <w:pStyle w:val="Normal"/>
        <w:jc w:val="both"/>
        <w:rPr>
          <w:rFonts w:ascii="Calibri" w:hAnsi="Calibri" w:cs="Arial"/>
          <w:sz w:val="22"/>
        </w:rPr>
      </w:pPr>
      <w:r>
        <w:rPr>
          <w:rFonts w:cs="Arial" w:ascii="Calibri" w:hAnsi="Calibri"/>
          <w:sz w:val="22"/>
        </w:rPr>
      </w:r>
    </w:p>
    <w:p>
      <w:pPr>
        <w:pStyle w:val="Normal"/>
        <w:jc w:val="both"/>
        <w:rPr>
          <w:rFonts w:ascii="Calibri" w:hAnsi="Calibri" w:cs="Arial"/>
          <w:sz w:val="22"/>
        </w:rPr>
      </w:pPr>
      <w:r>
        <w:rPr>
          <w:rFonts w:cs="Arial" w:ascii="Calibri" w:hAnsi="Calibri"/>
          <w:sz w:val="22"/>
        </w:rPr>
      </w:r>
    </w:p>
    <w:p>
      <w:pPr>
        <w:pStyle w:val="Normal"/>
        <w:jc w:val="both"/>
        <w:rPr>
          <w:rFonts w:ascii="Calibri" w:hAnsi="Calibri" w:cs="Arial"/>
          <w:sz w:val="22"/>
        </w:rPr>
      </w:pPr>
      <w:r>
        <w:rPr>
          <w:rFonts w:cs="Arial" w:ascii="Calibri" w:hAnsi="Calibri"/>
          <w:sz w:val="22"/>
        </w:rPr>
      </w:r>
    </w:p>
    <w:p>
      <w:pPr>
        <w:pStyle w:val="Normal"/>
        <w:jc w:val="both"/>
        <w:rPr>
          <w:rFonts w:ascii="Calibri" w:hAnsi="Calibri" w:cs="Arial"/>
          <w:sz w:val="22"/>
        </w:rPr>
      </w:pPr>
      <w:r>
        <w:rPr>
          <w:rFonts w:cs="Arial" w:ascii="Calibri" w:hAnsi="Calibri"/>
          <w:sz w:val="22"/>
        </w:rPr>
        <w:t>Il a été convenu et arrêté ce qui suit :</w:t>
      </w:r>
      <w:r>
        <w:br w:type="page"/>
      </w:r>
    </w:p>
    <w:p>
      <w:pPr>
        <w:pStyle w:val="Normal"/>
        <w:jc w:val="both"/>
        <w:rPr>
          <w:rFonts w:ascii="Calibri" w:hAnsi="Calibri" w:cs="Arial"/>
          <w:b/>
          <w:b/>
          <w:sz w:val="24"/>
          <w:szCs w:val="24"/>
        </w:rPr>
      </w:pPr>
      <w:r>
        <w:rPr>
          <w:rFonts w:cs="Arial" w:ascii="Calibri" w:hAnsi="Calibri"/>
          <w:b/>
          <w:sz w:val="24"/>
          <w:szCs w:val="24"/>
        </w:rPr>
        <w:t>PREAMBULE</w:t>
      </w:r>
    </w:p>
    <w:p>
      <w:pPr>
        <w:pStyle w:val="Normal"/>
        <w:jc w:val="both"/>
        <w:rPr>
          <w:rFonts w:ascii="Calibri" w:hAnsi="Calibri" w:cs="Arial"/>
          <w:b/>
          <w:b/>
          <w:sz w:val="22"/>
          <w:szCs w:val="24"/>
        </w:rPr>
      </w:pPr>
      <w:r>
        <w:rPr>
          <w:rFonts w:cs="Arial" w:ascii="Calibri" w:hAnsi="Calibri"/>
          <w:b/>
          <w:sz w:val="22"/>
          <w:szCs w:val="24"/>
        </w:rPr>
      </w:r>
    </w:p>
    <w:p>
      <w:pPr>
        <w:pStyle w:val="Normal"/>
        <w:jc w:val="both"/>
        <w:rPr>
          <w:rFonts w:ascii="Calibri" w:hAnsi="Calibri" w:cs="Arial"/>
          <w:sz w:val="22"/>
        </w:rPr>
      </w:pPr>
      <w:r>
        <w:rPr>
          <w:rFonts w:cs="Arial" w:ascii="Calibri" w:hAnsi="Calibri"/>
          <w:sz w:val="22"/>
        </w:rPr>
        <w:t>La société DASSAULT FALCON SERVICE a engagé avec les organisations syndicales représentatives dans l’entreprise des négociations portant sur les thèmes imposés par la législation, définis aux articles L2242-1 et suivants du Code du travail.</w:t>
      </w:r>
    </w:p>
    <w:p>
      <w:pPr>
        <w:pStyle w:val="Normal"/>
        <w:jc w:val="both"/>
        <w:rPr>
          <w:rFonts w:ascii="Calibri" w:hAnsi="Calibri" w:cs="Arial"/>
          <w:sz w:val="22"/>
        </w:rPr>
      </w:pPr>
      <w:r>
        <w:rPr>
          <w:rFonts w:cs="Arial" w:ascii="Calibri" w:hAnsi="Calibri"/>
          <w:sz w:val="22"/>
        </w:rPr>
      </w:r>
    </w:p>
    <w:p>
      <w:pPr>
        <w:pStyle w:val="Normal"/>
        <w:jc w:val="both"/>
        <w:rPr/>
      </w:pPr>
      <w:r>
        <w:rPr>
          <w:rFonts w:cs="Arial" w:ascii="Calibri" w:hAnsi="Calibri"/>
          <w:sz w:val="22"/>
        </w:rPr>
        <w:t>Lors des précédentes négociations Annuelles Obligatoires, qui s’étaient tenues au cours de l’année 2021, la Direction avait acté l’absence de politique salariale, compte tenu des effets importants générés par la crise qui a secoué le monde de l’aéronautique. La situation de l’entreprise demeure fragile en ce début d’année 2022. Les parties signataires du présent accord entendent toutefois prendre en compte le contexte social actuel, afin de mettre en œuvre un accord de négociation annuelle exigeant, axé sur le pouvoir d’achat des salariés, en tenant compte de la reprise fragile de l’activité de l’entreprise.</w:t>
      </w:r>
    </w:p>
    <w:p>
      <w:pPr>
        <w:pStyle w:val="Normal"/>
        <w:jc w:val="both"/>
        <w:rPr>
          <w:rFonts w:ascii="Calibri" w:hAnsi="Calibri" w:cs="Arial"/>
          <w:sz w:val="22"/>
        </w:rPr>
      </w:pPr>
      <w:r>
        <w:rPr>
          <w:rFonts w:cs="Arial" w:ascii="Calibri" w:hAnsi="Calibri"/>
          <w:sz w:val="22"/>
        </w:rPr>
      </w:r>
    </w:p>
    <w:p>
      <w:pPr>
        <w:pStyle w:val="Normal"/>
        <w:jc w:val="both"/>
        <w:rPr>
          <w:rFonts w:ascii="Calibri" w:hAnsi="Calibri" w:cs="Arial"/>
          <w:sz w:val="22"/>
        </w:rPr>
      </w:pPr>
      <w:r>
        <w:rPr>
          <w:rFonts w:cs="Arial" w:ascii="Calibri" w:hAnsi="Calibri"/>
          <w:sz w:val="22"/>
        </w:rPr>
        <w:t>Différentes réunions se sont tenues entre la Direction et les Délégués Syndicaux de l’entreprise</w:t>
        <w:br/>
        <w:t>le 28 janvier ainsi que les 04, 11 et 18 mars 2022. Plusieurs sujets de négociations ont été abordés au cours de ces différentes réunions :</w:t>
      </w:r>
    </w:p>
    <w:p>
      <w:pPr>
        <w:pStyle w:val="Normal"/>
        <w:numPr>
          <w:ilvl w:val="0"/>
          <w:numId w:val="3"/>
        </w:numPr>
        <w:jc w:val="both"/>
        <w:rPr>
          <w:rFonts w:ascii="Calibri" w:hAnsi="Calibri" w:cs="Arial"/>
          <w:sz w:val="22"/>
        </w:rPr>
      </w:pPr>
      <w:r>
        <w:rPr>
          <w:rFonts w:cs="Arial" w:ascii="Calibri" w:hAnsi="Calibri"/>
          <w:sz w:val="22"/>
        </w:rPr>
        <w:t>Salaires effectifs et augmentations pour les salariés de l’entreprise ;</w:t>
      </w:r>
    </w:p>
    <w:p>
      <w:pPr>
        <w:pStyle w:val="Normal"/>
        <w:numPr>
          <w:ilvl w:val="0"/>
          <w:numId w:val="3"/>
        </w:numPr>
        <w:jc w:val="both"/>
        <w:rPr>
          <w:rFonts w:ascii="Calibri" w:hAnsi="Calibri" w:cs="Arial"/>
          <w:sz w:val="22"/>
        </w:rPr>
      </w:pPr>
      <w:r>
        <w:rPr>
          <w:rFonts w:cs="Arial" w:ascii="Calibri" w:hAnsi="Calibri"/>
          <w:sz w:val="22"/>
        </w:rPr>
        <w:t>Revalorisation de différentes primes versées aux salariés, et en particulier la prime de transport ;</w:t>
      </w:r>
    </w:p>
    <w:p>
      <w:pPr>
        <w:pStyle w:val="Normal"/>
        <w:numPr>
          <w:ilvl w:val="0"/>
          <w:numId w:val="3"/>
        </w:numPr>
        <w:jc w:val="both"/>
        <w:rPr/>
      </w:pPr>
      <w:r>
        <w:rPr>
          <w:rFonts w:cs="Arial" w:ascii="Calibri" w:hAnsi="Calibri"/>
          <w:sz w:val="22"/>
        </w:rPr>
        <w:t>Perspectives d’évolution des effectifs de l’entreprise pour l’année 2022 ;</w:t>
      </w:r>
    </w:p>
    <w:p>
      <w:pPr>
        <w:pStyle w:val="Normal"/>
        <w:numPr>
          <w:ilvl w:val="0"/>
          <w:numId w:val="3"/>
        </w:numPr>
        <w:jc w:val="both"/>
        <w:rPr/>
      </w:pPr>
      <w:r>
        <w:rPr>
          <w:rFonts w:cs="Arial" w:ascii="Calibri" w:hAnsi="Calibri"/>
          <w:sz w:val="22"/>
        </w:rPr>
        <w:t>Définition d’un calendrier de négociation pour les accords collectifs suivants :</w:t>
      </w:r>
    </w:p>
    <w:p>
      <w:pPr>
        <w:pStyle w:val="Normal"/>
        <w:numPr>
          <w:ilvl w:val="1"/>
          <w:numId w:val="3"/>
        </w:numPr>
        <w:jc w:val="both"/>
        <w:rPr>
          <w:rFonts w:ascii="Calibri" w:hAnsi="Calibri" w:cs="Arial"/>
          <w:sz w:val="22"/>
        </w:rPr>
      </w:pPr>
      <w:r>
        <w:rPr>
          <w:rFonts w:cs="Arial" w:ascii="Calibri" w:hAnsi="Calibri"/>
          <w:sz w:val="22"/>
        </w:rPr>
        <w:t>Renouvellement des accords d’intéressement et de participation ;</w:t>
      </w:r>
    </w:p>
    <w:p>
      <w:pPr>
        <w:pStyle w:val="Normal"/>
        <w:numPr>
          <w:ilvl w:val="1"/>
          <w:numId w:val="3"/>
        </w:numPr>
        <w:jc w:val="both"/>
        <w:rPr>
          <w:rFonts w:ascii="Calibri" w:hAnsi="Calibri" w:cs="Arial"/>
          <w:sz w:val="22"/>
        </w:rPr>
      </w:pPr>
      <w:r>
        <w:rPr>
          <w:rFonts w:cs="Arial" w:ascii="Calibri" w:hAnsi="Calibri"/>
          <w:sz w:val="22"/>
        </w:rPr>
        <w:t>Accord sur l’égalité professionnelle ;</w:t>
      </w:r>
    </w:p>
    <w:p>
      <w:pPr>
        <w:pStyle w:val="Normal"/>
        <w:numPr>
          <w:ilvl w:val="1"/>
          <w:numId w:val="3"/>
        </w:numPr>
        <w:jc w:val="both"/>
        <w:rPr>
          <w:rFonts w:ascii="Calibri" w:hAnsi="Calibri" w:cs="Arial"/>
          <w:sz w:val="22"/>
        </w:rPr>
      </w:pPr>
      <w:r>
        <w:rPr>
          <w:rFonts w:cs="Arial" w:ascii="Calibri" w:hAnsi="Calibri"/>
          <w:sz w:val="22"/>
        </w:rPr>
        <w:t>Gestion des Emplois et des Parcours Professionnels ;</w:t>
      </w:r>
    </w:p>
    <w:p>
      <w:pPr>
        <w:pStyle w:val="Normal"/>
        <w:numPr>
          <w:ilvl w:val="0"/>
          <w:numId w:val="3"/>
        </w:numPr>
        <w:jc w:val="both"/>
        <w:rPr/>
      </w:pPr>
      <w:r>
        <w:rPr>
          <w:rFonts w:cs="Arial" w:ascii="Calibri" w:hAnsi="Calibri"/>
          <w:sz w:val="22"/>
        </w:rPr>
        <w:t>Discussion sur une meilleure indemnisation des salariés positionnés en activité partielle.</w:t>
      </w:r>
    </w:p>
    <w:p>
      <w:pPr>
        <w:pStyle w:val="Normal"/>
        <w:jc w:val="both"/>
        <w:rPr>
          <w:rFonts w:ascii="Calibri" w:hAnsi="Calibri" w:cs="Arial"/>
          <w:sz w:val="22"/>
        </w:rPr>
      </w:pPr>
      <w:r>
        <w:rPr>
          <w:rFonts w:cs="Arial" w:ascii="Calibri" w:hAnsi="Calibri"/>
          <w:sz w:val="22"/>
        </w:rPr>
      </w:r>
    </w:p>
    <w:p>
      <w:pPr>
        <w:pStyle w:val="Normal"/>
        <w:jc w:val="both"/>
        <w:rPr>
          <w:rFonts w:ascii="Calibri" w:hAnsi="Calibri" w:cs="Arial"/>
          <w:b/>
          <w:b/>
          <w:sz w:val="22"/>
          <w:szCs w:val="22"/>
        </w:rPr>
      </w:pPr>
      <w:r>
        <w:rPr>
          <w:rFonts w:cs="Arial" w:ascii="Calibri" w:hAnsi="Calibri"/>
          <w:b/>
          <w:sz w:val="24"/>
          <w:szCs w:val="24"/>
        </w:rPr>
        <w:t xml:space="preserve">ARTICLE 1 – </w:t>
      </w:r>
      <w:r>
        <w:rPr>
          <w:rFonts w:cs="Arial" w:ascii="Calibri" w:hAnsi="Calibri"/>
          <w:b/>
          <w:sz w:val="24"/>
          <w:szCs w:val="24"/>
          <w:u w:val="single"/>
        </w:rPr>
        <w:t>PERIMETRE DE L’ACCORD</w:t>
      </w:r>
    </w:p>
    <w:p>
      <w:pPr>
        <w:pStyle w:val="Normal"/>
        <w:jc w:val="both"/>
        <w:rPr>
          <w:rFonts w:ascii="Calibri" w:hAnsi="Calibri" w:cs="Arial"/>
          <w:b/>
          <w:b/>
          <w:sz w:val="22"/>
          <w:szCs w:val="22"/>
        </w:rPr>
      </w:pPr>
      <w:r>
        <w:rPr>
          <w:rFonts w:cs="Arial" w:ascii="Calibri" w:hAnsi="Calibri"/>
          <w:b/>
          <w:sz w:val="22"/>
          <w:szCs w:val="22"/>
        </w:rPr>
      </w:r>
    </w:p>
    <w:p>
      <w:pPr>
        <w:pStyle w:val="Corpsdetexte2"/>
        <w:rPr/>
      </w:pPr>
      <w:r>
        <w:rPr>
          <w:rFonts w:cs="Arial" w:ascii="Calibri" w:hAnsi="Calibri"/>
        </w:rPr>
        <w:t>Le présent accord concerne l’ensemble des salariés de la société DASSAULT FALCON SERVICE, présents tant en France qu’à l’étranger (</w:t>
      </w:r>
      <w:r>
        <w:rPr>
          <w:rFonts w:cs="Arial" w:ascii="Calibri" w:hAnsi="Calibri"/>
          <w:i/>
        </w:rPr>
        <w:t>y compris les</w:t>
      </w:r>
      <w:r>
        <w:rPr>
          <w:rFonts w:cs="Arial" w:ascii="Calibri" w:hAnsi="Calibri"/>
        </w:rPr>
        <w:t xml:space="preserve"> </w:t>
      </w:r>
      <w:r>
        <w:rPr>
          <w:rFonts w:cs="Arial" w:ascii="Calibri" w:hAnsi="Calibri"/>
          <w:i/>
        </w:rPr>
        <w:t>salariés détachés ou expatriés</w:t>
      </w:r>
      <w:r>
        <w:rPr>
          <w:rFonts w:cs="Arial" w:ascii="Calibri" w:hAnsi="Calibri"/>
        </w:rPr>
        <w:t>). Il s’applique indifféremment au lieu dans lequel les salariés exercent leur activité, et notamment ceux présents sur les sites du Bourget et de MERIGNAC. Les salariés apprentis ou jeunes en insertion professionnelle bénéficient des dispositions du présent accord, dès lors que le présent document le mentionne expressément et explicitement.</w:t>
      </w:r>
    </w:p>
    <w:p>
      <w:pPr>
        <w:pStyle w:val="Normal"/>
        <w:jc w:val="both"/>
        <w:rPr>
          <w:rFonts w:ascii="Calibri" w:hAnsi="Calibri" w:cs="Arial"/>
          <w:b/>
          <w:b/>
          <w:sz w:val="18"/>
          <w:szCs w:val="18"/>
        </w:rPr>
      </w:pPr>
      <w:r>
        <w:rPr>
          <w:rFonts w:cs="Arial" w:ascii="Calibri" w:hAnsi="Calibri"/>
          <w:b/>
          <w:sz w:val="18"/>
          <w:szCs w:val="18"/>
        </w:rPr>
      </w:r>
    </w:p>
    <w:p>
      <w:pPr>
        <w:pStyle w:val="Heading4"/>
        <w:numPr>
          <w:ilvl w:val="3"/>
          <w:numId w:val="1"/>
        </w:numPr>
        <w:jc w:val="both"/>
        <w:rPr>
          <w:rFonts w:ascii="Calibri" w:hAnsi="Calibri" w:cs="Arial"/>
          <w:sz w:val="24"/>
          <w:szCs w:val="24"/>
          <w:u w:val="none"/>
        </w:rPr>
      </w:pPr>
      <w:r>
        <w:rPr>
          <w:rFonts w:cs="Arial" w:ascii="Calibri" w:hAnsi="Calibri"/>
          <w:sz w:val="24"/>
          <w:szCs w:val="24"/>
          <w:u w:val="none"/>
        </w:rPr>
        <w:t xml:space="preserve">ARTICLE 2 – </w:t>
      </w:r>
      <w:r>
        <w:rPr>
          <w:rFonts w:cs="Arial" w:ascii="Calibri" w:hAnsi="Calibri"/>
          <w:sz w:val="24"/>
          <w:szCs w:val="24"/>
        </w:rPr>
        <w:t>MESURES SALARIALES</w:t>
      </w:r>
    </w:p>
    <w:p>
      <w:pPr>
        <w:pStyle w:val="Normal"/>
        <w:jc w:val="both"/>
        <w:rPr>
          <w:rFonts w:ascii="Calibri" w:hAnsi="Calibri" w:cs="Arial"/>
          <w:sz w:val="22"/>
          <w:szCs w:val="24"/>
          <w:u w:val="none"/>
        </w:rPr>
      </w:pPr>
      <w:r>
        <w:rPr>
          <w:rFonts w:cs="Arial" w:ascii="Calibri" w:hAnsi="Calibri"/>
          <w:sz w:val="22"/>
          <w:szCs w:val="24"/>
          <w:u w:val="none"/>
        </w:rPr>
      </w:r>
    </w:p>
    <w:p>
      <w:pPr>
        <w:pStyle w:val="Normal"/>
        <w:numPr>
          <w:ilvl w:val="0"/>
          <w:numId w:val="3"/>
        </w:numPr>
        <w:jc w:val="both"/>
        <w:rPr>
          <w:rFonts w:ascii="Calibri" w:hAnsi="Calibri" w:cs="Arial"/>
          <w:b/>
          <w:b/>
          <w:sz w:val="22"/>
          <w:u w:val="single"/>
        </w:rPr>
      </w:pPr>
      <w:r>
        <w:rPr>
          <w:rFonts w:cs="Arial" w:ascii="Calibri" w:hAnsi="Calibri"/>
          <w:b/>
          <w:sz w:val="22"/>
          <w:u w:val="single"/>
        </w:rPr>
        <w:t>BUDGET D’AUGMENTATION</w:t>
      </w:r>
    </w:p>
    <w:p>
      <w:pPr>
        <w:pStyle w:val="Normal"/>
        <w:jc w:val="both"/>
        <w:rPr>
          <w:rFonts w:ascii="Calibri" w:hAnsi="Calibri" w:cs="Arial"/>
          <w:b/>
          <w:b/>
          <w:sz w:val="22"/>
          <w:u w:val="single"/>
        </w:rPr>
      </w:pPr>
      <w:r>
        <w:rPr>
          <w:rFonts w:cs="Arial" w:ascii="Calibri" w:hAnsi="Calibri"/>
          <w:b/>
          <w:sz w:val="22"/>
          <w:u w:val="single"/>
        </w:rPr>
      </w:r>
    </w:p>
    <w:p>
      <w:pPr>
        <w:pStyle w:val="Normal"/>
        <w:jc w:val="both"/>
        <w:rPr>
          <w:rFonts w:ascii="Calibri" w:hAnsi="Calibri" w:cs="Arial"/>
          <w:sz w:val="22"/>
          <w:szCs w:val="22"/>
        </w:rPr>
      </w:pPr>
      <w:r>
        <w:rPr>
          <w:rFonts w:cs="Arial" w:ascii="Calibri" w:hAnsi="Calibri"/>
          <w:b/>
          <w:sz w:val="22"/>
          <w:szCs w:val="22"/>
          <w:u w:val="single"/>
        </w:rPr>
        <w:t>Pour le personnel des coefficients 140 à 395</w:t>
      </w:r>
      <w:r>
        <w:rPr>
          <w:rFonts w:cs="Arial" w:ascii="Calibri" w:hAnsi="Calibri"/>
          <w:b/>
          <w:i/>
          <w:sz w:val="22"/>
          <w:szCs w:val="22"/>
        </w:rPr>
        <w:t xml:space="preserve"> </w:t>
      </w:r>
      <w:r>
        <w:rPr>
          <w:rFonts w:cs="Arial" w:ascii="Calibri" w:hAnsi="Calibri"/>
          <w:i/>
          <w:sz w:val="22"/>
          <w:szCs w:val="22"/>
        </w:rPr>
        <w:t>(y compris le Personnel Navigant Commercial, hors apprentis</w:t>
      </w:r>
      <w:r>
        <w:rPr>
          <w:rFonts w:cs="Arial" w:ascii="Calibri" w:hAnsi="Calibri"/>
          <w:sz w:val="22"/>
          <w:szCs w:val="22"/>
        </w:rPr>
        <w:t>)</w:t>
      </w:r>
    </w:p>
    <w:p>
      <w:pPr>
        <w:pStyle w:val="Normal"/>
        <w:jc w:val="both"/>
        <w:rPr>
          <w:rFonts w:ascii="Calibri" w:hAnsi="Calibri" w:cs="Arial"/>
          <w:sz w:val="22"/>
          <w:szCs w:val="22"/>
        </w:rPr>
      </w:pPr>
      <w:r>
        <w:rPr>
          <w:rFonts w:cs="Arial" w:ascii="Calibri" w:hAnsi="Calibri"/>
          <w:sz w:val="22"/>
          <w:szCs w:val="22"/>
        </w:rPr>
      </w:r>
    </w:p>
    <w:p>
      <w:pPr>
        <w:pStyle w:val="Normal"/>
        <w:jc w:val="both"/>
        <w:rPr/>
      </w:pPr>
      <w:r>
        <w:rPr>
          <w:rFonts w:cs="Arial" w:ascii="Calibri" w:hAnsi="Calibri"/>
          <w:sz w:val="22"/>
        </w:rPr>
        <w:t xml:space="preserve">Budget global de </w:t>
      </w:r>
      <w:r>
        <w:rPr>
          <w:rFonts w:cs="Arial" w:ascii="Calibri" w:hAnsi="Calibri"/>
          <w:b/>
          <w:sz w:val="24"/>
          <w:szCs w:val="24"/>
          <w:u w:val="single"/>
        </w:rPr>
        <w:t>2,2%</w:t>
      </w:r>
      <w:r>
        <w:rPr>
          <w:rFonts w:cs="Arial" w:ascii="Calibri" w:hAnsi="Calibri"/>
          <w:b/>
          <w:sz w:val="22"/>
        </w:rPr>
        <w:t xml:space="preserve"> </w:t>
      </w:r>
      <w:r>
        <w:rPr>
          <w:rFonts w:cs="Arial" w:ascii="Calibri" w:hAnsi="Calibri"/>
          <w:sz w:val="22"/>
        </w:rPr>
        <w:t>répartit comme suit :</w:t>
      </w:r>
    </w:p>
    <w:p>
      <w:pPr>
        <w:pStyle w:val="Normal"/>
        <w:numPr>
          <w:ilvl w:val="0"/>
          <w:numId w:val="7"/>
        </w:numPr>
        <w:tabs>
          <w:tab w:val="left" w:pos="2127" w:leader="none"/>
          <w:tab w:val="left" w:pos="5954" w:leader="none"/>
        </w:tabs>
        <w:jc w:val="both"/>
        <w:rPr>
          <w:rFonts w:ascii="Calibri" w:hAnsi="Calibri" w:cs="Arial"/>
          <w:sz w:val="22"/>
        </w:rPr>
      </w:pPr>
      <w:r>
        <w:rPr>
          <w:rFonts w:cs="Arial" w:ascii="Calibri" w:hAnsi="Calibri"/>
          <w:b/>
          <w:sz w:val="24"/>
          <w:szCs w:val="24"/>
        </w:rPr>
        <w:t>0,5%</w:t>
      </w:r>
      <w:r>
        <w:rPr>
          <w:rFonts w:cs="Arial" w:ascii="Calibri" w:hAnsi="Calibri"/>
          <w:sz w:val="22"/>
        </w:rPr>
        <w:t xml:space="preserve"> au titre de </w:t>
      </w:r>
      <w:r>
        <w:rPr>
          <w:rFonts w:cs="Arial" w:ascii="Calibri" w:hAnsi="Calibri"/>
          <w:sz w:val="22"/>
          <w:u w:val="single"/>
        </w:rPr>
        <w:t>l’effet lié à la prime d’ancienneté</w:t>
      </w:r>
    </w:p>
    <w:p>
      <w:pPr>
        <w:pStyle w:val="Normal"/>
        <w:numPr>
          <w:ilvl w:val="0"/>
          <w:numId w:val="7"/>
        </w:numPr>
        <w:tabs>
          <w:tab w:val="left" w:pos="2127" w:leader="none"/>
          <w:tab w:val="left" w:pos="5954" w:leader="none"/>
        </w:tabs>
        <w:jc w:val="both"/>
        <w:rPr>
          <w:rFonts w:ascii="Calibri" w:hAnsi="Calibri" w:cs="Arial"/>
          <w:sz w:val="22"/>
        </w:rPr>
      </w:pPr>
      <w:r>
        <w:rPr>
          <w:rFonts w:cs="Arial" w:ascii="Calibri" w:hAnsi="Calibri"/>
          <w:b/>
          <w:sz w:val="24"/>
          <w:szCs w:val="24"/>
        </w:rPr>
        <w:t>1,7%</w:t>
      </w:r>
      <w:r>
        <w:rPr>
          <w:rFonts w:cs="Arial" w:ascii="Calibri" w:hAnsi="Calibri"/>
          <w:sz w:val="22"/>
        </w:rPr>
        <w:t xml:space="preserve"> </w:t>
      </w:r>
      <w:r>
        <w:rPr>
          <w:rFonts w:cs="Arial" w:ascii="Calibri" w:hAnsi="Calibri"/>
          <w:sz w:val="22"/>
          <w:u w:val="single"/>
        </w:rPr>
        <w:t>d’Augmentation Générale</w:t>
      </w:r>
      <w:r>
        <w:rPr>
          <w:rFonts w:cs="Arial" w:ascii="Calibri" w:hAnsi="Calibri"/>
          <w:sz w:val="22"/>
        </w:rPr>
        <w:t>, avec un effet rétroactif en janvier 2022</w:t>
      </w:r>
    </w:p>
    <w:p>
      <w:pPr>
        <w:pStyle w:val="Normal"/>
        <w:jc w:val="both"/>
        <w:rPr>
          <w:rFonts w:ascii="Calibri" w:hAnsi="Calibri" w:cs="Arial"/>
          <w:sz w:val="22"/>
          <w:szCs w:val="22"/>
        </w:rPr>
      </w:pPr>
      <w:r>
        <w:rPr>
          <w:rFonts w:cs="Arial" w:ascii="Calibri" w:hAnsi="Calibri"/>
          <w:sz w:val="22"/>
          <w:szCs w:val="22"/>
        </w:rPr>
      </w:r>
    </w:p>
    <w:p>
      <w:pPr>
        <w:pStyle w:val="Normal"/>
        <w:jc w:val="both"/>
        <w:rPr/>
      </w:pPr>
      <w:r>
        <w:rPr>
          <w:rFonts w:cs="Arial" w:ascii="Calibri" w:hAnsi="Calibri"/>
          <w:sz w:val="22"/>
          <w:szCs w:val="22"/>
        </w:rPr>
        <w:t>Le budget d’Augmentation Générale concernera exclusivement les salariés de l’entreprise inscrits aux effectifs au premier jour du mois suivant la date de signature du présent accord.</w:t>
      </w:r>
      <w:r>
        <w:br w:type="page"/>
      </w:r>
    </w:p>
    <w:p>
      <w:pPr>
        <w:pStyle w:val="Normal"/>
        <w:jc w:val="both"/>
        <w:rPr>
          <w:rFonts w:ascii="Calibri" w:hAnsi="Calibri" w:cs="Arial"/>
          <w:sz w:val="22"/>
          <w:szCs w:val="22"/>
        </w:rPr>
      </w:pPr>
      <w:r>
        <w:rPr>
          <w:rFonts w:cs="Arial" w:ascii="Calibri" w:hAnsi="Calibri"/>
          <w:sz w:val="22"/>
          <w:szCs w:val="22"/>
        </w:rPr>
      </w:r>
    </w:p>
    <w:p>
      <w:pPr>
        <w:pStyle w:val="Normal"/>
        <w:jc w:val="both"/>
        <w:rPr/>
      </w:pPr>
      <w:r>
        <w:rPr>
          <w:rFonts w:cs="Arial" w:ascii="Calibri" w:hAnsi="Calibri"/>
          <w:b/>
          <w:sz w:val="22"/>
          <w:szCs w:val="22"/>
          <w:u w:val="single"/>
        </w:rPr>
        <w:t>PERSONNEL CADRE</w:t>
      </w:r>
      <w:r>
        <w:rPr>
          <w:rFonts w:cs="Arial" w:ascii="Calibri" w:hAnsi="Calibri"/>
          <w:b/>
          <w:i/>
          <w:sz w:val="22"/>
          <w:szCs w:val="22"/>
        </w:rPr>
        <w:t xml:space="preserve"> </w:t>
      </w:r>
      <w:r>
        <w:rPr>
          <w:rFonts w:cs="Arial" w:ascii="Calibri" w:hAnsi="Calibri"/>
          <w:i/>
          <w:sz w:val="22"/>
          <w:szCs w:val="22"/>
        </w:rPr>
        <w:t>(Positionné et Indicé, y compris le Personnel Navigant Technique)</w:t>
      </w:r>
    </w:p>
    <w:p>
      <w:pPr>
        <w:pStyle w:val="Normal"/>
        <w:jc w:val="both"/>
        <w:rPr>
          <w:rFonts w:ascii="Calibri" w:hAnsi="Calibri" w:cs="Arial"/>
          <w:i/>
          <w:i/>
          <w:sz w:val="22"/>
          <w:szCs w:val="22"/>
        </w:rPr>
      </w:pPr>
      <w:r>
        <w:rPr>
          <w:rFonts w:cs="Arial" w:ascii="Calibri" w:hAnsi="Calibri"/>
          <w:i/>
          <w:sz w:val="22"/>
          <w:szCs w:val="22"/>
        </w:rPr>
      </w:r>
    </w:p>
    <w:p>
      <w:pPr>
        <w:pStyle w:val="Normal"/>
        <w:tabs>
          <w:tab w:val="left" w:pos="5640" w:leader="none"/>
        </w:tabs>
        <w:jc w:val="both"/>
        <w:rPr/>
      </w:pPr>
      <w:r>
        <w:rPr>
          <w:rFonts w:cs="Arial" w:ascii="Calibri" w:hAnsi="Calibri"/>
          <w:sz w:val="22"/>
        </w:rPr>
        <w:t xml:space="preserve">Budget global de </w:t>
      </w:r>
      <w:r>
        <w:rPr>
          <w:rFonts w:cs="Arial" w:ascii="Calibri" w:hAnsi="Calibri"/>
          <w:b/>
          <w:sz w:val="24"/>
          <w:szCs w:val="24"/>
          <w:u w:val="single"/>
        </w:rPr>
        <w:t>2,2%</w:t>
      </w:r>
      <w:r>
        <w:rPr>
          <w:rFonts w:cs="Arial" w:ascii="Calibri" w:hAnsi="Calibri"/>
          <w:sz w:val="22"/>
        </w:rPr>
        <w:t xml:space="preserve"> répartit comme suit</w:t>
      </w:r>
      <w:r>
        <w:rPr>
          <w:rFonts w:cs="Arial" w:ascii="Calibri" w:hAnsi="Calibri"/>
          <w:b/>
          <w:sz w:val="22"/>
        </w:rPr>
        <w:t> :</w:t>
      </w:r>
    </w:p>
    <w:p>
      <w:pPr>
        <w:pStyle w:val="Normal"/>
        <w:numPr>
          <w:ilvl w:val="0"/>
          <w:numId w:val="7"/>
        </w:numPr>
        <w:tabs>
          <w:tab w:val="left" w:pos="2127" w:leader="none"/>
          <w:tab w:val="left" w:pos="5954" w:leader="none"/>
        </w:tabs>
        <w:jc w:val="both"/>
        <w:rPr>
          <w:rFonts w:ascii="Calibri" w:hAnsi="Calibri" w:cs="Arial"/>
          <w:sz w:val="22"/>
        </w:rPr>
      </w:pPr>
      <w:r>
        <w:rPr>
          <w:rFonts w:cs="Arial" w:ascii="Calibri" w:hAnsi="Calibri"/>
          <w:b/>
          <w:sz w:val="24"/>
          <w:szCs w:val="24"/>
        </w:rPr>
        <w:t>0,50%</w:t>
      </w:r>
      <w:r>
        <w:rPr>
          <w:rFonts w:cs="Arial" w:ascii="Calibri" w:hAnsi="Calibri"/>
          <w:sz w:val="22"/>
        </w:rPr>
        <w:t xml:space="preserve"> au titre de </w:t>
      </w:r>
      <w:r>
        <w:rPr>
          <w:rFonts w:cs="Arial" w:ascii="Calibri" w:hAnsi="Calibri"/>
          <w:sz w:val="22"/>
          <w:u w:val="single"/>
        </w:rPr>
        <w:t>l’effet lié à la prime d’ancienneté</w:t>
      </w:r>
    </w:p>
    <w:p>
      <w:pPr>
        <w:pStyle w:val="Normal"/>
        <w:numPr>
          <w:ilvl w:val="0"/>
          <w:numId w:val="4"/>
        </w:numPr>
        <w:tabs>
          <w:tab w:val="left" w:pos="2127" w:leader="none"/>
          <w:tab w:val="left" w:pos="5954" w:leader="none"/>
        </w:tabs>
        <w:ind w:left="2127" w:hanging="284"/>
        <w:jc w:val="both"/>
        <w:rPr>
          <w:rFonts w:ascii="Calibri" w:hAnsi="Calibri" w:cs="Arial"/>
          <w:sz w:val="18"/>
          <w:szCs w:val="18"/>
        </w:rPr>
      </w:pPr>
      <w:r>
        <w:rPr>
          <w:rFonts w:cs="Arial" w:ascii="Calibri" w:hAnsi="Calibri"/>
          <w:b/>
          <w:sz w:val="24"/>
          <w:szCs w:val="24"/>
        </w:rPr>
        <w:t>1,7%</w:t>
      </w:r>
      <w:r>
        <w:rPr>
          <w:rFonts w:cs="Arial" w:ascii="Calibri" w:hAnsi="Calibri"/>
          <w:sz w:val="22"/>
        </w:rPr>
        <w:t xml:space="preserve"> </w:t>
      </w:r>
      <w:r>
        <w:rPr>
          <w:rFonts w:cs="Arial" w:ascii="Calibri" w:hAnsi="Calibri"/>
          <w:sz w:val="22"/>
          <w:u w:val="single"/>
        </w:rPr>
        <w:t>d’Augmentation Individuelle</w:t>
      </w:r>
      <w:r>
        <w:rPr>
          <w:rFonts w:cs="Arial" w:ascii="Calibri" w:hAnsi="Calibri"/>
          <w:sz w:val="22"/>
        </w:rPr>
        <w:t xml:space="preserve"> </w:t>
      </w:r>
      <w:r>
        <w:rPr>
          <w:rFonts w:cs="Arial" w:ascii="Calibri" w:hAnsi="Calibri"/>
          <w:sz w:val="18"/>
          <w:szCs w:val="18"/>
        </w:rPr>
        <w:t>(</w:t>
      </w:r>
      <w:r>
        <w:rPr>
          <w:rFonts w:cs="Arial" w:ascii="Calibri" w:hAnsi="Calibri"/>
          <w:i/>
          <w:sz w:val="22"/>
        </w:rPr>
        <w:t>avec un pourcentage minimum d’Augmentation Individuelle de 3 %</w:t>
      </w:r>
      <w:r>
        <w:rPr>
          <w:rFonts w:cs="Arial" w:ascii="Calibri" w:hAnsi="Calibri"/>
          <w:sz w:val="22"/>
        </w:rPr>
        <w:t>)</w:t>
      </w:r>
    </w:p>
    <w:p>
      <w:pPr>
        <w:pStyle w:val="Normal"/>
        <w:tabs>
          <w:tab w:val="left" w:pos="2127" w:leader="none"/>
          <w:tab w:val="left" w:pos="5954" w:leader="none"/>
        </w:tabs>
        <w:jc w:val="both"/>
        <w:rPr>
          <w:rFonts w:ascii="Calibri" w:hAnsi="Calibri" w:cs="Arial"/>
          <w:sz w:val="18"/>
          <w:szCs w:val="18"/>
        </w:rPr>
      </w:pPr>
      <w:r>
        <w:rPr>
          <w:rFonts w:cs="Arial" w:ascii="Calibri" w:hAnsi="Calibri"/>
          <w:sz w:val="18"/>
          <w:szCs w:val="18"/>
        </w:rPr>
      </w:r>
    </w:p>
    <w:p>
      <w:pPr>
        <w:pStyle w:val="Normal"/>
        <w:numPr>
          <w:ilvl w:val="0"/>
          <w:numId w:val="6"/>
        </w:numPr>
        <w:jc w:val="both"/>
        <w:rPr>
          <w:rFonts w:ascii="Calibri" w:hAnsi="Calibri" w:cs="Arial"/>
          <w:b/>
          <w:b/>
          <w:sz w:val="22"/>
          <w:szCs w:val="22"/>
          <w:u w:val="single"/>
        </w:rPr>
      </w:pPr>
      <w:r>
        <w:rPr>
          <w:rFonts w:cs="Arial" w:ascii="Calibri" w:hAnsi="Calibri"/>
          <w:b/>
          <w:sz w:val="22"/>
          <w:szCs w:val="22"/>
          <w:u w:val="single"/>
        </w:rPr>
        <w:t>REVALORISATION DES GRILLES DE SALAIRE DE L’ENTREPRISE</w:t>
      </w:r>
    </w:p>
    <w:p>
      <w:pPr>
        <w:pStyle w:val="Normal"/>
        <w:tabs>
          <w:tab w:val="left" w:pos="2127" w:leader="none"/>
          <w:tab w:val="left" w:pos="5954" w:leader="none"/>
        </w:tabs>
        <w:jc w:val="both"/>
        <w:rPr>
          <w:rFonts w:ascii="Calibri" w:hAnsi="Calibri" w:cs="Arial"/>
          <w:b/>
          <w:b/>
          <w:sz w:val="18"/>
          <w:szCs w:val="18"/>
          <w:u w:val="single"/>
        </w:rPr>
      </w:pPr>
      <w:r>
        <w:rPr>
          <w:rFonts w:cs="Arial" w:ascii="Calibri" w:hAnsi="Calibri"/>
          <w:b/>
          <w:sz w:val="18"/>
          <w:szCs w:val="18"/>
          <w:u w:val="single"/>
        </w:rPr>
      </w:r>
    </w:p>
    <w:p>
      <w:pPr>
        <w:pStyle w:val="Normal"/>
        <w:tabs>
          <w:tab w:val="left" w:pos="2127" w:leader="none"/>
          <w:tab w:val="left" w:pos="5954" w:leader="none"/>
        </w:tabs>
        <w:jc w:val="both"/>
        <w:rPr/>
      </w:pPr>
      <w:r>
        <w:rPr>
          <w:rFonts w:cs="Arial" w:ascii="Calibri" w:hAnsi="Calibri"/>
          <w:sz w:val="22"/>
        </w:rPr>
        <w:t>Les signataires du présent accord conviennent de la revalorisation des grilles de salaires minimaux en vigueur au sein de l’entreprise, comme suit :</w:t>
      </w:r>
    </w:p>
    <w:p>
      <w:pPr>
        <w:pStyle w:val="Normal"/>
        <w:numPr>
          <w:ilvl w:val="0"/>
          <w:numId w:val="6"/>
        </w:numPr>
        <w:jc w:val="both"/>
        <w:rPr>
          <w:rFonts w:ascii="Calibri" w:hAnsi="Calibri" w:cs="Arial"/>
          <w:sz w:val="22"/>
          <w:szCs w:val="22"/>
        </w:rPr>
      </w:pPr>
      <w:r>
        <w:rPr>
          <w:rFonts w:cs="Arial" w:ascii="Calibri" w:hAnsi="Calibri"/>
          <w:sz w:val="22"/>
          <w:szCs w:val="22"/>
        </w:rPr>
        <w:t>La grille de salaire des salariés non-cadres (</w:t>
      </w:r>
      <w:r>
        <w:rPr>
          <w:rFonts w:cs="Arial" w:ascii="Calibri" w:hAnsi="Calibri"/>
          <w:i/>
          <w:sz w:val="22"/>
          <w:szCs w:val="22"/>
        </w:rPr>
        <w:t>y compris les Personnels Navigants Commerciaux</w:t>
      </w:r>
      <w:r>
        <w:rPr>
          <w:rFonts w:cs="Arial" w:ascii="Calibri" w:hAnsi="Calibri"/>
          <w:sz w:val="22"/>
          <w:szCs w:val="22"/>
        </w:rPr>
        <w:t>) sera réévaluée à compter du 1</w:t>
      </w:r>
      <w:r>
        <w:rPr>
          <w:rFonts w:cs="Arial" w:ascii="Calibri" w:hAnsi="Calibri"/>
          <w:sz w:val="22"/>
          <w:szCs w:val="22"/>
          <w:vertAlign w:val="superscript"/>
        </w:rPr>
        <w:t>er</w:t>
      </w:r>
      <w:r>
        <w:rPr>
          <w:rFonts w:cs="Arial" w:ascii="Calibri" w:hAnsi="Calibri"/>
          <w:sz w:val="22"/>
          <w:szCs w:val="22"/>
        </w:rPr>
        <w:t xml:space="preserve"> janvier 2022, afin de la mettre en conformité avec le budget d’Augmentation Générale de </w:t>
      </w:r>
      <w:r>
        <w:rPr>
          <w:rFonts w:cs="Arial" w:ascii="Calibri" w:hAnsi="Calibri"/>
          <w:b/>
          <w:sz w:val="22"/>
          <w:szCs w:val="22"/>
        </w:rPr>
        <w:t>1,7%</w:t>
      </w:r>
      <w:r>
        <w:rPr>
          <w:rFonts w:cs="Arial" w:ascii="Calibri" w:hAnsi="Calibri"/>
          <w:sz w:val="22"/>
          <w:szCs w:val="22"/>
        </w:rPr>
        <w:t xml:space="preserve"> mentionné au paragraphe ci-dessus ;</w:t>
      </w:r>
    </w:p>
    <w:p>
      <w:pPr>
        <w:pStyle w:val="Normal"/>
        <w:numPr>
          <w:ilvl w:val="0"/>
          <w:numId w:val="6"/>
        </w:numPr>
        <w:jc w:val="both"/>
        <w:rPr>
          <w:rFonts w:ascii="Calibri" w:hAnsi="Calibri" w:cs="Arial"/>
          <w:sz w:val="18"/>
          <w:szCs w:val="18"/>
        </w:rPr>
      </w:pPr>
      <w:r>
        <w:rPr>
          <w:rFonts w:cs="Arial" w:ascii="Calibri" w:hAnsi="Calibri"/>
          <w:sz w:val="22"/>
        </w:rPr>
        <w:t xml:space="preserve">La grille de la rémunération minimale des salariés cadres positionnés sera </w:t>
        <w:br/>
        <w:t xml:space="preserve">réévaluée de </w:t>
      </w:r>
      <w:r>
        <w:rPr>
          <w:rFonts w:cs="Arial" w:ascii="Calibri" w:hAnsi="Calibri"/>
          <w:b/>
          <w:sz w:val="22"/>
        </w:rPr>
        <w:t>1,7%</w:t>
      </w:r>
      <w:r>
        <w:rPr>
          <w:rFonts w:cs="Arial" w:ascii="Calibri" w:hAnsi="Calibri"/>
          <w:sz w:val="22"/>
        </w:rPr>
        <w:t> ;</w:t>
      </w:r>
    </w:p>
    <w:p>
      <w:pPr>
        <w:pStyle w:val="Normal"/>
        <w:numPr>
          <w:ilvl w:val="0"/>
          <w:numId w:val="6"/>
        </w:numPr>
        <w:jc w:val="both"/>
        <w:rPr>
          <w:rFonts w:ascii="Calibri" w:hAnsi="Calibri" w:cs="Arial"/>
          <w:sz w:val="18"/>
          <w:szCs w:val="18"/>
        </w:rPr>
      </w:pPr>
      <w:r>
        <w:rPr>
          <w:rFonts w:cs="Arial" w:ascii="Calibri" w:hAnsi="Calibri"/>
          <w:sz w:val="22"/>
        </w:rPr>
        <w:t>La grille de la rémunération minimale des Personnels Navigants Techniques (</w:t>
      </w:r>
      <w:r>
        <w:rPr>
          <w:rFonts w:cs="Arial" w:ascii="Calibri" w:hAnsi="Calibri"/>
          <w:i/>
          <w:sz w:val="22"/>
        </w:rPr>
        <w:t>Commandants de Bord et Officiers Pilotes de Ligne</w:t>
      </w:r>
      <w:r>
        <w:rPr>
          <w:rFonts w:cs="Arial" w:ascii="Calibri" w:hAnsi="Calibri"/>
          <w:sz w:val="22"/>
        </w:rPr>
        <w:t xml:space="preserve">) sera réévaluée de </w:t>
      </w:r>
      <w:r>
        <w:rPr>
          <w:rFonts w:cs="Arial" w:ascii="Calibri" w:hAnsi="Calibri"/>
          <w:b/>
          <w:sz w:val="22"/>
        </w:rPr>
        <w:t>1,7%</w:t>
      </w:r>
      <w:r>
        <w:rPr>
          <w:rFonts w:cs="Arial" w:ascii="Calibri" w:hAnsi="Calibri"/>
          <w:sz w:val="22"/>
        </w:rPr>
        <w:t xml:space="preserve">, avec comme date d’effet </w:t>
        <w:br/>
        <w:t xml:space="preserve">le </w:t>
      </w:r>
      <w:r>
        <w:rPr>
          <w:rFonts w:cs="Arial" w:ascii="Calibri" w:hAnsi="Calibri"/>
          <w:b/>
          <w:sz w:val="22"/>
        </w:rPr>
        <w:t>1</w:t>
      </w:r>
      <w:r>
        <w:rPr>
          <w:rFonts w:cs="Arial" w:ascii="Calibri" w:hAnsi="Calibri"/>
          <w:b/>
          <w:sz w:val="22"/>
          <w:vertAlign w:val="superscript"/>
        </w:rPr>
        <w:t>er</w:t>
      </w:r>
      <w:r>
        <w:rPr>
          <w:rFonts w:cs="Arial" w:ascii="Calibri" w:hAnsi="Calibri"/>
          <w:b/>
          <w:sz w:val="22"/>
        </w:rPr>
        <w:t xml:space="preserve"> avril 2022</w:t>
      </w:r>
      <w:r>
        <w:rPr>
          <w:rFonts w:cs="Arial" w:ascii="Calibri" w:hAnsi="Calibri"/>
          <w:sz w:val="22"/>
        </w:rPr>
        <w:t>.</w:t>
      </w:r>
    </w:p>
    <w:p>
      <w:pPr>
        <w:pStyle w:val="Normal"/>
        <w:tabs>
          <w:tab w:val="left" w:pos="2127" w:leader="none"/>
          <w:tab w:val="left" w:pos="5954" w:leader="none"/>
        </w:tabs>
        <w:jc w:val="both"/>
        <w:rPr>
          <w:rFonts w:ascii="Calibri" w:hAnsi="Calibri" w:cs="Arial"/>
          <w:sz w:val="18"/>
          <w:szCs w:val="18"/>
        </w:rPr>
      </w:pPr>
      <w:r>
        <w:rPr>
          <w:rFonts w:cs="Arial" w:ascii="Calibri" w:hAnsi="Calibri"/>
          <w:sz w:val="18"/>
          <w:szCs w:val="18"/>
        </w:rPr>
      </w:r>
    </w:p>
    <w:p>
      <w:pPr>
        <w:pStyle w:val="Normal"/>
        <w:numPr>
          <w:ilvl w:val="0"/>
          <w:numId w:val="6"/>
        </w:numPr>
        <w:jc w:val="both"/>
        <w:rPr>
          <w:rFonts w:ascii="Calibri" w:hAnsi="Calibri" w:cs="Arial"/>
          <w:b/>
          <w:b/>
          <w:sz w:val="22"/>
          <w:szCs w:val="22"/>
          <w:u w:val="single"/>
        </w:rPr>
      </w:pPr>
      <w:r>
        <w:rPr>
          <w:rFonts w:cs="Arial" w:ascii="Calibri" w:hAnsi="Calibri"/>
          <w:b/>
          <w:sz w:val="22"/>
          <w:szCs w:val="22"/>
          <w:u w:val="single"/>
        </w:rPr>
        <w:t>MESURES SPECIFIQUES HORS POLITIQUE SALARIALE</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sz w:val="22"/>
          <w:szCs w:val="22"/>
        </w:rPr>
      </w:pPr>
      <w:r>
        <w:rPr>
          <w:rFonts w:cs="Arial" w:ascii="Calibri" w:hAnsi="Calibri"/>
          <w:sz w:val="22"/>
          <w:szCs w:val="22"/>
        </w:rPr>
        <w:t>Les évolutions de classifications Cadres (</w:t>
      </w:r>
      <w:r>
        <w:rPr>
          <w:rFonts w:cs="Arial" w:ascii="Calibri" w:hAnsi="Calibri"/>
          <w:i/>
          <w:sz w:val="22"/>
          <w:szCs w:val="22"/>
        </w:rPr>
        <w:t>changement d’indice</w:t>
      </w:r>
      <w:r>
        <w:rPr>
          <w:rFonts w:cs="Arial" w:ascii="Calibri" w:hAnsi="Calibri"/>
          <w:sz w:val="22"/>
          <w:szCs w:val="22"/>
        </w:rPr>
        <w:t>) et non Cadres liées à la Convention Collective (</w:t>
      </w:r>
      <w:r>
        <w:rPr>
          <w:rFonts w:cs="Arial" w:ascii="Calibri" w:hAnsi="Calibri"/>
          <w:i/>
          <w:sz w:val="22"/>
          <w:szCs w:val="22"/>
        </w:rPr>
        <w:t>diplômes BTS / DUT</w:t>
      </w:r>
      <w:r>
        <w:rPr>
          <w:rFonts w:cs="Arial" w:ascii="Calibri" w:hAnsi="Calibri"/>
          <w:sz w:val="22"/>
          <w:szCs w:val="22"/>
        </w:rPr>
        <w:t>), ainsi que celles liées aux dispositions Société (</w:t>
      </w:r>
      <w:r>
        <w:rPr>
          <w:rFonts w:cs="Arial" w:ascii="Calibri" w:hAnsi="Calibri"/>
          <w:i/>
          <w:sz w:val="22"/>
          <w:szCs w:val="22"/>
        </w:rPr>
        <w:t>Mention Complémentaire</w:t>
      </w:r>
      <w:r>
        <w:rPr>
          <w:rFonts w:cs="Arial" w:ascii="Calibri" w:hAnsi="Calibri"/>
          <w:sz w:val="22"/>
          <w:szCs w:val="22"/>
        </w:rPr>
        <w:t>) seront hors budget politique salariale fixé ci-dessus.</w:t>
      </w:r>
    </w:p>
    <w:p>
      <w:pPr>
        <w:pStyle w:val="Normal"/>
        <w:jc w:val="both"/>
        <w:rPr>
          <w:rFonts w:ascii="Calibri" w:hAnsi="Calibri" w:cs="Arial"/>
          <w:sz w:val="22"/>
          <w:szCs w:val="22"/>
        </w:rPr>
      </w:pPr>
      <w:r>
        <w:rPr>
          <w:rFonts w:cs="Arial" w:ascii="Calibri" w:hAnsi="Calibri"/>
          <w:sz w:val="22"/>
          <w:szCs w:val="22"/>
        </w:rPr>
      </w:r>
    </w:p>
    <w:p>
      <w:pPr>
        <w:pStyle w:val="Normal"/>
        <w:jc w:val="both"/>
        <w:rPr>
          <w:rFonts w:ascii="Calibri" w:hAnsi="Calibri" w:cs="Arial"/>
          <w:sz w:val="22"/>
          <w:szCs w:val="22"/>
        </w:rPr>
      </w:pPr>
      <w:r>
        <w:rPr>
          <w:rFonts w:cs="Arial" w:ascii="Calibri" w:hAnsi="Calibri"/>
          <w:sz w:val="22"/>
          <w:szCs w:val="22"/>
        </w:rPr>
        <w:t>Il est convenu que pour les titulaires de la mention complémentaire, il sera laissé la latitude à la hiérarchie d’anticiper l’augmentation individuelle prévue dans le cadre de l’évolution de coefficient des intéressés.</w:t>
      </w:r>
    </w:p>
    <w:p>
      <w:pPr>
        <w:pStyle w:val="Normal"/>
        <w:jc w:val="both"/>
        <w:rPr>
          <w:rFonts w:ascii="Calibri" w:hAnsi="Calibri" w:cs="Arial"/>
          <w:sz w:val="22"/>
          <w:szCs w:val="22"/>
        </w:rPr>
      </w:pPr>
      <w:r>
        <w:rPr>
          <w:rFonts w:cs="Arial" w:ascii="Calibri" w:hAnsi="Calibri"/>
          <w:sz w:val="22"/>
          <w:szCs w:val="22"/>
        </w:rPr>
      </w:r>
    </w:p>
    <w:p>
      <w:pPr>
        <w:pStyle w:val="Normal"/>
        <w:numPr>
          <w:ilvl w:val="0"/>
          <w:numId w:val="6"/>
        </w:numPr>
        <w:jc w:val="both"/>
        <w:rPr>
          <w:rFonts w:ascii="Calibri" w:hAnsi="Calibri" w:cs="Arial"/>
          <w:b/>
          <w:b/>
          <w:sz w:val="22"/>
          <w:szCs w:val="22"/>
          <w:u w:val="single"/>
        </w:rPr>
      </w:pPr>
      <w:r>
        <w:rPr>
          <w:rFonts w:cs="Arial" w:ascii="Calibri" w:hAnsi="Calibri"/>
          <w:b/>
          <w:sz w:val="22"/>
          <w:szCs w:val="22"/>
          <w:u w:val="single"/>
        </w:rPr>
        <w:t>ATTRIBUTION DES AUGMENTATIONS INDIVIDUELLES</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sz w:val="22"/>
        </w:rPr>
      </w:pPr>
      <w:r>
        <w:rPr>
          <w:rFonts w:cs="Arial" w:ascii="Calibri" w:hAnsi="Calibri"/>
          <w:sz w:val="22"/>
        </w:rPr>
        <w:t>Les Augmentations Individuelles seront avec pour date d’effet le 1</w:t>
      </w:r>
      <w:r>
        <w:rPr>
          <w:rFonts w:cs="Arial" w:ascii="Calibri" w:hAnsi="Calibri"/>
          <w:sz w:val="22"/>
          <w:vertAlign w:val="superscript"/>
        </w:rPr>
        <w:t>er</w:t>
      </w:r>
      <w:r>
        <w:rPr>
          <w:rFonts w:cs="Arial" w:ascii="Calibri" w:hAnsi="Calibri"/>
          <w:sz w:val="22"/>
        </w:rPr>
        <w:t xml:space="preserve"> avril 2022.</w:t>
      </w:r>
    </w:p>
    <w:p>
      <w:pPr>
        <w:pStyle w:val="Normal"/>
        <w:jc w:val="both"/>
        <w:rPr>
          <w:rFonts w:ascii="Calibri" w:hAnsi="Calibri" w:cs="Arial"/>
          <w:sz w:val="22"/>
        </w:rPr>
      </w:pPr>
      <w:r>
        <w:rPr>
          <w:rFonts w:cs="Arial" w:ascii="Calibri" w:hAnsi="Calibri"/>
          <w:sz w:val="22"/>
        </w:rPr>
      </w:r>
    </w:p>
    <w:p>
      <w:pPr>
        <w:pStyle w:val="Normal"/>
        <w:numPr>
          <w:ilvl w:val="0"/>
          <w:numId w:val="6"/>
        </w:numPr>
        <w:jc w:val="both"/>
        <w:rPr/>
      </w:pPr>
      <w:r>
        <w:rPr>
          <w:rFonts w:cs="Arial" w:ascii="Calibri" w:hAnsi="Calibri"/>
          <w:b/>
          <w:sz w:val="22"/>
          <w:szCs w:val="22"/>
          <w:u w:val="single"/>
        </w:rPr>
        <w:t>SITUATIONS PARTICULIERES</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sz w:val="22"/>
          <w:szCs w:val="22"/>
        </w:rPr>
      </w:pPr>
      <w:r>
        <w:rPr>
          <w:rFonts w:cs="Arial" w:ascii="Calibri" w:hAnsi="Calibri"/>
          <w:sz w:val="22"/>
          <w:szCs w:val="22"/>
        </w:rPr>
        <w:t>La situation des salariés, n’ayant pas bénéficié d’une augmentation individuelle (</w:t>
      </w:r>
      <w:r>
        <w:rPr>
          <w:rFonts w:cs="Arial" w:ascii="Calibri" w:hAnsi="Calibri"/>
          <w:i/>
          <w:sz w:val="22"/>
          <w:szCs w:val="22"/>
        </w:rPr>
        <w:t>hors ancienneté</w:t>
      </w:r>
      <w:r>
        <w:rPr>
          <w:rFonts w:cs="Arial" w:ascii="Calibri" w:hAnsi="Calibri"/>
          <w:sz w:val="22"/>
          <w:szCs w:val="22"/>
        </w:rPr>
        <w:t>) depuis plus de 4 ans, sera examinée au cours d’un entretien avec la hiérarchie et un représentant de la Direction des Ressources Humaines.</w:t>
      </w:r>
    </w:p>
    <w:p>
      <w:pPr>
        <w:pStyle w:val="Normal"/>
        <w:jc w:val="both"/>
        <w:rPr>
          <w:rFonts w:ascii="Calibri" w:hAnsi="Calibri" w:cs="Arial"/>
          <w:sz w:val="22"/>
          <w:szCs w:val="22"/>
        </w:rPr>
      </w:pPr>
      <w:r>
        <w:rPr>
          <w:rFonts w:cs="Arial" w:ascii="Calibri" w:hAnsi="Calibri"/>
          <w:sz w:val="22"/>
          <w:szCs w:val="22"/>
        </w:rPr>
      </w:r>
    </w:p>
    <w:p>
      <w:pPr>
        <w:pStyle w:val="Normal"/>
        <w:jc w:val="both"/>
        <w:rPr>
          <w:rFonts w:ascii="Calibri" w:hAnsi="Calibri" w:cs="Arial"/>
          <w:b/>
          <w:b/>
          <w:sz w:val="22"/>
          <w:u w:val="single"/>
        </w:rPr>
      </w:pPr>
      <w:r>
        <w:rPr>
          <w:rFonts w:cs="Arial" w:ascii="Calibri" w:hAnsi="Calibri"/>
          <w:b/>
          <w:sz w:val="24"/>
          <w:szCs w:val="24"/>
        </w:rPr>
        <w:t xml:space="preserve">ARTICLE 3 – </w:t>
      </w:r>
      <w:r>
        <w:rPr>
          <w:rFonts w:cs="Arial" w:ascii="Calibri" w:hAnsi="Calibri"/>
          <w:b/>
          <w:sz w:val="24"/>
          <w:szCs w:val="24"/>
          <w:u w:val="single"/>
        </w:rPr>
        <w:t>AUTRES MESURES SALARIALES</w:t>
      </w:r>
    </w:p>
    <w:p>
      <w:pPr>
        <w:pStyle w:val="Normal"/>
        <w:rPr>
          <w:rFonts w:ascii="Calibri" w:hAnsi="Calibri" w:cs="Arial"/>
          <w:b/>
          <w:b/>
          <w:sz w:val="22"/>
          <w:u w:val="single"/>
        </w:rPr>
      </w:pPr>
      <w:r>
        <w:rPr>
          <w:rFonts w:cs="Arial" w:ascii="Calibri" w:hAnsi="Calibri"/>
          <w:b/>
          <w:sz w:val="22"/>
          <w:u w:val="single"/>
        </w:rPr>
      </w:r>
    </w:p>
    <w:p>
      <w:pPr>
        <w:pStyle w:val="Normal"/>
        <w:numPr>
          <w:ilvl w:val="0"/>
          <w:numId w:val="2"/>
        </w:numPr>
        <w:ind w:left="709" w:hanging="283"/>
        <w:jc w:val="both"/>
        <w:rPr>
          <w:rFonts w:ascii="Calibri" w:hAnsi="Calibri" w:cs="Arial"/>
          <w:sz w:val="22"/>
        </w:rPr>
      </w:pPr>
      <w:r>
        <w:rPr>
          <w:rFonts w:cs="Arial" w:ascii="Calibri" w:hAnsi="Calibri"/>
          <w:sz w:val="22"/>
          <w:u w:val="single"/>
        </w:rPr>
        <w:t>Les primes suivantes seront revalorisées</w:t>
      </w:r>
      <w:r>
        <w:rPr>
          <w:rFonts w:cs="Arial" w:ascii="Calibri" w:hAnsi="Calibri"/>
          <w:sz w:val="22"/>
        </w:rPr>
        <w:t xml:space="preserve"> à effet du mois suivant la date de signature de l’accord :</w:t>
      </w:r>
    </w:p>
    <w:p>
      <w:pPr>
        <w:pStyle w:val="Normal"/>
        <w:jc w:val="both"/>
        <w:rPr>
          <w:rFonts w:ascii="Calibri" w:hAnsi="Calibri" w:cs="Arial"/>
          <w:sz w:val="22"/>
        </w:rPr>
      </w:pPr>
      <w:r>
        <w:rPr>
          <w:rFonts w:cs="Arial" w:ascii="Calibri" w:hAnsi="Calibri"/>
          <w:sz w:val="22"/>
        </w:rPr>
      </w:r>
    </w:p>
    <w:p>
      <w:pPr>
        <w:pStyle w:val="Normal"/>
        <w:numPr>
          <w:ilvl w:val="0"/>
          <w:numId w:val="5"/>
        </w:numPr>
        <w:jc w:val="both"/>
        <w:rPr>
          <w:rFonts w:ascii="Calibri" w:hAnsi="Calibri" w:cs="Arial"/>
          <w:sz w:val="22"/>
        </w:rPr>
      </w:pPr>
      <w:r>
        <w:rPr>
          <w:rFonts w:cs="Arial" w:ascii="Calibri" w:hAnsi="Calibri"/>
          <w:sz w:val="22"/>
        </w:rPr>
        <w:t xml:space="preserve">Le montant de la </w:t>
      </w:r>
      <w:r>
        <w:rPr>
          <w:rFonts w:cs="Arial" w:ascii="Calibri" w:hAnsi="Calibri"/>
          <w:i/>
          <w:sz w:val="22"/>
          <w:u w:val="single"/>
        </w:rPr>
        <w:t>prime de transport</w:t>
      </w:r>
      <w:r>
        <w:rPr>
          <w:rFonts w:cs="Arial" w:ascii="Calibri" w:hAnsi="Calibri"/>
          <w:sz w:val="22"/>
        </w:rPr>
        <w:t xml:space="preserve">, versée aux salariés pour chaque journée travaillée, sera portée de 1,5€ par jour </w:t>
      </w:r>
      <w:r>
        <w:rPr>
          <w:rFonts w:cs="Arial" w:ascii="Calibri" w:hAnsi="Calibri"/>
          <w:b/>
          <w:sz w:val="22"/>
        </w:rPr>
        <w:t>à 2€ par jour </w:t>
      </w:r>
      <w:r>
        <w:rPr>
          <w:rFonts w:cs="Arial" w:ascii="Calibri" w:hAnsi="Calibri"/>
          <w:sz w:val="22"/>
        </w:rPr>
        <w:t>;</w:t>
      </w:r>
    </w:p>
    <w:p>
      <w:pPr>
        <w:pStyle w:val="Normal"/>
        <w:jc w:val="both"/>
        <w:rPr>
          <w:rFonts w:ascii="Calibri" w:hAnsi="Calibri" w:cs="Arial"/>
          <w:sz w:val="22"/>
        </w:rPr>
      </w:pPr>
      <w:r>
        <w:rPr>
          <w:rFonts w:cs="Arial" w:ascii="Calibri" w:hAnsi="Calibri"/>
          <w:sz w:val="22"/>
        </w:rPr>
      </w:r>
    </w:p>
    <w:p>
      <w:pPr>
        <w:pStyle w:val="Normal"/>
        <w:numPr>
          <w:ilvl w:val="0"/>
          <w:numId w:val="5"/>
        </w:numPr>
        <w:jc w:val="both"/>
        <w:rPr>
          <w:rFonts w:ascii="Calibri" w:hAnsi="Calibri" w:cs="Arial"/>
          <w:sz w:val="22"/>
        </w:rPr>
      </w:pPr>
      <w:r>
        <w:rPr>
          <w:rFonts w:cs="Arial" w:ascii="Calibri" w:hAnsi="Calibri"/>
          <w:sz w:val="22"/>
        </w:rPr>
        <w:t xml:space="preserve">Le montant de la </w:t>
      </w:r>
      <w:r>
        <w:rPr>
          <w:rFonts w:cs="Arial" w:ascii="Calibri" w:hAnsi="Calibri"/>
          <w:i/>
          <w:sz w:val="22"/>
          <w:u w:val="single"/>
        </w:rPr>
        <w:t>prime de situation</w:t>
      </w:r>
      <w:r>
        <w:rPr>
          <w:rFonts w:cs="Arial" w:ascii="Calibri" w:hAnsi="Calibri"/>
          <w:sz w:val="22"/>
        </w:rPr>
        <w:t xml:space="preserve">, prévue par la note PVW/MK/SC 2014/087 du 17 février 2014, sera portée de 17€ par jour </w:t>
      </w:r>
      <w:r>
        <w:rPr>
          <w:rFonts w:cs="Arial" w:ascii="Calibri" w:hAnsi="Calibri"/>
          <w:b/>
          <w:sz w:val="22"/>
        </w:rPr>
        <w:t>à 34€ brut par jour</w:t>
      </w:r>
      <w:r>
        <w:rPr>
          <w:rFonts w:cs="Arial" w:ascii="Calibri" w:hAnsi="Calibri"/>
          <w:sz w:val="22"/>
        </w:rPr>
        <w:t>, en cas d’intervention en autonomie sur un site éloigné et en lien direct avec le client. Le plafond de versement, fixé par cette même note à 50€ par jour, sera porté</w:t>
        <w:br/>
      </w:r>
      <w:r>
        <w:rPr>
          <w:rFonts w:cs="Arial" w:ascii="Calibri" w:hAnsi="Calibri"/>
          <w:b/>
          <w:sz w:val="22"/>
        </w:rPr>
        <w:t>à 60€ brut</w:t>
      </w:r>
      <w:r>
        <w:rPr>
          <w:rFonts w:cs="Arial" w:ascii="Calibri" w:hAnsi="Calibri"/>
          <w:sz w:val="22"/>
        </w:rPr>
        <w:t> ;</w:t>
      </w:r>
    </w:p>
    <w:p>
      <w:pPr>
        <w:pStyle w:val="Paragraphedeliste"/>
        <w:ind w:left="0" w:hanging="0"/>
        <w:rPr>
          <w:rFonts w:ascii="Calibri" w:hAnsi="Calibri" w:cs="Arial"/>
          <w:sz w:val="22"/>
        </w:rPr>
      </w:pPr>
      <w:r>
        <w:rPr>
          <w:rFonts w:cs="Arial"/>
          <w:sz w:val="22"/>
        </w:rPr>
      </w:r>
    </w:p>
    <w:p>
      <w:pPr>
        <w:pStyle w:val="Normal"/>
        <w:numPr>
          <w:ilvl w:val="0"/>
          <w:numId w:val="5"/>
        </w:numPr>
        <w:jc w:val="both"/>
        <w:rPr>
          <w:rFonts w:ascii="Calibri" w:hAnsi="Calibri" w:cs="Arial"/>
          <w:sz w:val="22"/>
        </w:rPr>
      </w:pPr>
      <w:r>
        <w:rPr>
          <w:rFonts w:cs="Arial" w:ascii="Calibri" w:hAnsi="Calibri"/>
          <w:sz w:val="22"/>
        </w:rPr>
        <w:t xml:space="preserve">La note PVW/MK du 12 décembre 2016 encadrant les conditions et barèmes des frais professionnels DFS / missions entre les sites DFS LE BOURGET / MERIGNAC sera mise à jour, et intègrera le versement d’une prime d’éloignement équivalente à </w:t>
      </w:r>
      <w:r>
        <w:rPr>
          <w:rFonts w:cs="Arial" w:ascii="Calibri" w:hAnsi="Calibri"/>
          <w:b/>
          <w:sz w:val="22"/>
        </w:rPr>
        <w:t>17€ brut par jour </w:t>
      </w:r>
      <w:r>
        <w:rPr>
          <w:rFonts w:cs="Arial" w:ascii="Calibri" w:hAnsi="Calibri"/>
          <w:sz w:val="22"/>
        </w:rPr>
        <w:t>;</w:t>
      </w:r>
    </w:p>
    <w:p>
      <w:pPr>
        <w:pStyle w:val="Paragraphedeliste"/>
        <w:ind w:left="0" w:hanging="0"/>
        <w:rPr>
          <w:rFonts w:ascii="Calibri" w:hAnsi="Calibri" w:cs="Arial"/>
          <w:sz w:val="22"/>
        </w:rPr>
      </w:pPr>
      <w:r>
        <w:rPr>
          <w:rFonts w:cs="Arial"/>
          <w:sz w:val="22"/>
        </w:rPr>
      </w:r>
    </w:p>
    <w:p>
      <w:pPr>
        <w:pStyle w:val="Normal"/>
        <w:numPr>
          <w:ilvl w:val="0"/>
          <w:numId w:val="2"/>
        </w:numPr>
        <w:jc w:val="both"/>
        <w:rPr/>
      </w:pPr>
      <w:r>
        <w:rPr>
          <w:rFonts w:cs="Arial" w:ascii="Calibri" w:hAnsi="Calibri"/>
          <w:sz w:val="22"/>
        </w:rPr>
        <w:t>Après signature du présent accord sur les Négociations Annuelles Obligatoires, un accord relatif à l’Activité Partielle de Longue Durée sera proposé à signature pour la création d’une indemnité complémentaire versée par l’entreprise pour les salariés positionnés en Activité partielle de Longue Durée, qui aura pour conséquence de tendre vers une indemnisation équivalente à environ 92% du salaire net avant prélèvement à la source. Cette indemnisation est définie comme suit :</w:t>
      </w:r>
    </w:p>
    <w:p>
      <w:pPr>
        <w:pStyle w:val="Normal"/>
        <w:numPr>
          <w:ilvl w:val="0"/>
          <w:numId w:val="5"/>
        </w:numPr>
        <w:jc w:val="both"/>
        <w:rPr/>
      </w:pPr>
      <w:r>
        <w:rPr>
          <w:rFonts w:cs="Arial" w:ascii="Calibri" w:hAnsi="Calibri"/>
          <w:sz w:val="22"/>
        </w:rPr>
        <w:t>L’ensemble des salariés de l’entreprise positionnés en Activité Partielle de Longue Durée, quelle que soit leur catégorie professionnelle, l’indemnisation pendant la période d’activité partielle, telle que prévue à l’article 8 du décret 2020-926 du 28 juillet 2020, sera portée de 70% à 78,7% de la rémunération brute. Conformément aux dispositions réglementaires, la rémunération maximale prise en compte pour le calcul de l'indemnité horaire versée au salarié est égale à 4,5 fois le taux horaire du salaire minimum interprofessionnel de croissance ;</w:t>
      </w:r>
    </w:p>
    <w:p>
      <w:pPr>
        <w:pStyle w:val="Normal"/>
        <w:numPr>
          <w:ilvl w:val="0"/>
          <w:numId w:val="5"/>
        </w:numPr>
        <w:jc w:val="both"/>
        <w:rPr>
          <w:rFonts w:ascii="Calibri" w:hAnsi="Calibri" w:cs="Arial"/>
          <w:sz w:val="22"/>
        </w:rPr>
      </w:pPr>
      <w:r>
        <w:rPr>
          <w:rFonts w:cs="Arial" w:ascii="Calibri" w:hAnsi="Calibri"/>
          <w:sz w:val="22"/>
        </w:rPr>
        <w:t>Cette indemnisation sera calculée conformément aux dispositions légales, soit sur l'assiette de calcul de l'indemnité de congés payés prévue au II de l'article L3141-24 du code du travail, intégrant notamment, le salaire de base, la prime d’ancienneté et les heures de vol garanties pour les Personnels Navigants ;</w:t>
      </w:r>
    </w:p>
    <w:p>
      <w:pPr>
        <w:pStyle w:val="Normal"/>
        <w:numPr>
          <w:ilvl w:val="0"/>
          <w:numId w:val="5"/>
        </w:numPr>
        <w:jc w:val="both"/>
        <w:rPr/>
      </w:pPr>
      <w:r>
        <w:rPr>
          <w:rFonts w:cs="Arial" w:ascii="Calibri" w:hAnsi="Calibri"/>
          <w:sz w:val="22"/>
        </w:rPr>
        <w:t>Le versement de l’indemnité complémentaire entrera en vigueur pour les périodes d’activité partielle qui seront effectuées à compter du 1</w:t>
      </w:r>
      <w:r>
        <w:rPr>
          <w:rFonts w:cs="Arial" w:ascii="Calibri" w:hAnsi="Calibri"/>
          <w:sz w:val="22"/>
          <w:vertAlign w:val="superscript"/>
        </w:rPr>
        <w:t>er</w:t>
      </w:r>
      <w:r>
        <w:rPr>
          <w:rFonts w:cs="Arial" w:ascii="Calibri" w:hAnsi="Calibri"/>
          <w:sz w:val="22"/>
        </w:rPr>
        <w:t xml:space="preserve"> mai 2022 (</w:t>
      </w:r>
      <w:r>
        <w:rPr>
          <w:rFonts w:cs="Arial" w:ascii="Calibri" w:hAnsi="Calibri"/>
          <w:i/>
          <w:sz w:val="22"/>
        </w:rPr>
        <w:t>périodes qui seront analysés sur la paie du mois de juin 2022</w:t>
      </w:r>
      <w:r>
        <w:rPr>
          <w:rFonts w:cs="Arial" w:ascii="Calibri" w:hAnsi="Calibri"/>
          <w:sz w:val="22"/>
        </w:rPr>
        <w:t>). Ce dispositif d’indemnisation supplémentaire spécifique restera valable pendant la totalité de la durée de l’accord collectif sur l’APLD, et cessera de produire ses effets au terme de ce dernier.</w:t>
      </w:r>
    </w:p>
    <w:p>
      <w:pPr>
        <w:pStyle w:val="Normal"/>
        <w:jc w:val="both"/>
        <w:rPr>
          <w:rFonts w:ascii="Calibri" w:hAnsi="Calibri" w:cs="Arial"/>
          <w:sz w:val="22"/>
          <w:szCs w:val="22"/>
        </w:rPr>
      </w:pPr>
      <w:r>
        <w:rPr>
          <w:rFonts w:cs="Arial" w:ascii="Calibri" w:hAnsi="Calibri"/>
          <w:sz w:val="22"/>
          <w:szCs w:val="22"/>
        </w:rPr>
      </w:r>
    </w:p>
    <w:p>
      <w:pPr>
        <w:pStyle w:val="Heading4"/>
        <w:numPr>
          <w:ilvl w:val="3"/>
          <w:numId w:val="1"/>
        </w:numPr>
        <w:ind w:right="-142" w:hanging="0"/>
        <w:rPr/>
      </w:pPr>
      <w:r>
        <w:rPr>
          <w:rFonts w:cs="Arial" w:ascii="Calibri" w:hAnsi="Calibri"/>
          <w:sz w:val="24"/>
          <w:szCs w:val="24"/>
          <w:u w:val="none"/>
        </w:rPr>
        <w:t xml:space="preserve">ARTICLE 4 – </w:t>
      </w:r>
      <w:r>
        <w:rPr>
          <w:rFonts w:cs="Arial" w:ascii="Calibri" w:hAnsi="Calibri"/>
          <w:sz w:val="24"/>
          <w:szCs w:val="24"/>
        </w:rPr>
        <w:t>EMPLO</w:t>
      </w:r>
      <w:r>
        <w:rPr>
          <w:rFonts w:cs="Arial" w:ascii="Calibri" w:hAnsi="Calibri"/>
          <w:sz w:val="24"/>
          <w:szCs w:val="24"/>
          <w:u w:val="none"/>
        </w:rPr>
        <w:t>I</w:t>
      </w:r>
    </w:p>
    <w:p>
      <w:pPr>
        <w:pStyle w:val="Normal"/>
        <w:jc w:val="both"/>
        <w:rPr>
          <w:rFonts w:ascii="Calibri" w:hAnsi="Calibri" w:cs="Arial"/>
          <w:sz w:val="22"/>
          <w:szCs w:val="22"/>
          <w:u w:val="none"/>
        </w:rPr>
      </w:pPr>
      <w:r>
        <w:rPr>
          <w:rFonts w:cs="Arial" w:ascii="Calibri" w:hAnsi="Calibri"/>
          <w:sz w:val="22"/>
          <w:szCs w:val="22"/>
          <w:u w:val="none"/>
        </w:rPr>
      </w:r>
    </w:p>
    <w:p>
      <w:pPr>
        <w:pStyle w:val="Normal"/>
        <w:numPr>
          <w:ilvl w:val="0"/>
          <w:numId w:val="6"/>
        </w:numPr>
        <w:jc w:val="both"/>
        <w:rPr>
          <w:rFonts w:ascii="Calibri" w:hAnsi="Calibri" w:cs="Arial"/>
          <w:b/>
          <w:b/>
          <w:sz w:val="22"/>
          <w:szCs w:val="22"/>
          <w:u w:val="single"/>
        </w:rPr>
      </w:pPr>
      <w:r>
        <w:rPr>
          <w:rFonts w:cs="Arial" w:ascii="Calibri" w:hAnsi="Calibri"/>
          <w:b/>
          <w:sz w:val="22"/>
          <w:szCs w:val="22"/>
          <w:u w:val="single"/>
        </w:rPr>
        <w:t>Evolution des effectifs au sein de l’entreprise au titre de l’année 2022</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pPr>
      <w:r>
        <w:rPr>
          <w:rFonts w:cs="Arial" w:ascii="Calibri" w:hAnsi="Calibri"/>
          <w:sz w:val="22"/>
          <w:szCs w:val="22"/>
        </w:rPr>
        <w:t>Concernant la politique d’emploi au titre de l’année 2022, compte tenu de la visibilité à la date de signature du présent accord, la Direction prévoit, d’ici fin 2022, la répartition suivante des effectifs au sein de l’entreprise :</w:t>
      </w:r>
    </w:p>
    <w:p>
      <w:pPr>
        <w:pStyle w:val="Normal"/>
        <w:numPr>
          <w:ilvl w:val="0"/>
          <w:numId w:val="5"/>
        </w:numPr>
        <w:ind w:left="709" w:hanging="358"/>
        <w:jc w:val="both"/>
        <w:rPr>
          <w:rFonts w:ascii="Calibri" w:hAnsi="Calibri" w:cs="Arial"/>
          <w:sz w:val="22"/>
          <w:szCs w:val="22"/>
        </w:rPr>
      </w:pPr>
      <w:r>
        <w:rPr>
          <w:rFonts w:cs="Arial" w:ascii="Calibri" w:hAnsi="Calibri"/>
          <w:b/>
          <w:sz w:val="22"/>
          <w:szCs w:val="22"/>
        </w:rPr>
        <w:t>513</w:t>
      </w:r>
      <w:r>
        <w:rPr>
          <w:rFonts w:cs="Arial" w:ascii="Calibri" w:hAnsi="Calibri"/>
          <w:sz w:val="22"/>
          <w:szCs w:val="22"/>
        </w:rPr>
        <w:t xml:space="preserve"> salariés inscrits à l’effectif (</w:t>
      </w:r>
      <w:r>
        <w:rPr>
          <w:rFonts w:cs="Arial" w:ascii="Calibri" w:hAnsi="Calibri"/>
          <w:i/>
          <w:sz w:val="22"/>
          <w:szCs w:val="22"/>
        </w:rPr>
        <w:t>hors apprentis et salariés en suspension de contrat</w:t>
      </w:r>
      <w:r>
        <w:rPr>
          <w:rFonts w:cs="Arial" w:ascii="Calibri" w:hAnsi="Calibri"/>
          <w:sz w:val="22"/>
          <w:szCs w:val="22"/>
        </w:rPr>
        <w:t>), comprenant :</w:t>
      </w:r>
    </w:p>
    <w:p>
      <w:pPr>
        <w:pStyle w:val="Normal"/>
        <w:numPr>
          <w:ilvl w:val="1"/>
          <w:numId w:val="5"/>
        </w:numPr>
        <w:ind w:left="1276" w:hanging="425"/>
        <w:jc w:val="both"/>
        <w:rPr/>
      </w:pPr>
      <w:r>
        <w:rPr>
          <w:rFonts w:cs="Arial" w:ascii="Calibri" w:hAnsi="Calibri"/>
          <w:b/>
          <w:sz w:val="22"/>
          <w:szCs w:val="22"/>
        </w:rPr>
        <w:t>147</w:t>
      </w:r>
      <w:r>
        <w:rPr>
          <w:rFonts w:cs="Arial" w:ascii="Calibri" w:hAnsi="Calibri"/>
          <w:sz w:val="22"/>
          <w:szCs w:val="22"/>
        </w:rPr>
        <w:t xml:space="preserve"> salariés « structure », répartis de la manière suivante :</w:t>
      </w:r>
    </w:p>
    <w:p>
      <w:pPr>
        <w:pStyle w:val="Normal"/>
        <w:numPr>
          <w:ilvl w:val="2"/>
          <w:numId w:val="5"/>
        </w:numPr>
        <w:ind w:left="1843" w:hanging="283"/>
        <w:jc w:val="both"/>
        <w:rPr/>
      </w:pPr>
      <w:r>
        <w:rPr>
          <w:rFonts w:cs="Arial" w:ascii="Calibri" w:hAnsi="Calibri"/>
          <w:b/>
          <w:sz w:val="22"/>
          <w:szCs w:val="22"/>
        </w:rPr>
        <w:t>45</w:t>
      </w:r>
      <w:r>
        <w:rPr>
          <w:rFonts w:cs="Arial" w:ascii="Calibri" w:hAnsi="Calibri"/>
          <w:sz w:val="22"/>
          <w:szCs w:val="22"/>
        </w:rPr>
        <w:t xml:space="preserve"> salariés « structure centrale »</w:t>
      </w:r>
    </w:p>
    <w:p>
      <w:pPr>
        <w:pStyle w:val="Normal"/>
        <w:numPr>
          <w:ilvl w:val="2"/>
          <w:numId w:val="5"/>
        </w:numPr>
        <w:ind w:left="1843" w:hanging="283"/>
        <w:jc w:val="both"/>
        <w:rPr/>
      </w:pPr>
      <w:r>
        <w:rPr>
          <w:rFonts w:cs="Arial" w:ascii="Calibri" w:hAnsi="Calibri"/>
          <w:b/>
          <w:sz w:val="22"/>
          <w:szCs w:val="22"/>
        </w:rPr>
        <w:t>102</w:t>
      </w:r>
      <w:r>
        <w:rPr>
          <w:rFonts w:cs="Arial" w:ascii="Calibri" w:hAnsi="Calibri"/>
          <w:sz w:val="22"/>
          <w:szCs w:val="22"/>
        </w:rPr>
        <w:t xml:space="preserve"> salariés « structure maintenance »</w:t>
      </w:r>
    </w:p>
    <w:p>
      <w:pPr>
        <w:pStyle w:val="Normal"/>
        <w:numPr>
          <w:ilvl w:val="1"/>
          <w:numId w:val="5"/>
        </w:numPr>
        <w:ind w:left="1276" w:hanging="425"/>
        <w:jc w:val="both"/>
        <w:rPr/>
      </w:pPr>
      <w:r>
        <w:rPr>
          <w:rFonts w:cs="Arial" w:ascii="Calibri" w:hAnsi="Calibri"/>
          <w:b/>
          <w:sz w:val="22"/>
          <w:szCs w:val="22"/>
        </w:rPr>
        <w:t>290</w:t>
      </w:r>
      <w:r>
        <w:rPr>
          <w:rFonts w:cs="Arial" w:ascii="Calibri" w:hAnsi="Calibri"/>
          <w:sz w:val="22"/>
          <w:szCs w:val="22"/>
        </w:rPr>
        <w:t xml:space="preserve"> salariés « spécifiques », avec la répartition suivante :</w:t>
      </w:r>
    </w:p>
    <w:p>
      <w:pPr>
        <w:pStyle w:val="Normal"/>
        <w:ind w:left="1843" w:hanging="0"/>
        <w:jc w:val="both"/>
        <w:rPr/>
      </w:pPr>
      <w:r>
        <w:rPr>
          <w:rFonts w:cs="Arial" w:ascii="Calibri" w:hAnsi="Calibri"/>
          <w:b/>
          <w:sz w:val="22"/>
          <w:szCs w:val="22"/>
        </w:rPr>
        <w:t>66</w:t>
      </w:r>
      <w:r>
        <w:rPr>
          <w:rFonts w:cs="Arial" w:ascii="Calibri" w:hAnsi="Calibri"/>
          <w:sz w:val="22"/>
          <w:szCs w:val="22"/>
        </w:rPr>
        <w:t xml:space="preserve"> salariés en main d’œuvre répartie (MOR)</w:t>
      </w:r>
    </w:p>
    <w:p>
      <w:pPr>
        <w:pStyle w:val="Normal"/>
        <w:numPr>
          <w:ilvl w:val="2"/>
          <w:numId w:val="5"/>
        </w:numPr>
        <w:ind w:left="1843" w:hanging="283"/>
        <w:jc w:val="both"/>
        <w:rPr/>
      </w:pPr>
      <w:r>
        <w:rPr>
          <w:rFonts w:cs="Arial" w:ascii="Calibri" w:hAnsi="Calibri"/>
          <w:b/>
          <w:sz w:val="22"/>
          <w:szCs w:val="22"/>
        </w:rPr>
        <w:t>224</w:t>
      </w:r>
      <w:r>
        <w:rPr>
          <w:rFonts w:cs="Arial" w:ascii="Calibri" w:hAnsi="Calibri"/>
          <w:sz w:val="22"/>
          <w:szCs w:val="22"/>
        </w:rPr>
        <w:t xml:space="preserve"> salariés en main d’œuvre directe (MOD)</w:t>
      </w:r>
    </w:p>
    <w:p>
      <w:pPr>
        <w:pStyle w:val="Normal"/>
        <w:numPr>
          <w:ilvl w:val="1"/>
          <w:numId w:val="5"/>
        </w:numPr>
        <w:ind w:left="1276" w:hanging="425"/>
        <w:jc w:val="both"/>
        <w:rPr/>
      </w:pPr>
      <w:r>
        <w:rPr>
          <w:rFonts w:cs="Arial" w:ascii="Calibri" w:hAnsi="Calibri"/>
          <w:b/>
          <w:sz w:val="22"/>
          <w:szCs w:val="22"/>
        </w:rPr>
        <w:t>76</w:t>
      </w:r>
      <w:r>
        <w:rPr>
          <w:rFonts w:cs="Arial" w:ascii="Calibri" w:hAnsi="Calibri"/>
          <w:sz w:val="22"/>
          <w:szCs w:val="22"/>
        </w:rPr>
        <w:t xml:space="preserve"> salariés pour l’activité aérienne, comprenant :</w:t>
      </w:r>
    </w:p>
    <w:p>
      <w:pPr>
        <w:pStyle w:val="Normal"/>
        <w:numPr>
          <w:ilvl w:val="2"/>
          <w:numId w:val="5"/>
        </w:numPr>
        <w:ind w:left="1843" w:hanging="283"/>
        <w:jc w:val="both"/>
        <w:rPr/>
      </w:pPr>
      <w:r>
        <w:rPr>
          <w:rFonts w:cs="Arial" w:ascii="Calibri" w:hAnsi="Calibri"/>
          <w:b/>
          <w:sz w:val="22"/>
          <w:szCs w:val="22"/>
        </w:rPr>
        <w:t>19</w:t>
      </w:r>
      <w:r>
        <w:rPr>
          <w:rFonts w:cs="Arial" w:ascii="Calibri" w:hAnsi="Calibri"/>
          <w:sz w:val="22"/>
          <w:szCs w:val="22"/>
        </w:rPr>
        <w:t xml:space="preserve"> salariés au handling activité Aérienne</w:t>
      </w:r>
    </w:p>
    <w:p>
      <w:pPr>
        <w:pStyle w:val="Normal"/>
        <w:numPr>
          <w:ilvl w:val="2"/>
          <w:numId w:val="5"/>
        </w:numPr>
        <w:ind w:left="1843" w:hanging="283"/>
        <w:jc w:val="both"/>
        <w:rPr/>
      </w:pPr>
      <w:r>
        <w:rPr>
          <w:rFonts w:cs="Arial" w:ascii="Calibri" w:hAnsi="Calibri"/>
          <w:b/>
          <w:sz w:val="22"/>
          <w:szCs w:val="22"/>
        </w:rPr>
        <w:t>28</w:t>
      </w:r>
      <w:r>
        <w:rPr>
          <w:rFonts w:cs="Arial" w:ascii="Calibri" w:hAnsi="Calibri"/>
          <w:sz w:val="22"/>
          <w:szCs w:val="22"/>
        </w:rPr>
        <w:t xml:space="preserve"> Personnels Navigants (PNT et PNC)</w:t>
      </w:r>
    </w:p>
    <w:p>
      <w:pPr>
        <w:pStyle w:val="Normal"/>
        <w:numPr>
          <w:ilvl w:val="2"/>
          <w:numId w:val="5"/>
        </w:numPr>
        <w:ind w:left="1843" w:hanging="283"/>
        <w:jc w:val="both"/>
        <w:rPr/>
      </w:pPr>
      <w:r>
        <w:rPr>
          <w:rFonts w:cs="Arial" w:ascii="Calibri" w:hAnsi="Calibri"/>
          <w:b/>
          <w:sz w:val="22"/>
          <w:szCs w:val="22"/>
        </w:rPr>
        <w:t>29</w:t>
      </w:r>
      <w:r>
        <w:rPr>
          <w:rFonts w:cs="Arial" w:ascii="Calibri" w:hAnsi="Calibri"/>
          <w:sz w:val="22"/>
          <w:szCs w:val="22"/>
        </w:rPr>
        <w:t xml:space="preserve"> salariés « structure »</w:t>
      </w:r>
    </w:p>
    <w:p>
      <w:pPr>
        <w:pStyle w:val="Normal"/>
        <w:jc w:val="both"/>
        <w:rPr>
          <w:rFonts w:ascii="Calibri" w:hAnsi="Calibri" w:cs="Arial"/>
          <w:sz w:val="22"/>
          <w:szCs w:val="22"/>
        </w:rPr>
      </w:pPr>
      <w:r>
        <w:rPr>
          <w:rFonts w:cs="Arial" w:ascii="Calibri" w:hAnsi="Calibri"/>
          <w:sz w:val="22"/>
          <w:szCs w:val="22"/>
        </w:rPr>
      </w:r>
    </w:p>
    <w:p>
      <w:pPr>
        <w:pStyle w:val="Normal"/>
        <w:numPr>
          <w:ilvl w:val="0"/>
          <w:numId w:val="6"/>
        </w:numPr>
        <w:jc w:val="both"/>
        <w:rPr>
          <w:rFonts w:ascii="Calibri" w:hAnsi="Calibri" w:cs="Arial"/>
          <w:sz w:val="22"/>
          <w:szCs w:val="22"/>
        </w:rPr>
      </w:pPr>
      <w:r>
        <w:rPr>
          <w:rFonts w:cs="Arial" w:ascii="Calibri" w:hAnsi="Calibri"/>
          <w:b/>
          <w:sz w:val="22"/>
          <w:szCs w:val="22"/>
          <w:u w:val="single"/>
        </w:rPr>
        <w:t>Politique d’apprentissage</w:t>
      </w:r>
    </w:p>
    <w:p>
      <w:pPr>
        <w:pStyle w:val="Normal"/>
        <w:jc w:val="both"/>
        <w:rPr>
          <w:rFonts w:ascii="Calibri" w:hAnsi="Calibri" w:cs="Arial"/>
          <w:sz w:val="22"/>
          <w:szCs w:val="22"/>
        </w:rPr>
      </w:pPr>
      <w:r>
        <w:rPr>
          <w:rFonts w:cs="Arial" w:ascii="Calibri" w:hAnsi="Calibri"/>
          <w:sz w:val="22"/>
          <w:szCs w:val="22"/>
        </w:rPr>
      </w:r>
    </w:p>
    <w:p>
      <w:pPr>
        <w:pStyle w:val="Normal"/>
        <w:jc w:val="both"/>
        <w:rPr>
          <w:rFonts w:ascii="Calibri" w:hAnsi="Calibri" w:cs="Arial"/>
          <w:sz w:val="22"/>
          <w:szCs w:val="22"/>
        </w:rPr>
      </w:pPr>
      <w:r>
        <w:rPr>
          <w:rFonts w:cs="Arial" w:ascii="Calibri" w:hAnsi="Calibri"/>
          <w:sz w:val="22"/>
          <w:szCs w:val="22"/>
        </w:rPr>
        <w:t>Concernant la politique d’apprentissage, Dassault Falcon Service continuera à s’engager dans une politique dynamique d’apprentissage.</w:t>
      </w:r>
    </w:p>
    <w:p>
      <w:pPr>
        <w:pStyle w:val="Normal"/>
        <w:jc w:val="both"/>
        <w:rPr>
          <w:rFonts w:ascii="Calibri" w:hAnsi="Calibri" w:cs="Arial"/>
          <w:sz w:val="22"/>
          <w:szCs w:val="22"/>
        </w:rPr>
      </w:pPr>
      <w:r>
        <w:rPr>
          <w:rFonts w:cs="Arial" w:ascii="Calibri" w:hAnsi="Calibri"/>
          <w:sz w:val="22"/>
          <w:szCs w:val="22"/>
        </w:rPr>
      </w:r>
    </w:p>
    <w:p>
      <w:pPr>
        <w:pStyle w:val="Normal"/>
        <w:jc w:val="both"/>
        <w:rPr/>
      </w:pPr>
      <w:r>
        <w:rPr>
          <w:rFonts w:cs="Arial" w:ascii="Calibri" w:hAnsi="Calibri"/>
          <w:sz w:val="22"/>
          <w:szCs w:val="22"/>
        </w:rPr>
        <w:t>Un point d’avancement de la politique de l’Emploi sera effectué régulièrement avec les Représentants du Personnel. Ils seront notamment informés des ajustements qui s’avéreraient nécessaires au niveau de la politique de l’emploi, consécutivement aux évolutions éventuelles de la situation économique.</w:t>
      </w:r>
    </w:p>
    <w:p>
      <w:pPr>
        <w:pStyle w:val="Normal"/>
        <w:jc w:val="both"/>
        <w:rPr>
          <w:rFonts w:ascii="Calibri" w:hAnsi="Calibri" w:cs="Arial"/>
          <w:sz w:val="22"/>
          <w:szCs w:val="22"/>
        </w:rPr>
      </w:pPr>
      <w:r>
        <w:rPr>
          <w:rFonts w:cs="Arial" w:ascii="Calibri" w:hAnsi="Calibri"/>
          <w:sz w:val="22"/>
          <w:szCs w:val="22"/>
        </w:rPr>
      </w:r>
    </w:p>
    <w:p>
      <w:pPr>
        <w:pStyle w:val="Normal"/>
        <w:jc w:val="both"/>
        <w:rPr>
          <w:rFonts w:ascii="Calibri" w:hAnsi="Calibri" w:cs="Arial"/>
          <w:b/>
          <w:b/>
          <w:i/>
          <w:i/>
          <w:sz w:val="14"/>
          <w:szCs w:val="18"/>
        </w:rPr>
      </w:pPr>
      <w:r>
        <w:rPr>
          <w:rFonts w:cs="Arial" w:ascii="Calibri" w:hAnsi="Calibri"/>
          <w:b/>
          <w:sz w:val="24"/>
          <w:szCs w:val="24"/>
        </w:rPr>
        <w:t xml:space="preserve">ARTICLE 5 – </w:t>
      </w:r>
      <w:r>
        <w:rPr>
          <w:rFonts w:cs="Arial" w:ascii="Calibri" w:hAnsi="Calibri"/>
          <w:b/>
          <w:sz w:val="24"/>
          <w:szCs w:val="24"/>
          <w:u w:val="single"/>
        </w:rPr>
        <w:t>DEFINITION D’UN CALENDRIER DE NEGOCIATION POUR L’ANNEE 2022</w:t>
      </w:r>
    </w:p>
    <w:p>
      <w:pPr>
        <w:pStyle w:val="Normal"/>
        <w:jc w:val="both"/>
        <w:rPr>
          <w:rFonts w:ascii="Calibri" w:hAnsi="Calibri" w:cs="Arial"/>
          <w:b/>
          <w:b/>
          <w:i/>
          <w:i/>
          <w:sz w:val="22"/>
          <w:szCs w:val="22"/>
        </w:rPr>
      </w:pPr>
      <w:r>
        <w:rPr>
          <w:rFonts w:cs="Arial" w:ascii="Calibri" w:hAnsi="Calibri"/>
          <w:b/>
          <w:i/>
          <w:sz w:val="22"/>
          <w:szCs w:val="22"/>
        </w:rPr>
      </w:r>
    </w:p>
    <w:p>
      <w:pPr>
        <w:pStyle w:val="Normal"/>
        <w:numPr>
          <w:ilvl w:val="0"/>
          <w:numId w:val="6"/>
        </w:numPr>
        <w:jc w:val="both"/>
        <w:rPr>
          <w:rFonts w:ascii="Calibri" w:hAnsi="Calibri" w:cs="Arial"/>
          <w:b/>
          <w:b/>
          <w:sz w:val="22"/>
          <w:szCs w:val="22"/>
          <w:u w:val="single"/>
        </w:rPr>
      </w:pPr>
      <w:r>
        <w:rPr>
          <w:rFonts w:cs="Arial" w:ascii="Calibri" w:hAnsi="Calibri"/>
          <w:b/>
          <w:sz w:val="22"/>
          <w:szCs w:val="22"/>
          <w:u w:val="single"/>
        </w:rPr>
        <w:t>Renouvellement des accord d’intéressement et de participation</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sz w:val="22"/>
          <w:szCs w:val="22"/>
        </w:rPr>
      </w:pPr>
      <w:r>
        <w:rPr>
          <w:rFonts w:cs="Arial" w:ascii="Calibri" w:hAnsi="Calibri"/>
          <w:sz w:val="22"/>
          <w:szCs w:val="22"/>
        </w:rPr>
        <w:t xml:space="preserve">Les accords d’intéressement et de participation, signés en 2019, sont arrivés à échéance </w:t>
        <w:br/>
        <w:t>au 31 décembre 2021. Des négociations avec les délégués syndicaux interviendront à partir du mois d’avril 2022, afin de reconduire ces dispositifs. Des modifications, en lien avec la méthode de calcul de l’intéressement au résultat courant, seront proposés aux organisations syndicales représentatives du personnel, afin notamment de proposer la mise en œuvre des critères opérationnels comme méthode de calcul de la somme à répartir.</w:t>
      </w:r>
    </w:p>
    <w:p>
      <w:pPr>
        <w:pStyle w:val="Normal"/>
        <w:jc w:val="both"/>
        <w:rPr>
          <w:rFonts w:ascii="Calibri" w:hAnsi="Calibri" w:cs="Arial"/>
          <w:sz w:val="22"/>
          <w:szCs w:val="22"/>
        </w:rPr>
      </w:pPr>
      <w:r>
        <w:rPr>
          <w:rFonts w:cs="Arial" w:ascii="Calibri" w:hAnsi="Calibri"/>
          <w:sz w:val="22"/>
          <w:szCs w:val="22"/>
        </w:rPr>
      </w:r>
    </w:p>
    <w:p>
      <w:pPr>
        <w:pStyle w:val="Normal"/>
        <w:numPr>
          <w:ilvl w:val="0"/>
          <w:numId w:val="6"/>
        </w:numPr>
        <w:jc w:val="both"/>
        <w:rPr>
          <w:rFonts w:ascii="Calibri" w:hAnsi="Calibri" w:cs="Arial"/>
          <w:b/>
          <w:b/>
          <w:sz w:val="22"/>
          <w:szCs w:val="22"/>
          <w:u w:val="single"/>
        </w:rPr>
      </w:pPr>
      <w:r>
        <w:rPr>
          <w:rFonts w:cs="Arial" w:ascii="Calibri" w:hAnsi="Calibri"/>
          <w:b/>
          <w:sz w:val="22"/>
          <w:szCs w:val="22"/>
          <w:u w:val="single"/>
        </w:rPr>
        <w:t>Négociation d’un accord de Gestion des Emplois et des Parcours Professionnels</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pPr>
      <w:r>
        <w:rPr>
          <w:rFonts w:cs="Arial" w:ascii="Calibri" w:hAnsi="Calibri"/>
          <w:sz w:val="22"/>
          <w:szCs w:val="22"/>
        </w:rPr>
        <w:t>Les signataires du présent accord conviennent de la tenue d’une négociation, au cours du second semestre 2022, sur la mise en place au sein de l’entreprise d’un accord sur la Gestion des Emplois et des Parcours Professionnels. Cette négociation sera effectuée conformément aux dispositions de l’article L2242-2 du Code du travail, et donnera lieu à la signature d’un accord spécifique. Les thèmes qui seront abordés seront notamment les suivants :</w:t>
      </w:r>
    </w:p>
    <w:p>
      <w:pPr>
        <w:pStyle w:val="Normal"/>
        <w:numPr>
          <w:ilvl w:val="0"/>
          <w:numId w:val="6"/>
        </w:numPr>
        <w:jc w:val="both"/>
        <w:rPr>
          <w:rFonts w:ascii="Calibri" w:hAnsi="Calibri" w:cs="Arial"/>
          <w:sz w:val="22"/>
          <w:szCs w:val="22"/>
        </w:rPr>
      </w:pPr>
      <w:r>
        <w:rPr>
          <w:rFonts w:cs="Arial" w:ascii="Calibri" w:hAnsi="Calibri"/>
          <w:sz w:val="22"/>
          <w:szCs w:val="22"/>
        </w:rPr>
        <w:t>Formation professionnelle ;</w:t>
      </w:r>
    </w:p>
    <w:p>
      <w:pPr>
        <w:pStyle w:val="Normal"/>
        <w:numPr>
          <w:ilvl w:val="0"/>
          <w:numId w:val="6"/>
        </w:numPr>
        <w:jc w:val="both"/>
        <w:rPr>
          <w:rFonts w:ascii="Calibri" w:hAnsi="Calibri" w:cs="Arial"/>
          <w:sz w:val="22"/>
          <w:szCs w:val="22"/>
        </w:rPr>
      </w:pPr>
      <w:r>
        <w:rPr>
          <w:rFonts w:cs="Arial" w:ascii="Calibri" w:hAnsi="Calibri"/>
          <w:sz w:val="22"/>
          <w:szCs w:val="22"/>
        </w:rPr>
        <w:t>Gestion des carrières ;</w:t>
      </w:r>
    </w:p>
    <w:p>
      <w:pPr>
        <w:pStyle w:val="Normal"/>
        <w:numPr>
          <w:ilvl w:val="0"/>
          <w:numId w:val="6"/>
        </w:numPr>
        <w:jc w:val="both"/>
        <w:rPr>
          <w:rFonts w:ascii="Calibri" w:hAnsi="Calibri" w:cs="Arial"/>
          <w:sz w:val="22"/>
          <w:szCs w:val="22"/>
        </w:rPr>
      </w:pPr>
      <w:r>
        <w:rPr>
          <w:rFonts w:cs="Arial" w:ascii="Calibri" w:hAnsi="Calibri"/>
          <w:sz w:val="22"/>
          <w:szCs w:val="22"/>
        </w:rPr>
        <w:t>Mobilité interne ;</w:t>
      </w:r>
    </w:p>
    <w:p>
      <w:pPr>
        <w:pStyle w:val="Normal"/>
        <w:numPr>
          <w:ilvl w:val="0"/>
          <w:numId w:val="6"/>
        </w:numPr>
        <w:jc w:val="both"/>
        <w:rPr>
          <w:rFonts w:ascii="Calibri" w:hAnsi="Calibri" w:cs="Arial"/>
          <w:sz w:val="22"/>
          <w:szCs w:val="22"/>
        </w:rPr>
      </w:pPr>
      <w:r>
        <w:rPr>
          <w:rFonts w:cs="Arial" w:ascii="Calibri" w:hAnsi="Calibri"/>
          <w:sz w:val="22"/>
          <w:szCs w:val="22"/>
        </w:rPr>
        <w:t>Gestion des emplois et des compétences au sein de l’entreprise.</w:t>
      </w:r>
    </w:p>
    <w:p>
      <w:pPr>
        <w:pStyle w:val="Normal"/>
        <w:jc w:val="both"/>
        <w:rPr>
          <w:rFonts w:ascii="Calibri" w:hAnsi="Calibri" w:cs="Arial"/>
          <w:sz w:val="22"/>
          <w:szCs w:val="22"/>
        </w:rPr>
      </w:pPr>
      <w:r>
        <w:rPr>
          <w:rFonts w:cs="Arial" w:ascii="Calibri" w:hAnsi="Calibri"/>
          <w:sz w:val="22"/>
          <w:szCs w:val="22"/>
        </w:rPr>
      </w:r>
    </w:p>
    <w:p>
      <w:pPr>
        <w:pStyle w:val="Normal"/>
        <w:numPr>
          <w:ilvl w:val="0"/>
          <w:numId w:val="6"/>
        </w:numPr>
        <w:jc w:val="both"/>
        <w:rPr>
          <w:rFonts w:ascii="Calibri" w:hAnsi="Calibri" w:cs="Arial"/>
          <w:b/>
          <w:b/>
          <w:sz w:val="22"/>
          <w:szCs w:val="22"/>
          <w:u w:val="single"/>
        </w:rPr>
      </w:pPr>
      <w:r>
        <w:rPr>
          <w:rFonts w:cs="Arial" w:ascii="Calibri" w:hAnsi="Calibri"/>
          <w:b/>
          <w:sz w:val="22"/>
          <w:szCs w:val="22"/>
          <w:u w:val="single"/>
        </w:rPr>
        <w:t>Renouvellement de l’accord l’égalité professionnelle entre les Femmes et les Hommes</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sz w:val="22"/>
          <w:szCs w:val="22"/>
        </w:rPr>
      </w:pPr>
      <w:r>
        <w:rPr>
          <w:rFonts w:cs="Arial" w:ascii="Calibri" w:hAnsi="Calibri"/>
          <w:sz w:val="22"/>
          <w:szCs w:val="22"/>
        </w:rPr>
        <w:t>L’accord sur l’égalité professionnelle entre les Femmes et les Hommes, signé le 8 janvier 2018, a pris fin au 31 décembre 2021. La Direction convoquera, concomitamment à la négociation sur la Gestion des Emplois et des Parcours Professionnels, les Délégués Syndicaux, afin de voir les modalités de reconduction de cet accord.</w:t>
      </w:r>
    </w:p>
    <w:p>
      <w:pPr>
        <w:pStyle w:val="Normal"/>
        <w:jc w:val="both"/>
        <w:rPr>
          <w:rFonts w:ascii="Calibri" w:hAnsi="Calibri" w:cs="Arial"/>
          <w:sz w:val="22"/>
          <w:szCs w:val="22"/>
        </w:rPr>
      </w:pPr>
      <w:r>
        <w:rPr>
          <w:rFonts w:cs="Arial" w:ascii="Calibri" w:hAnsi="Calibri"/>
          <w:sz w:val="22"/>
          <w:szCs w:val="22"/>
        </w:rPr>
      </w:r>
    </w:p>
    <w:p>
      <w:pPr>
        <w:pStyle w:val="Normal"/>
        <w:jc w:val="both"/>
        <w:rPr>
          <w:rFonts w:ascii="Calibri" w:hAnsi="Calibri" w:cs="Arial"/>
          <w:b/>
          <w:b/>
          <w:i/>
          <w:i/>
          <w:sz w:val="14"/>
          <w:szCs w:val="18"/>
        </w:rPr>
      </w:pPr>
      <w:r>
        <w:rPr>
          <w:rFonts w:cs="Arial" w:ascii="Calibri" w:hAnsi="Calibri"/>
          <w:b/>
          <w:sz w:val="24"/>
          <w:szCs w:val="24"/>
        </w:rPr>
        <w:t xml:space="preserve">ARTICLE 6 – </w:t>
      </w:r>
      <w:r>
        <w:rPr>
          <w:rFonts w:cs="Arial" w:ascii="Calibri" w:hAnsi="Calibri"/>
          <w:b/>
          <w:sz w:val="24"/>
          <w:szCs w:val="24"/>
          <w:u w:val="single"/>
        </w:rPr>
        <w:t>DISPOSITIONS RELATIVES A L’EGALITE ENTRE LES HOMMES ET LES FEMMES</w:t>
      </w:r>
    </w:p>
    <w:p>
      <w:pPr>
        <w:pStyle w:val="Normal"/>
        <w:jc w:val="both"/>
        <w:rPr>
          <w:rFonts w:ascii="Calibri" w:hAnsi="Calibri" w:cs="Arial"/>
          <w:b/>
          <w:b/>
          <w:i/>
          <w:i/>
          <w:sz w:val="22"/>
          <w:szCs w:val="22"/>
          <w:u w:val="single"/>
        </w:rPr>
      </w:pPr>
      <w:r>
        <w:rPr>
          <w:rFonts w:cs="Arial" w:ascii="Calibri" w:hAnsi="Calibri"/>
          <w:b/>
          <w:i/>
          <w:sz w:val="22"/>
          <w:szCs w:val="22"/>
          <w:u w:val="single"/>
        </w:rPr>
      </w:r>
    </w:p>
    <w:p>
      <w:pPr>
        <w:pStyle w:val="Normal"/>
        <w:jc w:val="both"/>
        <w:rPr>
          <w:rFonts w:ascii="Calibri" w:hAnsi="Calibri" w:cs="Arial"/>
          <w:sz w:val="22"/>
          <w:szCs w:val="22"/>
        </w:rPr>
      </w:pPr>
      <w:r>
        <w:rPr>
          <w:rFonts w:cs="Arial" w:ascii="Calibri" w:hAnsi="Calibri"/>
          <w:sz w:val="22"/>
          <w:szCs w:val="22"/>
        </w:rPr>
        <w:t>Aux regard des indicateurs fixés par la législation, et en particulier l’index de l’égalité professionnelle entre les Femmes et les Hommes, il apparait que DASSAULT FALCON SERVICE continue à avoir, cette année encore, une note supérieure à ce que prévoit la législation.</w:t>
      </w:r>
    </w:p>
    <w:p>
      <w:pPr>
        <w:pStyle w:val="Normal"/>
        <w:jc w:val="both"/>
        <w:rPr>
          <w:rFonts w:ascii="Calibri" w:hAnsi="Calibri" w:cs="Arial"/>
          <w:sz w:val="22"/>
          <w:szCs w:val="22"/>
        </w:rPr>
      </w:pPr>
      <w:r>
        <w:rPr>
          <w:rFonts w:cs="Arial" w:ascii="Calibri" w:hAnsi="Calibri"/>
          <w:sz w:val="22"/>
          <w:szCs w:val="22"/>
        </w:rPr>
      </w:r>
    </w:p>
    <w:p>
      <w:pPr>
        <w:pStyle w:val="Normal"/>
        <w:jc w:val="both"/>
        <w:rPr>
          <w:rFonts w:ascii="Calibri" w:hAnsi="Calibri" w:cs="Arial"/>
          <w:sz w:val="22"/>
          <w:szCs w:val="22"/>
        </w:rPr>
      </w:pPr>
      <w:r>
        <w:rPr>
          <w:rFonts w:cs="Arial" w:ascii="Calibri" w:hAnsi="Calibri"/>
          <w:sz w:val="22"/>
          <w:szCs w:val="22"/>
        </w:rPr>
        <w:t>Les signataires réaffirment toutefois l’importance de ce sujet et s’engagent à continuer d’y attacher une attention constante. La direction continuera notamment d’assurer le suivi des objectifs prévus dans l’accord en cours sur le sujet, et d’en faire le point dans le cadre de la commission prévue dans l’accord.</w:t>
      </w:r>
    </w:p>
    <w:p>
      <w:pPr>
        <w:pStyle w:val="Normal"/>
        <w:jc w:val="both"/>
        <w:rPr>
          <w:rFonts w:ascii="Calibri" w:hAnsi="Calibri" w:cs="Arial"/>
          <w:sz w:val="22"/>
          <w:szCs w:val="22"/>
        </w:rPr>
      </w:pPr>
      <w:r>
        <w:rPr>
          <w:rFonts w:cs="Arial" w:ascii="Calibri" w:hAnsi="Calibri"/>
          <w:sz w:val="22"/>
          <w:szCs w:val="22"/>
        </w:rPr>
      </w:r>
    </w:p>
    <w:p>
      <w:pPr>
        <w:pStyle w:val="Normal"/>
        <w:jc w:val="both"/>
        <w:rPr>
          <w:rFonts w:ascii="Calibri" w:hAnsi="Calibri" w:cs="Arial"/>
          <w:b/>
          <w:b/>
          <w:sz w:val="24"/>
          <w:szCs w:val="24"/>
          <w:u w:val="single"/>
        </w:rPr>
      </w:pPr>
      <w:r>
        <w:rPr>
          <w:rFonts w:cs="Arial" w:ascii="Calibri" w:hAnsi="Calibri"/>
          <w:b/>
          <w:sz w:val="24"/>
          <w:szCs w:val="24"/>
        </w:rPr>
        <w:t xml:space="preserve">ARTICLE 7 – </w:t>
      </w:r>
      <w:r>
        <w:rPr>
          <w:rFonts w:cs="Arial" w:ascii="Calibri" w:hAnsi="Calibri"/>
          <w:b/>
          <w:sz w:val="24"/>
          <w:szCs w:val="24"/>
          <w:u w:val="single"/>
        </w:rPr>
        <w:t>JOURNEE DE SOLIDARITE</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sz w:val="22"/>
          <w:szCs w:val="22"/>
        </w:rPr>
      </w:pPr>
      <w:r>
        <w:rPr>
          <w:rFonts w:cs="Arial" w:ascii="Calibri" w:hAnsi="Calibri"/>
          <w:sz w:val="22"/>
          <w:szCs w:val="22"/>
        </w:rPr>
        <w:t>La journée de solidarité se déroulera le lundi 06 juin 2022, conformément à la note qui sera publiée par la DRH.</w:t>
      </w:r>
    </w:p>
    <w:p>
      <w:pPr>
        <w:pStyle w:val="Normal"/>
        <w:jc w:val="both"/>
        <w:rPr>
          <w:rFonts w:ascii="Calibri" w:hAnsi="Calibri" w:cs="Arial"/>
          <w:sz w:val="22"/>
          <w:szCs w:val="22"/>
        </w:rPr>
      </w:pPr>
      <w:r>
        <w:rPr>
          <w:rFonts w:cs="Arial" w:ascii="Calibri" w:hAnsi="Calibri"/>
          <w:sz w:val="22"/>
          <w:szCs w:val="22"/>
        </w:rPr>
      </w:r>
    </w:p>
    <w:p>
      <w:pPr>
        <w:pStyle w:val="Normal"/>
        <w:jc w:val="both"/>
        <w:rPr>
          <w:rFonts w:ascii="Calibri" w:hAnsi="Calibri" w:cs="Arial"/>
          <w:b/>
          <w:b/>
          <w:sz w:val="24"/>
          <w:szCs w:val="24"/>
        </w:rPr>
      </w:pPr>
      <w:r>
        <w:rPr>
          <w:rFonts w:cs="Arial" w:ascii="Calibri" w:hAnsi="Calibri"/>
          <w:b/>
          <w:sz w:val="24"/>
          <w:szCs w:val="24"/>
        </w:rPr>
        <w:t xml:space="preserve">ARTICLE 8 – </w:t>
      </w:r>
      <w:r>
        <w:rPr>
          <w:rFonts w:cs="Arial" w:ascii="Calibri" w:hAnsi="Calibri"/>
          <w:b/>
          <w:sz w:val="24"/>
          <w:szCs w:val="24"/>
          <w:u w:val="single"/>
        </w:rPr>
        <w:t>DEPOT</w:t>
      </w:r>
    </w:p>
    <w:p>
      <w:pPr>
        <w:pStyle w:val="Normal"/>
        <w:jc w:val="both"/>
        <w:rPr>
          <w:rFonts w:ascii="Calibri" w:hAnsi="Calibri" w:cs="Arial"/>
          <w:b/>
          <w:b/>
          <w:sz w:val="22"/>
          <w:szCs w:val="22"/>
        </w:rPr>
      </w:pPr>
      <w:r>
        <w:rPr>
          <w:rFonts w:cs="Arial" w:ascii="Calibri" w:hAnsi="Calibri"/>
          <w:b/>
          <w:sz w:val="22"/>
          <w:szCs w:val="22"/>
        </w:rPr>
      </w:r>
    </w:p>
    <w:p>
      <w:pPr>
        <w:pStyle w:val="Corpsdetexte2"/>
        <w:rPr/>
      </w:pPr>
      <w:r>
        <w:rPr>
          <w:rFonts w:cs="Arial" w:ascii="Calibri" w:hAnsi="Calibri"/>
          <w:szCs w:val="22"/>
        </w:rPr>
        <w:t>Cet accord sera déposé auprès de la DIRECCTE de la Seine Saint Denis et du Secrétariat du Greffe du Conseil de Prud’hommes de Bobigny conformément aux dispositions de l’Article D 2231-2 du Code du Travail.</w:t>
      </w:r>
    </w:p>
    <w:p>
      <w:pPr>
        <w:pStyle w:val="Corpsdetexte2"/>
        <w:rPr>
          <w:rFonts w:ascii="Calibri" w:hAnsi="Calibri" w:cs="Arial"/>
          <w:szCs w:val="22"/>
        </w:rPr>
      </w:pPr>
      <w:r>
        <w:rPr>
          <w:rFonts w:cs="Arial" w:ascii="Calibri" w:hAnsi="Calibri"/>
          <w:szCs w:val="22"/>
        </w:rPr>
      </w:r>
    </w:p>
    <w:p>
      <w:pPr>
        <w:pStyle w:val="Normal"/>
        <w:ind w:firstLine="5103"/>
        <w:jc w:val="both"/>
        <w:rPr>
          <w:rFonts w:ascii="Calibri" w:hAnsi="Calibri" w:cs="Arial"/>
          <w:sz w:val="22"/>
          <w:szCs w:val="22"/>
        </w:rPr>
      </w:pPr>
      <w:r>
        <w:rPr>
          <w:rFonts w:cs="Arial" w:ascii="Calibri" w:hAnsi="Calibri"/>
          <w:sz w:val="22"/>
          <w:szCs w:val="22"/>
        </w:rPr>
      </w:r>
    </w:p>
    <w:p>
      <w:pPr>
        <w:pStyle w:val="Normal"/>
        <w:ind w:firstLine="5103"/>
        <w:jc w:val="both"/>
        <w:rPr>
          <w:rFonts w:ascii="Calibri" w:hAnsi="Calibri" w:cs="Arial"/>
          <w:sz w:val="22"/>
          <w:szCs w:val="22"/>
        </w:rPr>
      </w:pPr>
      <w:r>
        <w:rPr>
          <w:rFonts w:cs="Arial" w:ascii="Calibri" w:hAnsi="Calibri"/>
          <w:sz w:val="22"/>
          <w:szCs w:val="22"/>
        </w:rPr>
        <w:t>Fait au Bourget, le 25 mars 2023</w:t>
      </w:r>
    </w:p>
    <w:p>
      <w:pPr>
        <w:pStyle w:val="Normal"/>
        <w:ind w:firstLine="5103"/>
        <w:jc w:val="both"/>
        <w:rPr>
          <w:rFonts w:ascii="Calibri" w:hAnsi="Calibri" w:cs="Arial"/>
          <w:sz w:val="22"/>
          <w:szCs w:val="22"/>
        </w:rPr>
      </w:pPr>
      <w:r>
        <w:rPr>
          <w:rFonts w:cs="Arial" w:ascii="Calibri" w:hAnsi="Calibri"/>
          <w:sz w:val="22"/>
          <w:szCs w:val="22"/>
        </w:rPr>
      </w:r>
    </w:p>
    <w:p>
      <w:pPr>
        <w:pStyle w:val="Normal"/>
        <w:ind w:firstLine="5103"/>
        <w:jc w:val="both"/>
        <w:rPr>
          <w:rFonts w:ascii="Calibri" w:hAnsi="Calibri" w:cs="Arial"/>
          <w:sz w:val="22"/>
          <w:szCs w:val="22"/>
        </w:rPr>
      </w:pPr>
      <w:r>
        <w:rPr>
          <w:rFonts w:cs="Arial" w:ascii="Calibri" w:hAnsi="Calibri"/>
          <w:sz w:val="22"/>
          <w:szCs w:val="22"/>
        </w:rPr>
      </w:r>
    </w:p>
    <w:p>
      <w:pPr>
        <w:pStyle w:val="Normal"/>
        <w:tabs>
          <w:tab w:val="left" w:pos="5103" w:leader="none"/>
        </w:tabs>
        <w:jc w:val="both"/>
        <w:rPr>
          <w:rFonts w:ascii="Calibri" w:hAnsi="Calibri" w:cs="Arial"/>
          <w:b/>
          <w:b/>
          <w:sz w:val="22"/>
          <w:szCs w:val="22"/>
        </w:rPr>
      </w:pPr>
      <w:r>
        <w:rPr>
          <w:rFonts w:cs="Arial" w:ascii="Calibri" w:hAnsi="Calibri"/>
          <w:b/>
          <w:sz w:val="22"/>
          <w:szCs w:val="22"/>
        </w:rPr>
        <w:t>Pour les Organisations Syndicales,</w:t>
        <w:tab/>
        <w:t>Pour l’Entreprise,</w:t>
      </w:r>
    </w:p>
    <w:p>
      <w:pPr>
        <w:pStyle w:val="Normal"/>
        <w:tabs>
          <w:tab w:val="left" w:pos="5103" w:leader="none"/>
        </w:tabs>
        <w:jc w:val="both"/>
        <w:rPr>
          <w:rFonts w:ascii="Calibri" w:hAnsi="Calibri" w:cs="Arial"/>
          <w:b/>
          <w:b/>
          <w:sz w:val="22"/>
          <w:szCs w:val="22"/>
        </w:rPr>
      </w:pPr>
      <w:r>
        <w:rPr>
          <w:rFonts w:cs="Arial" w:ascii="Calibri" w:hAnsi="Calibri"/>
          <w:b/>
          <w:sz w:val="22"/>
          <w:szCs w:val="22"/>
        </w:rPr>
      </w:r>
    </w:p>
    <w:p>
      <w:pPr>
        <w:pStyle w:val="Normal"/>
        <w:tabs>
          <w:tab w:val="left" w:pos="5103" w:leader="none"/>
        </w:tabs>
        <w:jc w:val="both"/>
        <w:rPr>
          <w:rFonts w:ascii="Calibri" w:hAnsi="Calibri" w:cs="Arial"/>
          <w:b/>
          <w:b/>
          <w:sz w:val="22"/>
          <w:szCs w:val="22"/>
        </w:rPr>
      </w:pPr>
      <w:r>
        <w:rPr>
          <w:rFonts w:cs="Arial" w:ascii="Calibri" w:hAnsi="Calibri"/>
          <w:b/>
          <w:sz w:val="22"/>
          <w:szCs w:val="22"/>
        </w:rPr>
      </w:r>
    </w:p>
    <w:p>
      <w:pPr>
        <w:pStyle w:val="Normal"/>
        <w:tabs>
          <w:tab w:val="left" w:pos="5103" w:leader="none"/>
        </w:tabs>
        <w:jc w:val="both"/>
        <w:rPr>
          <w:rFonts w:ascii="Calibri" w:hAnsi="Calibri" w:cs="Arial"/>
          <w:b/>
          <w:b/>
          <w:sz w:val="22"/>
          <w:szCs w:val="22"/>
        </w:rPr>
      </w:pPr>
      <w:r>
        <w:rPr>
          <w:rFonts w:cs="Arial" w:ascii="Calibri" w:hAnsi="Calibri"/>
          <w:b/>
          <w:sz w:val="22"/>
          <w:szCs w:val="22"/>
        </w:rPr>
        <w:tab/>
        <w:t>Le Gérant,</w:t>
      </w:r>
    </w:p>
    <w:p>
      <w:pPr>
        <w:pStyle w:val="Normal"/>
        <w:spacing w:lineRule="auto" w:line="360"/>
        <w:jc w:val="both"/>
        <w:rPr>
          <w:rFonts w:ascii="Calibri" w:hAnsi="Calibri" w:cs="Arial"/>
          <w:b/>
          <w:b/>
          <w:sz w:val="22"/>
          <w:szCs w:val="22"/>
          <w:u w:val="single"/>
        </w:rPr>
      </w:pPr>
      <w:r>
        <w:rPr>
          <w:rFonts w:cs="Arial" w:ascii="Calibri" w:hAnsi="Calibri"/>
          <w:b/>
          <w:sz w:val="22"/>
          <w:szCs w:val="22"/>
          <w:u w:val="single"/>
        </w:rPr>
        <w:t>C.F.D.T.</w:t>
      </w:r>
    </w:p>
    <w:p>
      <w:pPr>
        <w:pStyle w:val="Normal"/>
        <w:spacing w:lineRule="auto" w:line="360"/>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b/>
          <w:b/>
          <w:sz w:val="22"/>
          <w:szCs w:val="22"/>
        </w:rPr>
      </w:pPr>
      <w:r>
        <w:rPr>
          <w:rFonts w:cs="Arial" w:ascii="Calibri" w:hAnsi="Calibri"/>
          <w:b/>
          <w:sz w:val="22"/>
          <w:szCs w:val="22"/>
        </w:rPr>
      </w:r>
    </w:p>
    <w:p>
      <w:pPr>
        <w:pStyle w:val="Normal"/>
        <w:jc w:val="both"/>
        <w:rPr>
          <w:rFonts w:ascii="Calibri" w:hAnsi="Calibri" w:cs="Arial"/>
          <w:b/>
          <w:b/>
          <w:sz w:val="22"/>
          <w:szCs w:val="22"/>
        </w:rPr>
      </w:pPr>
      <w:r>
        <w:rPr>
          <w:rFonts w:cs="Arial" w:ascii="Calibri" w:hAnsi="Calibri"/>
          <w:b/>
          <w:sz w:val="22"/>
          <w:szCs w:val="22"/>
        </w:rPr>
      </w:r>
    </w:p>
    <w:p>
      <w:pPr>
        <w:pStyle w:val="Normal"/>
        <w:jc w:val="both"/>
        <w:rPr>
          <w:rFonts w:ascii="Calibri" w:hAnsi="Calibri" w:cs="Arial"/>
          <w:b/>
          <w:b/>
          <w:sz w:val="22"/>
          <w:szCs w:val="22"/>
        </w:rPr>
      </w:pPr>
      <w:r>
        <w:rPr>
          <w:rFonts w:cs="Arial" w:ascii="Calibri" w:hAnsi="Calibri"/>
          <w:b/>
          <w:sz w:val="22"/>
          <w:szCs w:val="22"/>
        </w:rPr>
      </w:r>
    </w:p>
    <w:sectPr>
      <w:headerReference w:type="default" r:id="rId2"/>
      <w:footerReference w:type="default" r:id="rId3"/>
      <w:type w:val="nextPage"/>
      <w:pgSz w:w="11906" w:h="16838"/>
      <w:pgMar w:left="1418" w:right="1418" w:header="720" w:top="1418"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alibri" w:hAnsi="Calibri" w:cs="Calibri"/>
      </w:rPr>
    </w:pPr>
    <w:r>
      <w:rPr>
        <w:rFonts w:cs="Calibri" w:ascii="Calibri" w:hAnsi="Calibri"/>
      </w:rPr>
      <w:t xml:space="preserve">Page </w:t>
    </w:r>
    <w:r>
      <w:rPr>
        <w:rFonts w:cs="Calibri" w:ascii="Calibri" w:hAnsi="Calibri"/>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70" w:right="-70" w:hanging="0"/>
      <w:rPr>
        <w:sz w:val="4"/>
        <w:szCs w:val="4"/>
        <w:lang w:val="en-GB" w:eastAsia="en-GB"/>
      </w:rPr>
    </w:pPr>
    <w:r>
      <w:rPr>
        <w:sz w:val="4"/>
        <w:szCs w:val="4"/>
        <w:lang w:val="en-GB" w:eastAsia="en-GB"/>
      </w:rPr>
      <w:drawing>
        <wp:inline distT="0" distB="0" distL="0" distR="0">
          <wp:extent cx="1280795" cy="5816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7" t="-17" r="-7" b="-17"/>
                  <a:stretch>
                    <a:fillRect/>
                  </a:stretch>
                </pic:blipFill>
                <pic:spPr bwMode="auto">
                  <a:xfrm>
                    <a:off x="0" y="0"/>
                    <a:ext cx="1280795" cy="581660"/>
                  </a:xfrm>
                  <a:prstGeom prst="rect">
                    <a:avLst/>
                  </a:prstGeom>
                </pic:spPr>
              </pic:pic>
            </a:graphicData>
          </a:graphic>
        </wp:inline>
      </w:drawing>
    </w:r>
  </w:p>
  <w:p>
    <w:pPr>
      <w:pStyle w:val="Normal"/>
      <w:jc w:val="right"/>
      <w:rPr/>
    </w:pPr>
    <w:r>
      <w:rPr>
        <w:rFonts w:cs="Arial" w:ascii="Calibri" w:hAnsi="Calibri"/>
        <w:b/>
        <w:i/>
        <w:sz w:val="14"/>
        <w:szCs w:val="18"/>
      </w:rPr>
      <w:t>NAO 2022 – Accord pour signature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Liberation Serif" w:hAnsi="Liberation Serif" w:cs="Liberation Serif" w:hint="default"/>
        <w:sz w:val="22"/>
        <w:rFonts w:cs="Calibri"/>
      </w:rPr>
    </w:lvl>
  </w:abstractNum>
  <w:abstractNum w:abstractNumId="3">
    <w:lvl w:ilvl="0">
      <w:start w:val="7"/>
      <w:numFmt w:val="bullet"/>
      <w:lvlText w:val=""/>
      <w:lvlJc w:val="left"/>
      <w:pPr>
        <w:ind w:left="720" w:hanging="360"/>
      </w:pPr>
      <w:rPr>
        <w:rFonts w:ascii="Symbol" w:hAnsi="Symbol" w:cs="Symbol" w:hint="default"/>
        <w:sz w:val="22"/>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2"/>
      <w:numFmt w:val="bullet"/>
      <w:lvlText w:val=""/>
      <w:lvlJc w:val="left"/>
      <w:pPr>
        <w:ind w:left="1776" w:hanging="360"/>
      </w:pPr>
      <w:rPr>
        <w:rFonts w:ascii="Wingdings" w:hAnsi="Wingdings" w:cs="Wingdings" w:hint="default"/>
        <w:sz w:val="22"/>
        <w:i w:val="false"/>
        <w:rFonts w:cs="Arial"/>
      </w:rPr>
    </w:lvl>
  </w:abstractNum>
  <w:abstractNum w:abstractNumId="5">
    <w:lvl w:ilvl="0">
      <w:numFmt w:val="bullet"/>
      <w:lvlText w:val=""/>
      <w:lvlJc w:val="left"/>
      <w:pPr>
        <w:ind w:left="1776" w:hanging="360"/>
      </w:pPr>
      <w:rPr>
        <w:rFonts w:ascii="Symbol" w:hAnsi="Symbol" w:cs="Symbol" w:hint="default"/>
        <w:sz w:val="22"/>
        <w:rFonts w:cs="Arial"/>
      </w:rPr>
    </w:lvl>
    <w:lvl w:ilvl="1">
      <w:start w:val="1"/>
      <w:numFmt w:val="bullet"/>
      <w:lvlText w:val="o"/>
      <w:lvlJc w:val="left"/>
      <w:pPr>
        <w:ind w:left="2496" w:hanging="360"/>
      </w:pPr>
      <w:rPr>
        <w:rFonts w:ascii="Courier New" w:hAnsi="Courier New" w:cs="Courier New" w:hint="default"/>
        <w:sz w:val="22"/>
        <w:szCs w:val="22"/>
        <w:rFonts w:cs="Courier New"/>
      </w:rPr>
    </w:lvl>
    <w:lvl w:ilvl="2">
      <w:start w:val="1"/>
      <w:numFmt w:val="bullet"/>
      <w:lvlText w:val=""/>
      <w:lvlJc w:val="left"/>
      <w:pPr>
        <w:ind w:left="3216" w:hanging="360"/>
      </w:pPr>
      <w:rPr>
        <w:rFonts w:ascii="Wingdings" w:hAnsi="Wingdings" w:cs="Wingdings" w:hint="default"/>
        <w:sz w:val="22"/>
        <w:szCs w:val="22"/>
        <w:rFonts w:cs="Wingdings"/>
      </w:rPr>
    </w:lvl>
    <w:lvl w:ilvl="3">
      <w:start w:val="1"/>
      <w:numFmt w:val="bullet"/>
      <w:lvlText w:val=""/>
      <w:lvlJc w:val="left"/>
      <w:pPr>
        <w:ind w:left="3936" w:hanging="360"/>
      </w:pPr>
      <w:rPr>
        <w:rFonts w:ascii="Symbol" w:hAnsi="Symbol" w:cs="Symbol" w:hint="default"/>
        <w:rFonts w:cs="Symbol"/>
      </w:rPr>
    </w:lvl>
    <w:lvl w:ilvl="4">
      <w:start w:val="1"/>
      <w:numFmt w:val="bullet"/>
      <w:lvlText w:val="o"/>
      <w:lvlJc w:val="left"/>
      <w:pPr>
        <w:ind w:left="4656" w:hanging="360"/>
      </w:pPr>
      <w:rPr>
        <w:rFonts w:ascii="Courier New" w:hAnsi="Courier New" w:cs="Courier New" w:hint="default"/>
        <w:sz w:val="22"/>
        <w:szCs w:val="22"/>
        <w:rFonts w:cs="Courier New"/>
      </w:rPr>
    </w:lvl>
    <w:lvl w:ilvl="5">
      <w:start w:val="1"/>
      <w:numFmt w:val="bullet"/>
      <w:lvlText w:val=""/>
      <w:lvlJc w:val="left"/>
      <w:pPr>
        <w:ind w:left="5376" w:hanging="360"/>
      </w:pPr>
      <w:rPr>
        <w:rFonts w:ascii="Wingdings" w:hAnsi="Wingdings" w:cs="Wingdings" w:hint="default"/>
        <w:sz w:val="22"/>
        <w:szCs w:val="22"/>
        <w:rFonts w:cs="Wingdings"/>
      </w:rPr>
    </w:lvl>
    <w:lvl w:ilvl="6">
      <w:start w:val="1"/>
      <w:numFmt w:val="bullet"/>
      <w:lvlText w:val=""/>
      <w:lvlJc w:val="left"/>
      <w:pPr>
        <w:ind w:left="6096" w:hanging="360"/>
      </w:pPr>
      <w:rPr>
        <w:rFonts w:ascii="Symbol" w:hAnsi="Symbol" w:cs="Symbol" w:hint="default"/>
        <w:rFonts w:cs="Symbol"/>
      </w:rPr>
    </w:lvl>
    <w:lvl w:ilvl="7">
      <w:start w:val="1"/>
      <w:numFmt w:val="bullet"/>
      <w:lvlText w:val="o"/>
      <w:lvlJc w:val="left"/>
      <w:pPr>
        <w:ind w:left="6816" w:hanging="360"/>
      </w:pPr>
      <w:rPr>
        <w:rFonts w:ascii="Courier New" w:hAnsi="Courier New" w:cs="Courier New" w:hint="default"/>
        <w:sz w:val="22"/>
        <w:szCs w:val="22"/>
        <w:rFonts w:cs="Courier New"/>
      </w:rPr>
    </w:lvl>
    <w:lvl w:ilvl="8">
      <w:start w:val="1"/>
      <w:numFmt w:val="bullet"/>
      <w:lvlText w:val=""/>
      <w:lvlJc w:val="left"/>
      <w:pPr>
        <w:ind w:left="7536" w:hanging="360"/>
      </w:pPr>
      <w:rPr>
        <w:rFonts w:ascii="Wingdings" w:hAnsi="Wingdings" w:cs="Wingdings" w:hint="default"/>
        <w:sz w:val="22"/>
        <w:szCs w:val="22"/>
        <w:rFonts w:cs="Wingdings"/>
      </w:rPr>
    </w:lvl>
  </w:abstractNum>
  <w:abstractNum w:abstractNumId="6">
    <w:lvl w:ilvl="0">
      <w:start w:val="2"/>
      <w:numFmt w:val="bullet"/>
      <w:lvlText w:val=""/>
      <w:lvlJc w:val="left"/>
      <w:pPr>
        <w:ind w:left="720" w:hanging="360"/>
      </w:pPr>
      <w:rPr>
        <w:rFonts w:ascii="Symbol" w:hAnsi="Symbol" w:cs="Symbol" w:hint="default"/>
        <w:sz w:val="22"/>
        <w:szCs w:val="22"/>
        <w:rFonts w:cs="Arial"/>
      </w:rPr>
    </w:lvl>
  </w:abstractNum>
  <w:abstractNum w:abstractNumId="7">
    <w:lvl w:ilvl="0">
      <w:start w:val="2"/>
      <w:numFmt w:val="bullet"/>
      <w:lvlText w:val=""/>
      <w:lvlJc w:val="left"/>
      <w:pPr>
        <w:ind w:left="2136" w:hanging="360"/>
      </w:pPr>
      <w:rPr>
        <w:rFonts w:ascii="Wingdings" w:hAnsi="Wingdings" w:cs="Wingdings" w:hint="default"/>
        <w:rFonts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jc w:val="center"/>
      <w:outlineLvl w:val="0"/>
    </w:pPr>
    <w:rPr>
      <w:b/>
      <w:sz w:val="24"/>
      <w:u w:val="single"/>
    </w:rPr>
  </w:style>
  <w:style w:type="paragraph" w:styleId="Heading2">
    <w:name w:val="Heading 2"/>
    <w:basedOn w:val="Normal"/>
    <w:next w:val="Normal"/>
    <w:qFormat/>
    <w:pPr>
      <w:keepNext w:val="true"/>
      <w:numPr>
        <w:ilvl w:val="1"/>
        <w:numId w:val="1"/>
      </w:numPr>
      <w:ind w:firstLine="2977"/>
      <w:outlineLvl w:val="1"/>
    </w:pPr>
    <w:rPr>
      <w:sz w:val="24"/>
    </w:rPr>
  </w:style>
  <w:style w:type="paragraph" w:styleId="Heading3">
    <w:name w:val="Heading 3"/>
    <w:basedOn w:val="Normal"/>
    <w:next w:val="Normal"/>
    <w:qFormat/>
    <w:pPr>
      <w:keepNext w:val="true"/>
      <w:numPr>
        <w:ilvl w:val="2"/>
        <w:numId w:val="1"/>
      </w:numPr>
      <w:jc w:val="center"/>
      <w:outlineLvl w:val="2"/>
    </w:pPr>
    <w:rPr>
      <w:b/>
      <w:sz w:val="22"/>
      <w:u w:val="single"/>
    </w:rPr>
  </w:style>
  <w:style w:type="paragraph" w:styleId="Heading4">
    <w:name w:val="Heading 4"/>
    <w:basedOn w:val="Normal"/>
    <w:next w:val="Normal"/>
    <w:qFormat/>
    <w:pPr>
      <w:keepNext w:val="true"/>
      <w:numPr>
        <w:ilvl w:val="3"/>
        <w:numId w:val="1"/>
      </w:numPr>
      <w:outlineLvl w:val="3"/>
    </w:pPr>
    <w:rPr>
      <w:b/>
      <w:sz w:val="22"/>
      <w:u w:val="single"/>
    </w:rPr>
  </w:style>
  <w:style w:type="paragraph" w:styleId="Heading5">
    <w:name w:val="Heading 5"/>
    <w:basedOn w:val="Normal"/>
    <w:next w:val="Normal"/>
    <w:qFormat/>
    <w:pPr>
      <w:keepNext w:val="true"/>
      <w:numPr>
        <w:ilvl w:val="4"/>
        <w:numId w:val="1"/>
      </w:numPr>
      <w:outlineLvl w:val="4"/>
    </w:pPr>
    <w:rPr>
      <w:b/>
      <w:sz w:val="16"/>
    </w:rPr>
  </w:style>
  <w:style w:type="paragraph" w:styleId="Heading6">
    <w:name w:val="Heading 6"/>
    <w:basedOn w:val="Normal"/>
    <w:next w:val="Normal"/>
    <w:qFormat/>
    <w:pPr>
      <w:numPr>
        <w:ilvl w:val="5"/>
        <w:numId w:val="1"/>
      </w:numPr>
      <w:spacing w:before="240" w:after="60"/>
      <w:outlineLvl w:val="5"/>
    </w:pPr>
    <w:rPr>
      <w:b/>
      <w:bCs/>
      <w:sz w:val="22"/>
      <w:szCs w:val="22"/>
    </w:rPr>
  </w:style>
  <w:style w:type="character" w:styleId="WW8Num1z0">
    <w:name w:val="WW8Num1z0"/>
    <w:qFormat/>
    <w:rPr>
      <w:rFonts w:ascii="Wingdings" w:hAnsi="Wingdings" w:cs="Wingdings"/>
    </w:rPr>
  </w:style>
  <w:style w:type="character" w:styleId="WW8Num2z0">
    <w:name w:val="WW8Num2z0"/>
    <w:qFormat/>
    <w:rPr>
      <w:rFonts w:ascii="Wingdings" w:hAnsi="Wingdings"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Calibri" w:hAnsi="Calibri" w:cs="Calibri"/>
      <w:sz w:val="22"/>
    </w:rPr>
  </w:style>
  <w:style w:type="character" w:styleId="WW8Num5z0">
    <w:name w:val="WW8Num5z0"/>
    <w:qFormat/>
    <w:rPr>
      <w:rFonts w:ascii="Symbol" w:hAnsi="Symbol" w:cs="Symbol"/>
    </w:rPr>
  </w:style>
  <w:style w:type="character" w:styleId="WW8Num6z0">
    <w:name w:val="WW8Num6z0"/>
    <w:qFormat/>
    <w:rPr>
      <w:rFonts w:ascii="Wingdings" w:hAnsi="Wingdings" w:eastAsia="Times New Roman"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9z0">
    <w:name w:val="WW8Num9z0"/>
    <w:qFormat/>
    <w:rPr>
      <w:rFonts w:ascii="Symbol" w:hAnsi="Symbol" w:eastAsia="Times New Roman" w:cs="Arial"/>
      <w:sz w:val="22"/>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b/>
      <w:bCs/>
      <w:sz w:val="24"/>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eastAsia="Times New Roman" w:cs="Arial"/>
      <w:b w:val="false"/>
      <w:sz w:val="22"/>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b/>
      <w:i w:val="false"/>
      <w:color w:val="auto"/>
    </w:rPr>
  </w:style>
  <w:style w:type="character" w:styleId="WW8Num15z0">
    <w:name w:val="WW8Num15z0"/>
    <w:qFormat/>
    <w:rPr>
      <w:rFonts w:ascii="Symbol" w:hAnsi="Symbol" w:cs="Symbol"/>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Calibri" w:hAnsi="Calibri" w:eastAsia="Calibri" w:cs="Calibri"/>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eastAsia="Times New Roman"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20z0">
    <w:name w:val="WW8Num20z0"/>
    <w:qFormat/>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eastAsia="Times New Roman" w:cs="Arial"/>
      <w:i w:val="false"/>
      <w:sz w:val="22"/>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Wingdings" w:hAnsi="Wingdings"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eastAsia="Times New Roman" w:cs="Arial"/>
      <w:sz w:val="22"/>
    </w:rPr>
  </w:style>
  <w:style w:type="character" w:styleId="WW8Num32z1">
    <w:name w:val="WW8Num32z1"/>
    <w:qFormat/>
    <w:rPr>
      <w:rFonts w:ascii="Courier New" w:hAnsi="Courier New" w:cs="Courier New"/>
      <w:sz w:val="22"/>
      <w:szCs w:val="22"/>
    </w:rPr>
  </w:style>
  <w:style w:type="character" w:styleId="WW8Num32z2">
    <w:name w:val="WW8Num32z2"/>
    <w:qFormat/>
    <w:rPr>
      <w:rFonts w:ascii="Wingdings" w:hAnsi="Wingdings" w:cs="Wingdings"/>
      <w:sz w:val="22"/>
      <w:szCs w:val="22"/>
    </w:rPr>
  </w:style>
  <w:style w:type="character" w:styleId="WW8Num32z3">
    <w:name w:val="WW8Num32z3"/>
    <w:qFormat/>
    <w:rPr>
      <w:rFonts w:ascii="Symbol" w:hAnsi="Symbol" w:cs="Symbol"/>
    </w:rPr>
  </w:style>
  <w:style w:type="character" w:styleId="WW8Num33z0">
    <w:name w:val="WW8Num33z0"/>
    <w:qFormat/>
    <w:rPr/>
  </w:style>
  <w:style w:type="character" w:styleId="WW8Num34z0">
    <w:name w:val="WW8Num34z0"/>
    <w:qFormat/>
    <w:rPr>
      <w:rFonts w:ascii="Symbol" w:hAnsi="Symbol" w:cs="Symbol"/>
    </w:rPr>
  </w:style>
  <w:style w:type="character" w:styleId="WW8Num35z0">
    <w:name w:val="WW8Num35z0"/>
    <w:qFormat/>
    <w:rPr>
      <w:b/>
      <w:bCs/>
      <w:sz w:val="24"/>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Symbol" w:hAnsi="Symbol" w:eastAsia="Times New Roman" w:cs="Arial"/>
      <w:sz w:val="22"/>
      <w:szCs w:val="22"/>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Symbol" w:hAnsi="Symbol" w:cs="Symbol"/>
    </w:rPr>
  </w:style>
  <w:style w:type="character" w:styleId="WW8Num38z0">
    <w:name w:val="WW8Num38z0"/>
    <w:qFormat/>
    <w:rPr>
      <w:rFonts w:ascii="Symbol" w:hAnsi="Symbol" w:cs="Symbol"/>
    </w:rPr>
  </w:style>
  <w:style w:type="character" w:styleId="WW8Num39z0">
    <w:name w:val="WW8Num39z0"/>
    <w:qFormat/>
    <w:rPr>
      <w:rFonts w:ascii="Wingdings" w:hAnsi="Wingdings" w:cs="Wingdings"/>
    </w:rPr>
  </w:style>
  <w:style w:type="character" w:styleId="WW8Num40z0">
    <w:name w:val="WW8Num40z0"/>
    <w:qFormat/>
    <w:rPr>
      <w:rFonts w:ascii="Symbol" w:hAnsi="Symbol" w:eastAsia="Times New Roman" w:cs="Aria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Wingdings" w:hAnsi="Wingdings" w:eastAsia="Times New Roman" w:cs="Aria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Symbol" w:hAnsi="Symbol" w:cs="Symbol"/>
    </w:rPr>
  </w:style>
  <w:style w:type="character" w:styleId="WW8Num43z0">
    <w:name w:val="WW8Num43z0"/>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EntteCar">
    <w:name w:val="En-tête Car"/>
    <w:qFormat/>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character" w:styleId="PieddepageCar">
    <w:name w:val="Pied de page Car"/>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z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ind w:left="567" w:hanging="207"/>
    </w:pPr>
    <w:rPr>
      <w:sz w:val="22"/>
    </w:rPr>
  </w:style>
  <w:style w:type="paragraph" w:styleId="Corpsdetexte2">
    <w:name w:val="Corps de texte 2"/>
    <w:basedOn w:val="Normal"/>
    <w:qFormat/>
    <w:pPr>
      <w:jc w:val="both"/>
    </w:pPr>
    <w:rPr>
      <w:sz w:val="22"/>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Retraitcorpsdetexte2">
    <w:name w:val="Retrait corps de texte 2"/>
    <w:basedOn w:val="Normal"/>
    <w:qFormat/>
    <w:pPr>
      <w:ind w:left="567" w:hanging="207"/>
      <w:jc w:val="both"/>
    </w:pPr>
    <w:rPr>
      <w:sz w:val="22"/>
    </w:rPr>
  </w:style>
  <w:style w:type="paragraph" w:styleId="Corpsdetexte3">
    <w:name w:val="Corps de texte 3"/>
    <w:basedOn w:val="Normal"/>
    <w:qFormat/>
    <w:pPr>
      <w:jc w:val="both"/>
    </w:pPr>
    <w:rPr>
      <w:sz w:val="24"/>
    </w:rPr>
  </w:style>
  <w:style w:type="paragraph" w:styleId="Retraitcorpsdetexte3">
    <w:name w:val="Retrait corps de texte 3"/>
    <w:basedOn w:val="Normal"/>
    <w:qFormat/>
    <w:pPr>
      <w:ind w:left="360" w:hanging="0"/>
      <w:jc w:val="both"/>
    </w:pPr>
    <w:rPr>
      <w:sz w:val="22"/>
    </w:rPr>
  </w:style>
  <w:style w:type="paragraph" w:styleId="Textedebulles">
    <w:name w:val="Texte de bulles"/>
    <w:basedOn w:val="Normal"/>
    <w:qFormat/>
    <w:pPr/>
    <w:rPr>
      <w:rFonts w:ascii="Tahoma" w:hAnsi="Tahoma" w:cs="Tahoma"/>
      <w:sz w:val="16"/>
      <w:szCs w:val="16"/>
    </w:rPr>
  </w:style>
  <w:style w:type="paragraph" w:styleId="Explorateurdedocuments">
    <w:name w:val="Explorateur de documents"/>
    <w:basedOn w:val="Normal"/>
    <w:qFormat/>
    <w:pPr>
      <w:shd w:fill="000080" w:val="clear"/>
    </w:pPr>
    <w:rPr>
      <w:rFonts w:ascii="Tahoma" w:hAnsi="Tahoma" w:cs="Tahoma"/>
    </w:rPr>
  </w:style>
  <w:style w:type="paragraph" w:styleId="Paragraphedeliste">
    <w:name w:val="Paragraphe de liste"/>
    <w:basedOn w:val="Normal"/>
    <w:qFormat/>
    <w:pPr>
      <w:ind w:left="720" w:hanging="0"/>
    </w:pPr>
    <w:rPr>
      <w:rFonts w:ascii="Calibri" w:hAnsi="Calibri" w:eastAsia="Calibri" w:cs="Calibri"/>
      <w:sz w:val="22"/>
      <w:szCs w:val="22"/>
    </w:rPr>
  </w:style>
  <w:style w:type="paragraph" w:styleId="Commentaire">
    <w:name w:val="Commentaire"/>
    <w:basedOn w:val="Normal"/>
    <w:qFormat/>
    <w:pPr/>
    <w:rPr/>
  </w:style>
  <w:style w:type="paragraph" w:styleId="Objetducommentaire">
    <w:name w:val="Objet du commentaire"/>
    <w:basedOn w:val="Commentaire"/>
    <w:next w:val="Commentaire"/>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2022-05-11T15:09:00Z</dcterms:created>
  <dc:creator/>
  <dc:description/>
  <dc:language>en-GB</dc:language>
  <cp:lastModifiedBy/>
  <cp:lastPrinted>2022-03-24T18:13:00Z</cp:lastPrinted>
  <dcterms:modified xsi:type="dcterms:W3CDTF">2022-05-11T15:09:00Z</dcterms:modified>
  <cp:revision>2</cp:revision>
  <dc:subject/>
  <dc:title/>
</cp:coreProperties>
</file>