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0000001" w14:textId="0CA9B8AD" w:rsidP="4BA978DA" w:rsidR="007349CE" w:rsidRDefault="001B3F39">
      <w:pPr>
        <w:widowControl w:val="0"/>
        <w:pBdr>
          <w:top w:val="nil"/>
          <w:left w:val="nil"/>
          <w:bottom w:val="nil"/>
          <w:right w:val="nil"/>
          <w:between w:val="nil"/>
        </w:pBdr>
        <w:spacing w:line="240" w:lineRule="auto"/>
        <w:ind w:right="38"/>
        <w:jc w:val="center"/>
        <w:rPr>
          <w:rFonts w:ascii="Calibri" w:cs="Calibri" w:eastAsia="Calibri" w:hAnsi="Calibri"/>
          <w:b/>
          <w:bCs/>
          <w:color w:val="351C75"/>
          <w:sz w:val="30"/>
          <w:szCs w:val="30"/>
        </w:rPr>
      </w:pPr>
      <w:r w:rsidRPr="4BA978DA">
        <w:rPr>
          <w:rFonts w:ascii="Calibri" w:cs="Calibri" w:eastAsia="Calibri" w:hAnsi="Calibri"/>
          <w:b/>
          <w:bCs/>
          <w:color w:val="351C75"/>
          <w:sz w:val="30"/>
          <w:szCs w:val="30"/>
        </w:rPr>
        <w:t>NÉGOCIATION ANNUELLE OBLIGATOIRE 2022</w:t>
      </w:r>
    </w:p>
    <w:p w14:paraId="00000002" w14:textId="77D32639" w:rsidR="007349CE" w:rsidRDefault="001B3F39">
      <w:pPr>
        <w:widowControl w:val="0"/>
        <w:pBdr>
          <w:top w:val="nil"/>
          <w:left w:val="nil"/>
          <w:bottom w:val="nil"/>
          <w:right w:val="nil"/>
          <w:between w:val="nil"/>
        </w:pBdr>
        <w:spacing w:line="240" w:lineRule="auto"/>
        <w:ind w:right="38"/>
        <w:jc w:val="center"/>
        <w:rPr>
          <w:rFonts w:ascii="Calibri" w:cs="Calibri" w:eastAsia="Calibri" w:hAnsi="Calibri"/>
          <w:color w:val="351C75"/>
          <w:sz w:val="30"/>
          <w:szCs w:val="30"/>
        </w:rPr>
      </w:pPr>
      <w:r w:rsidRPr="4BA978DA">
        <w:rPr>
          <w:rFonts w:ascii="Calibri" w:cs="Calibri" w:eastAsia="Calibri" w:hAnsi="Calibri"/>
          <w:color w:val="351C75"/>
          <w:sz w:val="30"/>
          <w:szCs w:val="30"/>
        </w:rPr>
        <w:t>AC NIELSEN et NIELSENIQ France Services</w:t>
      </w:r>
    </w:p>
    <w:p w14:paraId="00000003" w14:textId="77777777" w:rsidR="007349CE" w:rsidRDefault="001B3F39">
      <w:pPr>
        <w:widowControl w:val="0"/>
        <w:pBdr>
          <w:top w:val="nil"/>
          <w:left w:val="nil"/>
          <w:bottom w:val="nil"/>
          <w:right w:val="nil"/>
          <w:between w:val="nil"/>
        </w:pBdr>
        <w:spacing w:line="240" w:lineRule="auto"/>
        <w:ind w:right="38"/>
        <w:jc w:val="center"/>
        <w:rPr>
          <w:rFonts w:ascii="Calibri" w:cs="Calibri" w:eastAsia="Calibri" w:hAnsi="Calibri"/>
          <w:b/>
          <w:color w:val="351C75"/>
          <w:sz w:val="30"/>
          <w:szCs w:val="30"/>
        </w:rPr>
      </w:pPr>
      <w:r>
        <w:rPr>
          <w:rFonts w:ascii="Calibri" w:cs="Calibri" w:eastAsia="Calibri" w:hAnsi="Calibri"/>
          <w:b/>
          <w:color w:val="351C75"/>
          <w:sz w:val="30"/>
          <w:szCs w:val="30"/>
        </w:rPr>
        <w:t xml:space="preserve">PROTOCOLE D'ACCORD </w:t>
      </w:r>
    </w:p>
    <w:p w14:paraId="00000004" w14:textId="77777777" w:rsidR="007349CE" w:rsidRDefault="007349CE">
      <w:pPr>
        <w:widowControl w:val="0"/>
        <w:pBdr>
          <w:top w:val="nil"/>
          <w:left w:val="nil"/>
          <w:bottom w:val="nil"/>
          <w:right w:val="nil"/>
          <w:between w:val="nil"/>
        </w:pBdr>
        <w:spacing w:line="240" w:lineRule="auto"/>
        <w:ind w:right="38"/>
        <w:jc w:val="center"/>
        <w:rPr>
          <w:rFonts w:ascii="Calibri" w:cs="Calibri" w:eastAsia="Calibri" w:hAnsi="Calibri"/>
          <w:b/>
          <w:color w:val="351C75"/>
          <w:sz w:val="30"/>
          <w:szCs w:val="30"/>
        </w:rPr>
      </w:pPr>
    </w:p>
    <w:p w14:paraId="00000005" w14:textId="77777777" w:rsidR="007349CE" w:rsidRDefault="007349CE">
      <w:pPr>
        <w:widowControl w:val="0"/>
        <w:pBdr>
          <w:top w:val="nil"/>
          <w:left w:val="nil"/>
          <w:bottom w:val="nil"/>
          <w:right w:val="nil"/>
          <w:between w:val="nil"/>
        </w:pBdr>
        <w:spacing w:line="240" w:lineRule="auto"/>
        <w:ind w:right="38"/>
        <w:rPr>
          <w:rFonts w:ascii="Calibri" w:cs="Calibri" w:eastAsia="Calibri" w:hAnsi="Calibri"/>
          <w:b/>
          <w:color w:val="351C75"/>
          <w:sz w:val="24"/>
          <w:szCs w:val="24"/>
        </w:rPr>
      </w:pPr>
    </w:p>
    <w:p w14:paraId="00000006" w14:textId="77777777" w:rsidR="007349CE" w:rsidRDefault="001B3F39">
      <w:pPr>
        <w:widowControl w:val="0"/>
        <w:pBdr>
          <w:top w:val="nil"/>
          <w:left w:val="nil"/>
          <w:bottom w:val="nil"/>
          <w:right w:val="nil"/>
          <w:between w:val="nil"/>
        </w:pBdr>
        <w:spacing w:line="240" w:lineRule="auto"/>
        <w:ind w:right="38"/>
        <w:rPr>
          <w:rFonts w:ascii="Calibri" w:cs="Calibri" w:eastAsia="Calibri" w:hAnsi="Calibri"/>
          <w:b/>
          <w:color w:val="351C75"/>
          <w:sz w:val="24"/>
          <w:szCs w:val="24"/>
        </w:rPr>
      </w:pPr>
      <w:r>
        <w:rPr>
          <w:rFonts w:ascii="Calibri" w:cs="Calibri" w:eastAsia="Calibri" w:hAnsi="Calibri"/>
          <w:b/>
          <w:color w:val="351C75"/>
          <w:sz w:val="24"/>
          <w:szCs w:val="24"/>
        </w:rPr>
        <w:t xml:space="preserve">ENTRE </w:t>
      </w:r>
    </w:p>
    <w:p w14:paraId="00000007" w14:textId="3F884F16" w:rsidR="007349CE" w:rsidRDefault="001B3F39">
      <w:pPr>
        <w:widowControl w:val="0"/>
        <w:pBdr>
          <w:top w:val="nil"/>
          <w:left w:val="nil"/>
          <w:bottom w:val="nil"/>
          <w:right w:val="nil"/>
          <w:between w:val="nil"/>
        </w:pBdr>
        <w:spacing w:before="412"/>
        <w:ind w:right="38"/>
        <w:rPr>
          <w:rFonts w:ascii="Calibri" w:cs="Calibri" w:eastAsia="Calibri" w:hAnsi="Calibri"/>
          <w:color w:val="351C75"/>
          <w:sz w:val="24"/>
          <w:szCs w:val="24"/>
        </w:rPr>
      </w:pPr>
      <w:r w:rsidRPr="083E665C">
        <w:rPr>
          <w:rFonts w:ascii="Calibri" w:cs="Calibri" w:eastAsia="Calibri" w:hAnsi="Calibri"/>
          <w:color w:val="351C75"/>
          <w:sz w:val="24"/>
          <w:szCs w:val="24"/>
        </w:rPr>
        <w:t>L’UES NIELSEN</w:t>
      </w:r>
      <w:r w:rsidR="77BF0423" w:rsidRPr="083E665C">
        <w:rPr>
          <w:rFonts w:ascii="Calibri" w:cs="Calibri" w:eastAsia="Calibri" w:hAnsi="Calibri"/>
          <w:color w:val="351C75"/>
          <w:sz w:val="24"/>
          <w:szCs w:val="24"/>
        </w:rPr>
        <w:t>IQ</w:t>
      </w:r>
      <w:r w:rsidRPr="083E665C">
        <w:rPr>
          <w:rFonts w:ascii="Calibri" w:cs="Calibri" w:eastAsia="Calibri" w:hAnsi="Calibri"/>
          <w:color w:val="351C75"/>
          <w:sz w:val="24"/>
          <w:szCs w:val="24"/>
        </w:rPr>
        <w:t>, 1 rue Julius et Ethel Rosenberg 95870 BEZONS, représentée par, HRBP Responsable des relations sociales d'une part</w:t>
      </w:r>
      <w:r w:rsidR="15185FA4" w:rsidRPr="083E665C">
        <w:rPr>
          <w:rFonts w:ascii="Calibri" w:cs="Calibri" w:eastAsia="Calibri" w:hAnsi="Calibri"/>
          <w:color w:val="351C75"/>
          <w:sz w:val="24"/>
          <w:szCs w:val="24"/>
        </w:rPr>
        <w:t>,</w:t>
      </w:r>
    </w:p>
    <w:p w14:paraId="00000008" w14:textId="77777777" w:rsidR="007349CE" w:rsidRDefault="001B3F39">
      <w:pPr>
        <w:widowControl w:val="0"/>
        <w:pBdr>
          <w:top w:val="nil"/>
          <w:left w:val="nil"/>
          <w:bottom w:val="nil"/>
          <w:right w:val="nil"/>
          <w:between w:val="nil"/>
        </w:pBdr>
        <w:ind w:right="38"/>
        <w:jc w:val="right"/>
        <w:rPr>
          <w:rFonts w:ascii="Calibri" w:cs="Calibri" w:eastAsia="Calibri" w:hAnsi="Calibri"/>
          <w:color w:val="351C75"/>
          <w:sz w:val="24"/>
          <w:szCs w:val="24"/>
        </w:rPr>
      </w:pPr>
      <w:r>
        <w:rPr>
          <w:rFonts w:ascii="Calibri" w:cs="Calibri" w:eastAsia="Calibri" w:hAnsi="Calibri"/>
          <w:b/>
          <w:color w:val="351C75"/>
          <w:sz w:val="24"/>
          <w:szCs w:val="24"/>
        </w:rPr>
        <w:t>et</w:t>
      </w:r>
    </w:p>
    <w:p w14:paraId="11826A01" w14:textId="51E42C4F" w:rsidP="792DD702" w:rsidR="001B3F39" w:rsidRDefault="001B3F39">
      <w:pPr>
        <w:widowControl w:val="0"/>
        <w:ind w:right="38"/>
        <w:rPr>
          <w:rFonts w:ascii="Calibri" w:cs="Calibri" w:eastAsia="Calibri" w:hAnsi="Calibri"/>
          <w:color w:val="351C75"/>
          <w:sz w:val="24"/>
          <w:szCs w:val="24"/>
        </w:rPr>
      </w:pPr>
      <w:r w:rsidRPr="083E665C">
        <w:rPr>
          <w:rFonts w:ascii="Calibri" w:cs="Calibri" w:eastAsia="Calibri" w:hAnsi="Calibri"/>
          <w:color w:val="351C75"/>
          <w:sz w:val="24"/>
          <w:szCs w:val="24"/>
        </w:rPr>
        <w:t>la CFE-CGC FIECI (Fédération Nationale du Personnel de l'encadrement des sociétés de service Informatique, des Études, du Conseil et de l'Ingénierie) représentée par</w:t>
      </w:r>
      <w:r w:rsidR="45E0F4D6" w:rsidRPr="083E665C">
        <w:rPr>
          <w:rFonts w:ascii="Calibri" w:cs="Calibri" w:eastAsia="Calibri" w:hAnsi="Calibri"/>
          <w:color w:val="351C75"/>
          <w:sz w:val="24"/>
          <w:szCs w:val="24"/>
        </w:rPr>
        <w:t>, d</w:t>
      </w:r>
      <w:r w:rsidR="7AE7659B" w:rsidRPr="083E665C">
        <w:rPr>
          <w:rFonts w:ascii="Calibri" w:cs="Calibri" w:eastAsia="Calibri" w:hAnsi="Calibri"/>
          <w:color w:val="351C75"/>
          <w:sz w:val="24"/>
          <w:szCs w:val="24"/>
        </w:rPr>
        <w:t>'autre part,</w:t>
      </w:r>
    </w:p>
    <w:p w14:paraId="0049E268" w14:textId="5AF0F225" w:rsidP="792DD702" w:rsidR="792DD702" w:rsidRDefault="792DD702">
      <w:pPr>
        <w:widowControl w:val="0"/>
        <w:ind w:right="38"/>
        <w:rPr>
          <w:rFonts w:ascii="Calibri" w:cs="Calibri" w:eastAsia="Calibri" w:hAnsi="Calibri"/>
          <w:color w:val="351C75"/>
          <w:sz w:val="24"/>
          <w:szCs w:val="24"/>
        </w:rPr>
      </w:pPr>
    </w:p>
    <w:p w14:paraId="0000000B" w14:textId="77777777" w:rsidR="007349CE" w:rsidRDefault="001B3F39">
      <w:pPr>
        <w:widowControl w:val="0"/>
        <w:pBdr>
          <w:top w:val="nil"/>
          <w:left w:val="nil"/>
          <w:bottom w:val="nil"/>
          <w:right w:val="nil"/>
          <w:between w:val="nil"/>
        </w:pBdr>
        <w:ind w:right="38"/>
        <w:rPr>
          <w:rFonts w:ascii="Calibri" w:cs="Calibri" w:eastAsia="Calibri" w:hAnsi="Calibri"/>
          <w:color w:val="351C75"/>
          <w:sz w:val="24"/>
          <w:szCs w:val="24"/>
        </w:rPr>
      </w:pPr>
      <w:r>
        <w:rPr>
          <w:rFonts w:ascii="Calibri" w:cs="Calibri" w:eastAsia="Calibri" w:hAnsi="Calibri"/>
          <w:b/>
          <w:color w:val="351C75"/>
          <w:sz w:val="24"/>
          <w:szCs w:val="24"/>
        </w:rPr>
        <w:t xml:space="preserve">Préambule </w:t>
      </w:r>
    </w:p>
    <w:p w14:paraId="0000000D" w14:textId="12C598AE" w:rsidR="007349CE" w:rsidRDefault="001B3F39">
      <w:pPr>
        <w:widowControl w:val="0"/>
        <w:pBdr>
          <w:top w:val="nil"/>
          <w:left w:val="nil"/>
          <w:bottom w:val="nil"/>
          <w:right w:val="nil"/>
          <w:between w:val="nil"/>
        </w:pBdr>
        <w:spacing w:before="273"/>
        <w:ind w:right="38"/>
        <w:jc w:val="both"/>
        <w:rPr>
          <w:rFonts w:ascii="Calibri" w:cs="Calibri" w:eastAsia="Calibri" w:hAnsi="Calibri"/>
          <w:color w:val="351C75"/>
          <w:sz w:val="24"/>
          <w:szCs w:val="24"/>
        </w:rPr>
      </w:pPr>
      <w:r w:rsidRPr="4BA978DA">
        <w:rPr>
          <w:rFonts w:ascii="Calibri" w:cs="Calibri" w:eastAsia="Calibri" w:hAnsi="Calibri"/>
          <w:color w:val="351C75"/>
          <w:sz w:val="24"/>
          <w:szCs w:val="24"/>
        </w:rPr>
        <w:t xml:space="preserve">Conformément à l'article L.2242-1 nouveau du Code du travail, la négociation annuelle obligatoire pour l'exercice 2022 s'est engagée entre AC NIELSEN, NielsenIQ Services France et l’organisation syndicale CFE-CGC. </w:t>
      </w:r>
    </w:p>
    <w:p w14:paraId="0000000E" w14:textId="77777777" w:rsidR="007349CE" w:rsidRDefault="001B3F39">
      <w:pPr>
        <w:widowControl w:val="0"/>
        <w:pBdr>
          <w:top w:val="nil"/>
          <w:left w:val="nil"/>
          <w:bottom w:val="nil"/>
          <w:right w:val="nil"/>
          <w:between w:val="nil"/>
        </w:pBdr>
        <w:spacing w:before="500"/>
        <w:ind w:right="38"/>
        <w:jc w:val="both"/>
        <w:rPr>
          <w:rFonts w:ascii="Calibri" w:cs="Calibri" w:eastAsia="Calibri" w:hAnsi="Calibri"/>
          <w:b/>
          <w:i/>
          <w:color w:val="351C75"/>
          <w:sz w:val="24"/>
          <w:szCs w:val="24"/>
        </w:rPr>
      </w:pPr>
      <w:r>
        <w:rPr>
          <w:rFonts w:ascii="Calibri" w:cs="Calibri" w:eastAsia="Calibri" w:hAnsi="Calibri"/>
          <w:b/>
          <w:i/>
          <w:color w:val="351C75"/>
          <w:sz w:val="24"/>
          <w:szCs w:val="24"/>
        </w:rPr>
        <w:t>L</w:t>
      </w:r>
      <w:r>
        <w:rPr>
          <w:rFonts w:ascii="Calibri" w:cs="Calibri" w:eastAsia="Calibri" w:hAnsi="Calibri"/>
          <w:b/>
          <w:color w:val="351C75"/>
          <w:sz w:val="24"/>
          <w:szCs w:val="24"/>
        </w:rPr>
        <w:t>E</w:t>
      </w:r>
      <w:r>
        <w:rPr>
          <w:rFonts w:ascii="Calibri" w:cs="Calibri" w:eastAsia="Calibri" w:hAnsi="Calibri"/>
          <w:b/>
          <w:i/>
          <w:color w:val="351C75"/>
          <w:sz w:val="24"/>
          <w:szCs w:val="24"/>
        </w:rPr>
        <w:t>S DEMA</w:t>
      </w:r>
      <w:r>
        <w:rPr>
          <w:rFonts w:ascii="Calibri" w:cs="Calibri" w:eastAsia="Calibri" w:hAnsi="Calibri"/>
          <w:b/>
          <w:color w:val="351C75"/>
          <w:sz w:val="24"/>
          <w:szCs w:val="24"/>
        </w:rPr>
        <w:t>N</w:t>
      </w:r>
      <w:r>
        <w:rPr>
          <w:rFonts w:ascii="Calibri" w:cs="Calibri" w:eastAsia="Calibri" w:hAnsi="Calibri"/>
          <w:b/>
          <w:i/>
          <w:color w:val="351C75"/>
          <w:sz w:val="24"/>
          <w:szCs w:val="24"/>
        </w:rPr>
        <w:t xml:space="preserve">DES DE LA CFE-CGC </w:t>
      </w:r>
    </w:p>
    <w:p w14:paraId="0000000F" w14:textId="77777777" w:rsidR="007349CE" w:rsidRDefault="007349CE">
      <w:pPr>
        <w:widowControl w:val="0"/>
        <w:pBdr>
          <w:top w:val="nil"/>
          <w:left w:val="nil"/>
          <w:bottom w:val="nil"/>
          <w:right w:val="nil"/>
          <w:between w:val="nil"/>
        </w:pBdr>
        <w:ind w:right="38"/>
        <w:rPr>
          <w:rFonts w:ascii="Calibri" w:cs="Calibri" w:eastAsia="Calibri" w:hAnsi="Calibri"/>
          <w:b/>
          <w:i/>
          <w:color w:val="351C75"/>
          <w:sz w:val="24"/>
          <w:szCs w:val="24"/>
        </w:rPr>
      </w:pPr>
    </w:p>
    <w:p w14:paraId="0F77DB57" w14:textId="5BDFF939" w:rsidP="4BA978DA" w:rsidR="4BA978DA" w:rsidRDefault="4BA978DA">
      <w:pPr>
        <w:numPr>
          <w:ilvl w:val="0"/>
          <w:numId w:val="5"/>
        </w:numPr>
        <w:shd w:color="auto" w:fill="FFFFFF" w:themeFill="background1" w:val="clear"/>
        <w:spacing w:line="240" w:lineRule="auto"/>
        <w:rPr>
          <w:rFonts w:ascii="Calibri" w:cs="Calibri" w:eastAsia="Calibri" w:hAnsi="Calibri"/>
          <w:color w:val="351C75"/>
          <w:sz w:val="24"/>
          <w:szCs w:val="24"/>
        </w:rPr>
      </w:pPr>
      <w:r w:rsidRPr="4BA978DA">
        <w:rPr>
          <w:rFonts w:ascii="Calibri" w:cs="Calibri" w:eastAsia="Calibri" w:hAnsi="Calibri"/>
          <w:color w:val="351C75"/>
          <w:sz w:val="24"/>
          <w:szCs w:val="24"/>
        </w:rPr>
        <w:t>Revalorisation des indemnités kilométriques au niveau du barème de défiscalisation URSSAF mis à jour en juillet 2022</w:t>
      </w:r>
    </w:p>
    <w:p w14:paraId="00000010" w14:textId="0752B2D3" w:rsidP="4BA978DA" w:rsidR="007349CE" w:rsidRDefault="001B3F39">
      <w:pPr>
        <w:numPr>
          <w:ilvl w:val="0"/>
          <w:numId w:val="5"/>
        </w:numPr>
        <w:shd w:color="auto" w:fill="FFFFFF" w:themeFill="background1" w:val="clear"/>
        <w:spacing w:line="240" w:lineRule="auto"/>
        <w:rPr>
          <w:rFonts w:ascii="Calibri" w:cs="Calibri" w:eastAsia="Calibri" w:hAnsi="Calibri"/>
          <w:color w:val="351C75"/>
          <w:sz w:val="24"/>
          <w:szCs w:val="24"/>
        </w:rPr>
      </w:pPr>
      <w:r w:rsidRPr="4BA978DA">
        <w:rPr>
          <w:rFonts w:ascii="Calibri" w:cs="Calibri" w:eastAsia="Calibri" w:hAnsi="Calibri"/>
          <w:color w:val="351C75"/>
          <w:sz w:val="24"/>
          <w:szCs w:val="24"/>
        </w:rPr>
        <w:t>Reconduction de la prime Macron (modalités légales en cours de définition) notamment pour compenser le fort niveau d’inflation</w:t>
      </w:r>
    </w:p>
    <w:p w14:paraId="00000012" w14:textId="767E2CF0" w:rsidP="4BA978DA" w:rsidR="007349CE" w:rsidRDefault="001B3F39">
      <w:pPr>
        <w:numPr>
          <w:ilvl w:val="0"/>
          <w:numId w:val="5"/>
        </w:numPr>
        <w:shd w:color="auto" w:fill="FFFFFF" w:themeFill="background1" w:val="clear"/>
        <w:spacing w:line="240" w:lineRule="auto"/>
        <w:rPr>
          <w:rFonts w:ascii="Calibri" w:cs="Calibri" w:eastAsia="Calibri" w:hAnsi="Calibri"/>
          <w:color w:val="351C75"/>
          <w:sz w:val="24"/>
          <w:szCs w:val="24"/>
        </w:rPr>
      </w:pPr>
      <w:r w:rsidRPr="792DD702">
        <w:rPr>
          <w:rFonts w:ascii="Calibri" w:cs="Calibri" w:eastAsia="Calibri" w:hAnsi="Calibri"/>
          <w:color w:val="351C75"/>
          <w:sz w:val="24"/>
          <w:szCs w:val="24"/>
        </w:rPr>
        <w:t xml:space="preserve">Revalorisation </w:t>
      </w:r>
      <w:r w:rsidR="1F74023B" w:rsidRPr="792DD702">
        <w:rPr>
          <w:rFonts w:ascii="Calibri" w:cs="Calibri" w:eastAsia="Calibri" w:hAnsi="Calibri"/>
          <w:color w:val="351C75"/>
          <w:sz w:val="24"/>
          <w:szCs w:val="24"/>
        </w:rPr>
        <w:t>de la prime “vacances”</w:t>
      </w:r>
      <w:r w:rsidRPr="792DD702">
        <w:rPr>
          <w:rFonts w:ascii="Calibri" w:cs="Calibri" w:eastAsia="Calibri" w:hAnsi="Calibri"/>
          <w:color w:val="351C75"/>
          <w:sz w:val="24"/>
          <w:szCs w:val="24"/>
        </w:rPr>
        <w:t xml:space="preserve"> qui est fixe depuis plusieurs années</w:t>
      </w:r>
    </w:p>
    <w:p w14:paraId="6B392AF8" w14:textId="5DC2E4E4" w:rsidP="4BA978DA" w:rsidR="4BA978DA" w:rsidRDefault="4BA978DA">
      <w:pPr>
        <w:numPr>
          <w:ilvl w:val="0"/>
          <w:numId w:val="5"/>
        </w:numPr>
        <w:spacing w:line="240" w:lineRule="auto"/>
        <w:rPr>
          <w:rFonts w:ascii="Calibri" w:cs="Calibri" w:eastAsia="Calibri" w:hAnsi="Calibri"/>
          <w:color w:val="351C75"/>
          <w:sz w:val="24"/>
          <w:szCs w:val="24"/>
        </w:rPr>
      </w:pPr>
      <w:r w:rsidRPr="4BA978DA">
        <w:rPr>
          <w:rFonts w:ascii="Calibri" w:cs="Calibri" w:eastAsia="Calibri" w:hAnsi="Calibri"/>
          <w:color w:val="351C75"/>
          <w:sz w:val="24"/>
          <w:szCs w:val="24"/>
        </w:rPr>
        <w:t>Allocation d’une indemnité pour les frais liés au télétravail</w:t>
      </w:r>
    </w:p>
    <w:p w14:paraId="5904FC11" w14:textId="6C544F47" w:rsidP="4BA978DA" w:rsidR="4BA978DA" w:rsidRDefault="4BA978DA">
      <w:pPr>
        <w:numPr>
          <w:ilvl w:val="0"/>
          <w:numId w:val="5"/>
        </w:numPr>
        <w:spacing w:line="240" w:lineRule="auto"/>
        <w:rPr>
          <w:rFonts w:ascii="Calibri" w:cs="Calibri" w:eastAsia="Calibri" w:hAnsi="Calibri"/>
          <w:color w:val="351C75"/>
          <w:sz w:val="24"/>
          <w:szCs w:val="24"/>
        </w:rPr>
      </w:pPr>
      <w:r w:rsidRPr="4BA978DA">
        <w:rPr>
          <w:rFonts w:ascii="Calibri" w:cs="Calibri" w:eastAsia="Calibri" w:hAnsi="Calibri"/>
          <w:color w:val="351C75"/>
          <w:sz w:val="24"/>
          <w:szCs w:val="24"/>
        </w:rPr>
        <w:t>Anticiper le pool d’augmentation 2023</w:t>
      </w:r>
    </w:p>
    <w:p w14:paraId="0000002B" w14:textId="77777777" w:rsidR="007349CE" w:rsidRDefault="007349CE">
      <w:pPr>
        <w:shd w:color="auto" w:fill="FFFFFF" w:val="clear"/>
        <w:spacing w:line="240" w:lineRule="auto"/>
        <w:ind w:left="720"/>
        <w:rPr>
          <w:rFonts w:ascii="Calibri" w:cs="Calibri" w:eastAsia="Calibri" w:hAnsi="Calibri"/>
          <w:color w:val="351C75"/>
          <w:sz w:val="24"/>
          <w:szCs w:val="24"/>
        </w:rPr>
      </w:pPr>
    </w:p>
    <w:p w14:paraId="7C6E5A99" w14:textId="3F321142" w:rsidP="792DD702" w:rsidR="792DD702" w:rsidRDefault="792DD702">
      <w:pPr>
        <w:widowControl w:val="0"/>
        <w:ind w:right="38"/>
        <w:rPr>
          <w:rFonts w:ascii="Calibri" w:cs="Calibri" w:eastAsia="Calibri" w:hAnsi="Calibri"/>
          <w:b/>
          <w:bCs/>
          <w:i/>
          <w:iCs/>
          <w:color w:val="351C75"/>
          <w:sz w:val="24"/>
          <w:szCs w:val="24"/>
        </w:rPr>
      </w:pPr>
    </w:p>
    <w:p w14:paraId="0000002C" w14:textId="484AA63E" w:rsidP="4BA978DA" w:rsidR="007349CE" w:rsidRDefault="001B3F39">
      <w:pPr>
        <w:widowControl w:val="0"/>
        <w:pBdr>
          <w:top w:val="nil"/>
          <w:left w:val="nil"/>
          <w:bottom w:val="nil"/>
          <w:right w:val="nil"/>
          <w:between w:val="nil"/>
        </w:pBdr>
        <w:ind w:right="38"/>
        <w:rPr>
          <w:rFonts w:ascii="Calibri" w:cs="Calibri" w:eastAsia="Calibri" w:hAnsi="Calibri"/>
          <w:b/>
          <w:bCs/>
          <w:i/>
          <w:iCs/>
          <w:color w:val="351C75"/>
          <w:sz w:val="24"/>
          <w:szCs w:val="24"/>
        </w:rPr>
      </w:pPr>
      <w:r w:rsidRPr="4BA978DA">
        <w:rPr>
          <w:rFonts w:ascii="Calibri" w:cs="Calibri" w:eastAsia="Calibri" w:hAnsi="Calibri"/>
          <w:b/>
          <w:bCs/>
          <w:i/>
          <w:iCs/>
          <w:color w:val="351C75"/>
          <w:sz w:val="24"/>
          <w:szCs w:val="24"/>
        </w:rPr>
        <w:t xml:space="preserve">POSITION DE LA DIRECTION  </w:t>
      </w:r>
    </w:p>
    <w:p w14:paraId="5D08D6AB" w14:textId="5C7DF6A4" w:rsidP="4BA978DA" w:rsidR="00CC4633" w:rsidRDefault="001B3F39">
      <w:pPr>
        <w:widowControl w:val="0"/>
        <w:pBdr>
          <w:top w:val="nil"/>
          <w:left w:val="nil"/>
          <w:bottom w:val="nil"/>
          <w:right w:val="nil"/>
          <w:between w:val="nil"/>
        </w:pBdr>
        <w:spacing w:before="300" w:line="273" w:lineRule="auto"/>
        <w:ind w:right="38"/>
        <w:jc w:val="both"/>
        <w:rPr>
          <w:rFonts w:ascii="Calibri" w:cs="Calibri" w:eastAsia="Calibri" w:hAnsi="Calibri"/>
          <w:color w:val="351C75"/>
          <w:sz w:val="24"/>
          <w:szCs w:val="24"/>
        </w:rPr>
      </w:pPr>
      <w:r w:rsidRPr="4BA978DA">
        <w:rPr>
          <w:rFonts w:ascii="Calibri" w:cs="Calibri" w:eastAsia="Calibri" w:hAnsi="Calibri"/>
          <w:color w:val="351C75"/>
          <w:sz w:val="24"/>
          <w:szCs w:val="24"/>
        </w:rPr>
        <w:t>La Direction a rappelé au syndicat que des mesures salariales significatives ont été mises en place au cours du 1er semestre 2022.</w:t>
      </w:r>
    </w:p>
    <w:p w14:paraId="778BE719" w14:textId="5A0B58D3" w:rsidP="5103A7A2" w:rsidR="4BA978DA" w:rsidRDefault="4BA978DA">
      <w:pPr>
        <w:widowControl w:val="0"/>
        <w:spacing w:before="3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Le Pool d’augmentation accordé pour 2022 par le groupe est de 2,5% de la masse salariale de chaque BU.</w:t>
      </w:r>
      <w:r w:rsidR="72C55E18" w:rsidRPr="792DD702">
        <w:rPr>
          <w:rFonts w:ascii="Calibri" w:cs="Calibri" w:eastAsia="Calibri" w:hAnsi="Calibri"/>
          <w:color w:val="351C75"/>
          <w:sz w:val="24"/>
          <w:szCs w:val="24"/>
        </w:rPr>
        <w:t xml:space="preserve"> </w:t>
      </w:r>
      <w:r w:rsidRPr="792DD702">
        <w:rPr>
          <w:rFonts w:ascii="Calibri" w:cs="Calibri" w:eastAsia="Calibri" w:hAnsi="Calibri"/>
          <w:color w:val="351C75"/>
          <w:sz w:val="24"/>
          <w:szCs w:val="24"/>
        </w:rPr>
        <w:t>Par ailleurs, la direction de NielsenIQ a pu allouer une enveloppe d’augmentation supplémentaire pour la population commerciale (y compris Customer success) correspondant à 250 000€</w:t>
      </w:r>
      <w:r w:rsidR="192003B3" w:rsidRPr="792DD702">
        <w:rPr>
          <w:rFonts w:ascii="Calibri" w:cs="Calibri" w:eastAsia="Calibri" w:hAnsi="Calibri"/>
          <w:color w:val="351C75"/>
          <w:sz w:val="24"/>
          <w:szCs w:val="24"/>
        </w:rPr>
        <w:t>.</w:t>
      </w:r>
    </w:p>
    <w:p w14:paraId="39E485F3" w14:textId="5202DB06" w:rsidP="7E9C8EFC" w:rsidR="4BA978DA" w:rsidRDefault="7E9C8EFC">
      <w:pPr>
        <w:widowControl w:val="0"/>
        <w:spacing w:before="300" w:line="273" w:lineRule="auto"/>
        <w:ind w:right="38"/>
        <w:jc w:val="both"/>
        <w:rPr>
          <w:rFonts w:ascii="Calibri" w:cs="Calibri" w:eastAsia="Calibri" w:hAnsi="Calibri"/>
          <w:color w:val="351C75"/>
          <w:sz w:val="24"/>
          <w:szCs w:val="24"/>
        </w:rPr>
      </w:pPr>
      <w:r w:rsidRPr="5103A7A2">
        <w:rPr>
          <w:rFonts w:ascii="Calibri" w:cs="Calibri" w:eastAsia="Calibri" w:hAnsi="Calibri"/>
          <w:color w:val="351C75"/>
          <w:sz w:val="24"/>
          <w:szCs w:val="24"/>
        </w:rPr>
        <w:t xml:space="preserve">Ainsi, </w:t>
      </w:r>
      <w:r w:rsidR="4BA978DA" w:rsidRPr="5103A7A2">
        <w:rPr>
          <w:rFonts w:ascii="Calibri" w:cs="Calibri" w:eastAsia="Calibri" w:hAnsi="Calibri"/>
          <w:color w:val="351C75"/>
          <w:sz w:val="24"/>
          <w:szCs w:val="24"/>
        </w:rPr>
        <w:t>285 augmentations sur 484 salariés</w:t>
      </w:r>
    </w:p>
    <w:p w14:paraId="6BD97E7F" w14:textId="74A5E24D" w:rsidP="4BA978DA" w:rsidR="4BA978DA" w:rsidRDefault="4BA978DA">
      <w:pPr>
        <w:pStyle w:val="Paragraphedeliste"/>
        <w:widowControl w:val="0"/>
        <w:numPr>
          <w:ilvl w:val="0"/>
          <w:numId w:val="3"/>
        </w:numPr>
        <w:spacing w:line="240" w:lineRule="auto"/>
        <w:rPr>
          <w:rFonts w:ascii="Calibri" w:cs="Calibri" w:eastAsia="Calibri" w:hAnsi="Calibri"/>
          <w:color w:val="351C75"/>
          <w:sz w:val="24"/>
          <w:szCs w:val="24"/>
        </w:rPr>
      </w:pPr>
      <w:r w:rsidRPr="4BA978DA">
        <w:rPr>
          <w:rFonts w:ascii="Calibri" w:cs="Calibri" w:eastAsia="Calibri" w:hAnsi="Calibri"/>
          <w:color w:val="351C75"/>
          <w:sz w:val="24"/>
          <w:szCs w:val="24"/>
        </w:rPr>
        <w:t>Augmentations sur le salaire de base : 119 femmes- 105 hommes</w:t>
      </w:r>
    </w:p>
    <w:p w14:paraId="7D5B0D10" w14:textId="350F1F75" w:rsidP="4BA978DA" w:rsidR="4BA978DA" w:rsidRDefault="4BA978DA">
      <w:pPr>
        <w:pStyle w:val="Paragraphedeliste"/>
        <w:widowControl w:val="0"/>
        <w:numPr>
          <w:ilvl w:val="0"/>
          <w:numId w:val="3"/>
        </w:numPr>
        <w:spacing w:line="240" w:lineRule="auto"/>
        <w:rPr>
          <w:color w:val="351C75"/>
          <w:sz w:val="24"/>
          <w:szCs w:val="24"/>
        </w:rPr>
      </w:pPr>
      <w:r w:rsidRPr="4BA978DA">
        <w:rPr>
          <w:rFonts w:ascii="Calibri" w:cs="Calibri" w:eastAsia="Calibri" w:hAnsi="Calibri"/>
          <w:color w:val="351C75"/>
          <w:sz w:val="24"/>
          <w:szCs w:val="24"/>
        </w:rPr>
        <w:t>Augmentations sur le bonus : 23 femmes – 21 hommes</w:t>
      </w:r>
    </w:p>
    <w:p w14:paraId="6C9CA3EA" w14:textId="153E1CC2" w:rsidP="4BA978DA" w:rsidR="4BA978DA" w:rsidRDefault="4BA978DA">
      <w:pPr>
        <w:pStyle w:val="Paragraphedeliste"/>
        <w:widowControl w:val="0"/>
        <w:numPr>
          <w:ilvl w:val="0"/>
          <w:numId w:val="3"/>
        </w:numPr>
        <w:spacing w:line="240" w:lineRule="auto"/>
        <w:rPr>
          <w:color w:val="351C75"/>
          <w:sz w:val="24"/>
          <w:szCs w:val="24"/>
        </w:rPr>
      </w:pPr>
      <w:r w:rsidRPr="792DD702">
        <w:rPr>
          <w:rFonts w:ascii="Calibri" w:cs="Calibri" w:eastAsia="Calibri" w:hAnsi="Calibri"/>
          <w:color w:val="351C75"/>
          <w:sz w:val="24"/>
          <w:szCs w:val="24"/>
        </w:rPr>
        <w:lastRenderedPageBreak/>
        <w:t>Augmentations sur le bonus et le salaire de base : 11 femmes – 6 hommes</w:t>
      </w:r>
    </w:p>
    <w:p w14:paraId="79C570CB" w14:textId="3F52B9A4" w:rsidP="792DD702" w:rsidR="5103A7A2" w:rsidRDefault="4BA978DA">
      <w:pPr>
        <w:widowControl w:val="0"/>
        <w:spacing w:before="3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 xml:space="preserve">La Direction rappelle également les efforts produits sur les plans de bonus SIP </w:t>
      </w:r>
      <w:r w:rsidR="6D2AAF8B" w:rsidRPr="792DD702">
        <w:rPr>
          <w:rFonts w:ascii="Calibri" w:cs="Calibri" w:eastAsia="Calibri" w:hAnsi="Calibri"/>
          <w:color w:val="351C75"/>
          <w:sz w:val="24"/>
          <w:szCs w:val="24"/>
        </w:rPr>
        <w:t xml:space="preserve">pour 2022 : </w:t>
      </w:r>
      <w:r w:rsidR="5103A7A2" w:rsidRPr="792DD702">
        <w:rPr>
          <w:rFonts w:ascii="Calibri" w:cs="Calibri" w:eastAsia="Calibri" w:hAnsi="Calibri"/>
          <w:color w:val="351C75"/>
          <w:sz w:val="24"/>
          <w:szCs w:val="24"/>
        </w:rPr>
        <w:t>Lorsque 100% des objectifs dépassés, l’accélérateur s’applique automatiquement en dérogation à la politique initialement fixée par le groupe qui demandait l’adhésion à Opt-in.</w:t>
      </w:r>
    </w:p>
    <w:p w14:paraId="2DB2BB13" w14:textId="1E08FE95" w:rsidP="792DD702" w:rsidR="2B03ACE6" w:rsidRDefault="2B03ACE6">
      <w:pPr>
        <w:widowControl w:val="0"/>
        <w:spacing w:before="3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 xml:space="preserve">Une nouvelle enveloppe d’augmentation n’est donc pas envisageable en ce second semestre et de nouveaux engagements impactant la masse salariale </w:t>
      </w:r>
      <w:r w:rsidR="252148A4" w:rsidRPr="792DD702">
        <w:rPr>
          <w:rFonts w:ascii="Calibri" w:cs="Calibri" w:eastAsia="Calibri" w:hAnsi="Calibri"/>
          <w:color w:val="351C75"/>
          <w:sz w:val="24"/>
          <w:szCs w:val="24"/>
        </w:rPr>
        <w:t>ne peuvent être financés en cette fin d’année.</w:t>
      </w:r>
    </w:p>
    <w:p w14:paraId="78BF3BE7" w14:textId="02CB2B04" w:rsidP="792DD702" w:rsidR="252148A4" w:rsidRDefault="252148A4">
      <w:pPr>
        <w:widowControl w:val="0"/>
        <w:spacing w:before="3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Les parties conviennent de rouvrir de nouvelles négociations au cours du 1er semestre 2023.</w:t>
      </w:r>
    </w:p>
    <w:p w14:paraId="620C42B2" w14:textId="498D2593" w:rsidP="792DD702" w:rsidR="252148A4" w:rsidRDefault="252148A4">
      <w:pPr>
        <w:widowControl w:val="0"/>
        <w:spacing w:before="3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 xml:space="preserve">Néanmoins, pour démontrer sa bonne foi dans la prise en compte des contraintes auxquelles les </w:t>
      </w:r>
      <w:r w:rsidR="7675BEDF" w:rsidRPr="792DD702">
        <w:rPr>
          <w:rFonts w:ascii="Calibri" w:cs="Calibri" w:eastAsia="Calibri" w:hAnsi="Calibri"/>
          <w:color w:val="351C75"/>
          <w:sz w:val="24"/>
          <w:szCs w:val="24"/>
        </w:rPr>
        <w:t>salariés</w:t>
      </w:r>
      <w:r w:rsidRPr="792DD702">
        <w:rPr>
          <w:rFonts w:ascii="Calibri" w:cs="Calibri" w:eastAsia="Calibri" w:hAnsi="Calibri"/>
          <w:color w:val="351C75"/>
          <w:sz w:val="24"/>
          <w:szCs w:val="24"/>
        </w:rPr>
        <w:t xml:space="preserve"> sont confrontés, la Direction consent </w:t>
      </w:r>
      <w:r w:rsidR="1861BF85" w:rsidRPr="792DD702">
        <w:rPr>
          <w:rFonts w:ascii="Calibri" w:cs="Calibri" w:eastAsia="Calibri" w:hAnsi="Calibri"/>
          <w:color w:val="351C75"/>
          <w:sz w:val="24"/>
          <w:szCs w:val="24"/>
        </w:rPr>
        <w:t>d’accorder les mesures suivantes :</w:t>
      </w:r>
    </w:p>
    <w:p w14:paraId="00000031" w14:textId="5829F780" w:rsidR="007349CE" w:rsidRDefault="001B3F39">
      <w:pPr>
        <w:widowControl w:val="0"/>
        <w:pBdr>
          <w:top w:val="nil"/>
          <w:left w:val="nil"/>
          <w:bottom w:val="nil"/>
          <w:right w:val="nil"/>
          <w:between w:val="nil"/>
        </w:pBdr>
        <w:spacing w:before="500" w:line="273" w:lineRule="auto"/>
        <w:ind w:right="38"/>
        <w:jc w:val="both"/>
        <w:rPr>
          <w:rFonts w:ascii="Calibri" w:cs="Calibri" w:eastAsia="Calibri" w:hAnsi="Calibri"/>
          <w:b/>
          <w:i/>
          <w:color w:val="351C75"/>
          <w:sz w:val="24"/>
          <w:szCs w:val="24"/>
        </w:rPr>
      </w:pPr>
      <w:r w:rsidRPr="792DD702">
        <w:rPr>
          <w:rFonts w:ascii="Calibri" w:cs="Calibri" w:eastAsia="Calibri" w:hAnsi="Calibri"/>
          <w:b/>
          <w:bCs/>
          <w:i/>
          <w:iCs/>
          <w:color w:val="351C75"/>
          <w:sz w:val="24"/>
          <w:szCs w:val="24"/>
        </w:rPr>
        <w:t>MESURES MISES EN OEUVRE</w:t>
      </w:r>
    </w:p>
    <w:p w14:paraId="63FF62D9" w14:textId="19DE00B6" w:rsidP="792DD702" w:rsidR="4BA978DA" w:rsidRDefault="6AE378EE">
      <w:pPr>
        <w:pStyle w:val="Paragraphedeliste"/>
        <w:widowControl w:val="0"/>
        <w:numPr>
          <w:ilvl w:val="0"/>
          <w:numId w:val="2"/>
        </w:numPr>
        <w:spacing w:before="500" w:line="273" w:lineRule="auto"/>
        <w:ind w:right="38"/>
        <w:jc w:val="both"/>
        <w:rPr>
          <w:b/>
          <w:bCs/>
          <w:color w:val="351C75"/>
          <w:sz w:val="24"/>
          <w:szCs w:val="24"/>
        </w:rPr>
      </w:pPr>
      <w:r w:rsidRPr="792DD702">
        <w:rPr>
          <w:rFonts w:ascii="Calibri" w:cs="Calibri" w:eastAsia="Calibri" w:hAnsi="Calibri"/>
          <w:b/>
          <w:bCs/>
          <w:color w:val="351C75"/>
          <w:sz w:val="24"/>
          <w:szCs w:val="24"/>
        </w:rPr>
        <w:t>Réévaluation des indemnités kilométriques</w:t>
      </w:r>
    </w:p>
    <w:p w14:paraId="5E455D14" w14:textId="47A68BDB" w:rsidP="4BA978DA" w:rsidR="4BA978DA" w:rsidRDefault="4BA978DA">
      <w:pPr>
        <w:widowControl w:val="0"/>
        <w:spacing w:before="5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La Direction reconnaît les salariés amenés à se déplacer avec leur véhicule personnel pour des besoins professionnels sont impactés par les hausses de prix de carburant. Par ailleurs, le montant d’indemnisation des frais kilométriques est resté identique depuis plusieurs années. La direction accepte de réévaluer le barème d’indemnisation selon les modalités suivantes</w:t>
      </w:r>
      <w:r w:rsidR="2F6BC31B" w:rsidRPr="792DD702">
        <w:rPr>
          <w:rFonts w:ascii="Calibri" w:cs="Calibri" w:eastAsia="Calibri" w:hAnsi="Calibri"/>
          <w:color w:val="351C75"/>
          <w:sz w:val="24"/>
          <w:szCs w:val="24"/>
        </w:rPr>
        <w:t>, correspondant au barème URSSAF applicable en 2022</w:t>
      </w:r>
      <w:r w:rsidRPr="792DD702">
        <w:rPr>
          <w:rFonts w:ascii="Calibri" w:cs="Calibri" w:eastAsia="Calibri" w:hAnsi="Calibri"/>
          <w:color w:val="351C75"/>
          <w:sz w:val="24"/>
          <w:szCs w:val="24"/>
        </w:rPr>
        <w:t xml:space="preserve"> :</w:t>
      </w:r>
    </w:p>
    <w:p w14:paraId="5F51D6A3" w14:textId="52B107B0" w:rsidR="4BA978DA" w:rsidRDefault="4BA978DA"/>
    <w:tbl>
      <w:tblPr>
        <w:tblStyle w:val="Grilledutableau"/>
        <w:tblW w:type="auto" w:w="0"/>
        <w:tblLayout w:type="fixed"/>
        <w:tblLook w:firstColumn="1" w:firstRow="1" w:lastColumn="0" w:lastRow="0" w:noHBand="1" w:noVBand="1" w:val="06A0"/>
      </w:tblPr>
      <w:tblGrid>
        <w:gridCol w:w="2490"/>
        <w:gridCol w:w="2490"/>
        <w:gridCol w:w="2490"/>
        <w:gridCol w:w="2490"/>
      </w:tblGrid>
      <w:tr w14:paraId="47AB63CD" w14:textId="77777777" w:rsidR="4BA978DA" w:rsidTr="792DD702">
        <w:tc>
          <w:tcPr>
            <w:tcW w:type="dxa" w:w="2490"/>
            <w:tcBorders>
              <w:top w:color="auto" w:space="0" w:sz="0" w:val="single"/>
              <w:left w:color="FFFFFF" w:space="0" w:sz="6" w:themeColor="background1" w:val="single"/>
              <w:bottom w:color="FFFFFF" w:space="0" w:sz="6" w:themeColor="background1" w:val="single"/>
            </w:tcBorders>
            <w:shd w:color="auto" w:fill="000091" w:val="clear"/>
            <w:vAlign w:val="center"/>
          </w:tcPr>
          <w:p w14:paraId="716C99BA" w14:textId="373D7CED" w:rsidP="4BA978DA" w:rsidR="4BA978DA" w:rsidRDefault="4BA978DA">
            <w:r w:rsidRPr="4BA978DA">
              <w:rPr>
                <w:color w:themeColor="background1" w:val="FFFFFF"/>
                <w:sz w:val="27"/>
                <w:szCs w:val="27"/>
              </w:rPr>
              <w:t>Puissance administrative (en CV)</w:t>
            </w:r>
          </w:p>
        </w:tc>
        <w:tc>
          <w:tcPr>
            <w:tcW w:type="dxa" w:w="2490"/>
            <w:tcBorders>
              <w:top w:color="auto" w:space="0" w:sz="0" w:val="single"/>
              <w:left w:color="FFFFFF" w:space="0" w:sz="6" w:themeColor="background1" w:val="single"/>
              <w:bottom w:color="FFFFFF" w:space="0" w:sz="6" w:themeColor="background1" w:val="single"/>
            </w:tcBorders>
            <w:shd w:color="auto" w:fill="000091" w:val="clear"/>
            <w:vAlign w:val="center"/>
          </w:tcPr>
          <w:p w14:paraId="704145AE" w14:textId="1536F937" w:rsidP="4BA978DA" w:rsidR="4BA978DA" w:rsidRDefault="4BA978DA">
            <w:r w:rsidRPr="4BA978DA">
              <w:rPr>
                <w:color w:themeColor="background1" w:val="FFFFFF"/>
                <w:sz w:val="27"/>
                <w:szCs w:val="27"/>
              </w:rPr>
              <w:t>Distance (d) jusqu'à 5 000 km</w:t>
            </w:r>
          </w:p>
        </w:tc>
        <w:tc>
          <w:tcPr>
            <w:tcW w:type="dxa" w:w="2490"/>
            <w:tcBorders>
              <w:top w:color="auto" w:space="0" w:sz="0" w:val="single"/>
              <w:left w:color="FFFFFF" w:space="0" w:sz="6" w:themeColor="background1" w:val="single"/>
              <w:bottom w:color="FFFFFF" w:space="0" w:sz="6" w:themeColor="background1" w:val="single"/>
            </w:tcBorders>
            <w:shd w:color="auto" w:fill="000091" w:val="clear"/>
            <w:vAlign w:val="center"/>
          </w:tcPr>
          <w:p w14:paraId="329B7932" w14:textId="4CA8052D" w:rsidP="4BA978DA" w:rsidR="4BA978DA" w:rsidRDefault="4BA978DA">
            <w:r w:rsidRPr="4BA978DA">
              <w:rPr>
                <w:color w:themeColor="background1" w:val="FFFFFF"/>
                <w:sz w:val="27"/>
                <w:szCs w:val="27"/>
              </w:rPr>
              <w:t>Distance (d) de 5 001 km à 20 000 km</w:t>
            </w:r>
          </w:p>
        </w:tc>
        <w:tc>
          <w:tcPr>
            <w:tcW w:type="dxa" w:w="2490"/>
            <w:tcBorders>
              <w:top w:color="auto" w:space="0" w:sz="0" w:val="single"/>
              <w:left w:color="FFFFFF" w:space="0" w:sz="6" w:themeColor="background1" w:val="single"/>
              <w:bottom w:color="FFFFFF" w:space="0" w:sz="6" w:themeColor="background1" w:val="single"/>
            </w:tcBorders>
            <w:shd w:color="auto" w:fill="000091" w:val="clear"/>
            <w:vAlign w:val="center"/>
          </w:tcPr>
          <w:p w14:paraId="55F351AA" w14:textId="23EC1A4E" w:rsidP="4BA978DA" w:rsidR="4BA978DA" w:rsidRDefault="4BA978DA">
            <w:r w:rsidRPr="4BA978DA">
              <w:rPr>
                <w:color w:themeColor="background1" w:val="FFFFFF"/>
                <w:sz w:val="27"/>
                <w:szCs w:val="27"/>
              </w:rPr>
              <w:t>Distance (d) au-delà de 20 000 km</w:t>
            </w:r>
          </w:p>
        </w:tc>
      </w:tr>
      <w:tr w14:paraId="430C65FA" w14:textId="77777777" w:rsidR="4BA978DA" w:rsidTr="792DD702">
        <w:tc>
          <w:tcPr>
            <w:tcW w:type="dxa" w:w="2490"/>
            <w:tcBorders>
              <w:top w:color="CCCCCC" w:space="0" w:sz="6" w:val="single"/>
              <w:left w:color="FFFFFF" w:space="0" w:sz="6" w:themeColor="background1" w:val="single"/>
              <w:bottom w:color="F2F2F2" w:space="0" w:sz="6" w:themeColor="background1" w:themeShade="F2" w:val="single"/>
            </w:tcBorders>
            <w:shd w:color="auto" w:fill="000091" w:val="clear"/>
          </w:tcPr>
          <w:p w14:paraId="37CA414A" w14:textId="44D5EB53" w:rsidP="4BA978DA" w:rsidR="4BA978DA" w:rsidRDefault="4BA978DA">
            <w:r w:rsidRPr="4BA978DA">
              <w:rPr>
                <w:color w:themeColor="background1" w:val="FFFFFF"/>
                <w:sz w:val="27"/>
                <w:szCs w:val="27"/>
              </w:rPr>
              <w:t>3 CV et moins</w:t>
            </w:r>
          </w:p>
        </w:tc>
        <w:tc>
          <w:tcPr>
            <w:tcW w:type="dxa" w:w="2490"/>
            <w:tcBorders>
              <w:top w:color="CCCCCC" w:space="0" w:sz="6" w:val="single"/>
              <w:left w:color="CCCCCC" w:space="0" w:sz="6" w:val="single"/>
              <w:bottom w:color="CCCCCC" w:space="0" w:sz="6" w:val="single"/>
            </w:tcBorders>
            <w:shd w:color="auto" w:fill="ECECEC" w:val="clear"/>
          </w:tcPr>
          <w:p w14:paraId="404ADF7C" w14:textId="23EBB437" w:rsidR="4BA978DA" w:rsidRDefault="4BA978DA">
            <w:r w:rsidRPr="4BA978DA">
              <w:rPr>
                <w:color w:val="414856"/>
                <w:sz w:val="24"/>
                <w:szCs w:val="24"/>
              </w:rPr>
              <w:t>d x 0,502</w:t>
            </w:r>
          </w:p>
        </w:tc>
        <w:tc>
          <w:tcPr>
            <w:tcW w:type="dxa" w:w="2490"/>
            <w:tcBorders>
              <w:top w:color="CCCCCC" w:space="0" w:sz="6" w:val="single"/>
              <w:left w:color="CCCCCC" w:space="0" w:sz="6" w:val="single"/>
              <w:bottom w:color="CCCCCC" w:space="0" w:sz="6" w:val="single"/>
            </w:tcBorders>
            <w:shd w:color="auto" w:fill="ECECEC" w:val="clear"/>
          </w:tcPr>
          <w:p w14:paraId="79C7471D" w14:textId="10CE598E" w:rsidR="4BA978DA" w:rsidRDefault="4BA978DA">
            <w:r w:rsidRPr="4BA978DA">
              <w:rPr>
                <w:color w:val="414856"/>
                <w:sz w:val="24"/>
                <w:szCs w:val="24"/>
              </w:rPr>
              <w:t>(d x 0,3) + 1 007</w:t>
            </w:r>
          </w:p>
        </w:tc>
        <w:tc>
          <w:tcPr>
            <w:tcW w:type="dxa" w:w="2490"/>
            <w:tcBorders>
              <w:top w:color="CCCCCC" w:space="0" w:sz="6" w:val="single"/>
              <w:left w:color="CCCCCC" w:space="0" w:sz="6" w:val="single"/>
              <w:bottom w:color="CCCCCC" w:space="0" w:sz="6" w:val="single"/>
            </w:tcBorders>
            <w:shd w:color="auto" w:fill="ECECEC" w:val="clear"/>
          </w:tcPr>
          <w:p w14:paraId="5C955081" w14:textId="5061E2DC" w:rsidR="4BA978DA" w:rsidRDefault="4BA978DA">
            <w:r w:rsidRPr="4BA978DA">
              <w:rPr>
                <w:color w:val="414856"/>
                <w:sz w:val="24"/>
                <w:szCs w:val="24"/>
              </w:rPr>
              <w:t>d x 0,35</w:t>
            </w:r>
          </w:p>
        </w:tc>
      </w:tr>
      <w:tr w14:paraId="0969931C" w14:textId="77777777" w:rsidR="4BA978DA" w:rsidTr="792DD702">
        <w:tc>
          <w:tcPr>
            <w:tcW w:type="dxa" w:w="2490"/>
            <w:tcBorders>
              <w:top w:color="CCCCCC" w:space="0" w:sz="6" w:val="single"/>
              <w:left w:color="FFFFFF" w:space="0" w:sz="6" w:themeColor="background1" w:val="single"/>
              <w:bottom w:color="F2F2F2" w:space="0" w:sz="6" w:themeColor="background1" w:themeShade="F2" w:val="single"/>
            </w:tcBorders>
            <w:shd w:color="auto" w:fill="000091" w:val="clear"/>
          </w:tcPr>
          <w:p w14:paraId="50A78DC3" w14:textId="1DF44812" w:rsidP="4BA978DA" w:rsidR="4BA978DA" w:rsidRDefault="4BA978DA">
            <w:r w:rsidRPr="4BA978DA">
              <w:rPr>
                <w:color w:themeColor="background1" w:val="FFFFFF"/>
                <w:sz w:val="27"/>
                <w:szCs w:val="27"/>
              </w:rPr>
              <w:t>4 CV</w:t>
            </w:r>
          </w:p>
        </w:tc>
        <w:tc>
          <w:tcPr>
            <w:tcW w:type="dxa" w:w="2490"/>
            <w:tcBorders>
              <w:top w:color="CCCCCC" w:space="0" w:sz="6" w:val="single"/>
              <w:left w:color="CCCCCC" w:space="0" w:sz="6" w:val="single"/>
              <w:bottom w:color="CCCCCC" w:space="0" w:sz="6" w:val="single"/>
            </w:tcBorders>
          </w:tcPr>
          <w:p w14:paraId="67771643" w14:textId="541B63E4" w:rsidR="4BA978DA" w:rsidRDefault="4BA978DA">
            <w:r w:rsidRPr="4BA978DA">
              <w:rPr>
                <w:color w:val="414856"/>
                <w:sz w:val="24"/>
                <w:szCs w:val="24"/>
              </w:rPr>
              <w:t>d x 0,575</w:t>
            </w:r>
          </w:p>
        </w:tc>
        <w:tc>
          <w:tcPr>
            <w:tcW w:type="dxa" w:w="2490"/>
            <w:tcBorders>
              <w:top w:color="CCCCCC" w:space="0" w:sz="6" w:val="single"/>
              <w:left w:color="CCCCCC" w:space="0" w:sz="6" w:val="single"/>
              <w:bottom w:color="CCCCCC" w:space="0" w:sz="6" w:val="single"/>
            </w:tcBorders>
          </w:tcPr>
          <w:p w14:paraId="20C97108" w14:textId="34A27AF4" w:rsidR="4BA978DA" w:rsidRDefault="4BA978DA">
            <w:r w:rsidRPr="4BA978DA">
              <w:rPr>
                <w:color w:val="414856"/>
                <w:sz w:val="24"/>
                <w:szCs w:val="24"/>
              </w:rPr>
              <w:t>(d x 0,323) + 1 262</w:t>
            </w:r>
          </w:p>
        </w:tc>
        <w:tc>
          <w:tcPr>
            <w:tcW w:type="dxa" w:w="2490"/>
            <w:tcBorders>
              <w:top w:color="CCCCCC" w:space="0" w:sz="6" w:val="single"/>
              <w:left w:color="CCCCCC" w:space="0" w:sz="6" w:val="single"/>
              <w:bottom w:color="CCCCCC" w:space="0" w:sz="6" w:val="single"/>
            </w:tcBorders>
          </w:tcPr>
          <w:p w14:paraId="3A62A7B5" w14:textId="066E008E" w:rsidR="4BA978DA" w:rsidRDefault="4BA978DA">
            <w:r w:rsidRPr="4BA978DA">
              <w:rPr>
                <w:color w:val="414856"/>
                <w:sz w:val="24"/>
                <w:szCs w:val="24"/>
              </w:rPr>
              <w:t>d x 0,387</w:t>
            </w:r>
          </w:p>
        </w:tc>
      </w:tr>
      <w:tr w14:paraId="648D4E5E" w14:textId="77777777" w:rsidR="4BA978DA" w:rsidTr="792DD702">
        <w:tc>
          <w:tcPr>
            <w:tcW w:type="dxa" w:w="2490"/>
            <w:tcBorders>
              <w:top w:color="CCCCCC" w:space="0" w:sz="6" w:val="single"/>
              <w:left w:color="FFFFFF" w:space="0" w:sz="6" w:themeColor="background1" w:val="single"/>
              <w:bottom w:color="F2F2F2" w:space="0" w:sz="6" w:themeColor="background1" w:themeShade="F2" w:val="single"/>
            </w:tcBorders>
            <w:shd w:color="auto" w:fill="000091" w:val="clear"/>
          </w:tcPr>
          <w:p w14:paraId="496F02EF" w14:textId="131BA628" w:rsidP="792DD702" w:rsidR="4BA978DA" w:rsidRDefault="4BA978DA">
            <w:pPr>
              <w:rPr>
                <w:sz w:val="27"/>
                <w:szCs w:val="27"/>
              </w:rPr>
            </w:pPr>
            <w:r w:rsidRPr="792DD702">
              <w:rPr>
                <w:sz w:val="27"/>
                <w:szCs w:val="27"/>
              </w:rPr>
              <w:t>5 CV</w:t>
            </w:r>
          </w:p>
        </w:tc>
        <w:tc>
          <w:tcPr>
            <w:tcW w:type="dxa" w:w="2490"/>
            <w:tcBorders>
              <w:top w:color="CCCCCC" w:space="0" w:sz="6" w:val="single"/>
              <w:left w:color="CCCCCC" w:space="0" w:sz="6" w:val="single"/>
              <w:bottom w:color="CCCCCC" w:space="0" w:sz="6" w:val="single"/>
            </w:tcBorders>
            <w:shd w:color="auto" w:fill="ECECEC" w:val="clear"/>
          </w:tcPr>
          <w:p w14:paraId="1152F107" w14:textId="7F15366B" w:rsidP="792DD702" w:rsidR="4BA978DA" w:rsidRDefault="4BA978DA">
            <w:pPr>
              <w:rPr>
                <w:color w:val="414856"/>
                <w:sz w:val="24"/>
                <w:szCs w:val="24"/>
              </w:rPr>
            </w:pPr>
            <w:r w:rsidRPr="792DD702">
              <w:rPr>
                <w:color w:val="414856"/>
                <w:sz w:val="24"/>
                <w:szCs w:val="24"/>
              </w:rPr>
              <w:t>d x 0,603</w:t>
            </w:r>
          </w:p>
        </w:tc>
        <w:tc>
          <w:tcPr>
            <w:tcW w:type="dxa" w:w="2490"/>
            <w:tcBorders>
              <w:top w:color="CCCCCC" w:space="0" w:sz="6" w:val="single"/>
              <w:left w:color="CCCCCC" w:space="0" w:sz="6" w:val="single"/>
              <w:bottom w:color="CCCCCC" w:space="0" w:sz="6" w:val="single"/>
            </w:tcBorders>
            <w:shd w:color="auto" w:fill="ECECEC" w:val="clear"/>
          </w:tcPr>
          <w:p w14:paraId="6A4DD91F" w14:textId="315A70ED" w:rsidR="4BA978DA" w:rsidRDefault="4BA978DA">
            <w:r w:rsidRPr="4BA978DA">
              <w:rPr>
                <w:color w:val="414856"/>
                <w:sz w:val="24"/>
                <w:szCs w:val="24"/>
              </w:rPr>
              <w:t>(d x 0,339) + 1 320</w:t>
            </w:r>
          </w:p>
        </w:tc>
        <w:tc>
          <w:tcPr>
            <w:tcW w:type="dxa" w:w="2490"/>
            <w:tcBorders>
              <w:top w:color="CCCCCC" w:space="0" w:sz="6" w:val="single"/>
              <w:left w:color="CCCCCC" w:space="0" w:sz="6" w:val="single"/>
              <w:bottom w:color="CCCCCC" w:space="0" w:sz="6" w:val="single"/>
            </w:tcBorders>
            <w:shd w:color="auto" w:fill="ECECEC" w:val="clear"/>
          </w:tcPr>
          <w:p w14:paraId="6638A15D" w14:textId="383810AA" w:rsidR="4BA978DA" w:rsidRDefault="4BA978DA">
            <w:r w:rsidRPr="4BA978DA">
              <w:rPr>
                <w:color w:val="414856"/>
                <w:sz w:val="24"/>
                <w:szCs w:val="24"/>
              </w:rPr>
              <w:t>d x 0,405</w:t>
            </w:r>
          </w:p>
        </w:tc>
      </w:tr>
      <w:tr w14:paraId="0C7B83C4" w14:textId="77777777" w:rsidR="4BA978DA" w:rsidTr="792DD702">
        <w:tc>
          <w:tcPr>
            <w:tcW w:type="dxa" w:w="2490"/>
            <w:tcBorders>
              <w:top w:color="CCCCCC" w:space="0" w:sz="6" w:val="single"/>
              <w:left w:color="FFFFFF" w:space="0" w:sz="6" w:themeColor="background1" w:val="single"/>
              <w:bottom w:color="F2F2F2" w:space="0" w:sz="6" w:themeColor="background1" w:themeShade="F2" w:val="single"/>
            </w:tcBorders>
            <w:shd w:color="auto" w:fill="000091" w:val="clear"/>
          </w:tcPr>
          <w:p w14:paraId="7D955959" w14:textId="37F1F257" w:rsidP="4BA978DA" w:rsidR="4BA978DA" w:rsidRDefault="4BA978DA">
            <w:r w:rsidRPr="4BA978DA">
              <w:rPr>
                <w:color w:themeColor="background1" w:val="FFFFFF"/>
                <w:sz w:val="27"/>
                <w:szCs w:val="27"/>
              </w:rPr>
              <w:t>6 CV</w:t>
            </w:r>
          </w:p>
        </w:tc>
        <w:tc>
          <w:tcPr>
            <w:tcW w:type="dxa" w:w="2490"/>
            <w:tcBorders>
              <w:top w:color="CCCCCC" w:space="0" w:sz="6" w:val="single"/>
              <w:left w:color="CCCCCC" w:space="0" w:sz="6" w:val="single"/>
              <w:bottom w:color="CCCCCC" w:space="0" w:sz="6" w:val="single"/>
            </w:tcBorders>
          </w:tcPr>
          <w:p w14:paraId="18D407B5" w14:textId="15173FB2" w:rsidR="4BA978DA" w:rsidRDefault="4BA978DA">
            <w:r w:rsidRPr="4BA978DA">
              <w:rPr>
                <w:color w:val="414856"/>
                <w:sz w:val="24"/>
                <w:szCs w:val="24"/>
              </w:rPr>
              <w:t>d x 0,631</w:t>
            </w:r>
          </w:p>
        </w:tc>
        <w:tc>
          <w:tcPr>
            <w:tcW w:type="dxa" w:w="2490"/>
            <w:tcBorders>
              <w:top w:color="CCCCCC" w:space="0" w:sz="6" w:val="single"/>
              <w:left w:color="CCCCCC" w:space="0" w:sz="6" w:val="single"/>
              <w:bottom w:color="CCCCCC" w:space="0" w:sz="6" w:val="single"/>
            </w:tcBorders>
          </w:tcPr>
          <w:p w14:paraId="4E3B3FAF" w14:textId="535AE1C9" w:rsidR="4BA978DA" w:rsidRDefault="4BA978DA">
            <w:r w:rsidRPr="4BA978DA">
              <w:rPr>
                <w:color w:val="414856"/>
                <w:sz w:val="24"/>
                <w:szCs w:val="24"/>
              </w:rPr>
              <w:t>(d x 0,355) + 1 382</w:t>
            </w:r>
          </w:p>
        </w:tc>
        <w:tc>
          <w:tcPr>
            <w:tcW w:type="dxa" w:w="2490"/>
            <w:tcBorders>
              <w:top w:color="CCCCCC" w:space="0" w:sz="6" w:val="single"/>
              <w:left w:color="CCCCCC" w:space="0" w:sz="6" w:val="single"/>
              <w:bottom w:color="CCCCCC" w:space="0" w:sz="6" w:val="single"/>
            </w:tcBorders>
          </w:tcPr>
          <w:p w14:paraId="4D67320E" w14:textId="61A4F9DC" w:rsidR="4BA978DA" w:rsidRDefault="4BA978DA">
            <w:r w:rsidRPr="4BA978DA">
              <w:rPr>
                <w:color w:val="414856"/>
                <w:sz w:val="24"/>
                <w:szCs w:val="24"/>
              </w:rPr>
              <w:t>d x 0,425</w:t>
            </w:r>
          </w:p>
        </w:tc>
      </w:tr>
      <w:tr w14:paraId="076EC5E0" w14:textId="77777777" w:rsidR="4BA978DA" w:rsidTr="792DD702">
        <w:tc>
          <w:tcPr>
            <w:tcW w:type="dxa" w:w="2490"/>
            <w:tcBorders>
              <w:top w:color="CCCCCC" w:space="0" w:sz="6" w:val="single"/>
              <w:left w:color="FFFFFF" w:space="0" w:sz="6" w:themeColor="background1" w:val="single"/>
              <w:bottom w:color="F2F2F2" w:space="0" w:sz="6" w:themeColor="background1" w:themeShade="F2" w:val="single"/>
            </w:tcBorders>
            <w:shd w:color="auto" w:fill="000091" w:val="clear"/>
          </w:tcPr>
          <w:p w14:paraId="5E12CE53" w14:textId="7CDDCF60" w:rsidP="4BA978DA" w:rsidR="4BA978DA" w:rsidRDefault="4BA978DA">
            <w:r w:rsidRPr="4BA978DA">
              <w:rPr>
                <w:color w:themeColor="background1" w:val="FFFFFF"/>
                <w:sz w:val="27"/>
                <w:szCs w:val="27"/>
              </w:rPr>
              <w:t>7 CV et plus</w:t>
            </w:r>
          </w:p>
        </w:tc>
        <w:tc>
          <w:tcPr>
            <w:tcW w:type="dxa" w:w="2490"/>
            <w:tcBorders>
              <w:top w:color="CCCCCC" w:space="0" w:sz="6" w:val="single"/>
              <w:left w:color="CCCCCC" w:space="0" w:sz="6" w:val="single"/>
              <w:bottom w:color="CCCCCC" w:space="0" w:sz="6" w:val="single"/>
            </w:tcBorders>
            <w:shd w:color="auto" w:fill="ECECEC" w:val="clear"/>
          </w:tcPr>
          <w:p w14:paraId="32BAC44E" w14:textId="13C72173" w:rsidR="4BA978DA" w:rsidRDefault="4BA978DA">
            <w:r w:rsidRPr="4BA978DA">
              <w:rPr>
                <w:color w:val="414856"/>
                <w:sz w:val="24"/>
                <w:szCs w:val="24"/>
              </w:rPr>
              <w:t>d x 0,661</w:t>
            </w:r>
          </w:p>
        </w:tc>
        <w:tc>
          <w:tcPr>
            <w:tcW w:type="dxa" w:w="2490"/>
            <w:tcBorders>
              <w:top w:color="CCCCCC" w:space="0" w:sz="6" w:val="single"/>
              <w:left w:color="CCCCCC" w:space="0" w:sz="6" w:val="single"/>
              <w:bottom w:color="CCCCCC" w:space="0" w:sz="6" w:val="single"/>
            </w:tcBorders>
            <w:shd w:color="auto" w:fill="ECECEC" w:val="clear"/>
          </w:tcPr>
          <w:p w14:paraId="19E6A1C5" w14:textId="55863A4A" w:rsidR="4BA978DA" w:rsidRDefault="4BA978DA">
            <w:r w:rsidRPr="4BA978DA">
              <w:rPr>
                <w:color w:val="414856"/>
                <w:sz w:val="24"/>
                <w:szCs w:val="24"/>
              </w:rPr>
              <w:t>(d x 0,374) + 1 435</w:t>
            </w:r>
          </w:p>
        </w:tc>
        <w:tc>
          <w:tcPr>
            <w:tcW w:type="dxa" w:w="2490"/>
            <w:tcBorders>
              <w:top w:color="CCCCCC" w:space="0" w:sz="6" w:val="single"/>
              <w:left w:color="CCCCCC" w:space="0" w:sz="6" w:val="single"/>
              <w:bottom w:color="CCCCCC" w:space="0" w:sz="6" w:val="single"/>
            </w:tcBorders>
            <w:shd w:color="auto" w:fill="ECECEC" w:val="clear"/>
          </w:tcPr>
          <w:p w14:paraId="67FE2877" w14:textId="267166CA" w:rsidR="4BA978DA" w:rsidRDefault="4BA978DA">
            <w:r w:rsidRPr="4BA978DA">
              <w:rPr>
                <w:color w:val="414856"/>
                <w:sz w:val="24"/>
                <w:szCs w:val="24"/>
              </w:rPr>
              <w:t>d x 0,446</w:t>
            </w:r>
          </w:p>
        </w:tc>
      </w:tr>
    </w:tbl>
    <w:p w14:paraId="4DED5278" w14:textId="28A5CA2F" w:rsidP="792DD702" w:rsidR="4BA978DA" w:rsidRDefault="3A51C33C">
      <w:pPr>
        <w:pStyle w:val="Paragraphedeliste"/>
        <w:widowControl w:val="0"/>
        <w:numPr>
          <w:ilvl w:val="0"/>
          <w:numId w:val="1"/>
        </w:numPr>
        <w:spacing w:before="500" w:line="273" w:lineRule="auto"/>
        <w:ind w:right="38"/>
        <w:jc w:val="both"/>
        <w:rPr>
          <w:color w:val="351C75"/>
          <w:sz w:val="24"/>
          <w:szCs w:val="24"/>
        </w:rPr>
      </w:pPr>
      <w:r w:rsidRPr="792DD702">
        <w:rPr>
          <w:rFonts w:ascii="Calibri" w:cs="Calibri" w:eastAsia="Calibri" w:hAnsi="Calibri"/>
          <w:b/>
          <w:bCs/>
          <w:color w:val="351C75"/>
          <w:sz w:val="24"/>
          <w:szCs w:val="24"/>
        </w:rPr>
        <w:t>Réévaluation de la participation employeur au repas du restaurant inter-entreprises</w:t>
      </w:r>
    </w:p>
    <w:p w14:paraId="0F2CE330" w14:textId="46AFD31D" w:rsidP="792DD702" w:rsidR="48850BA8" w:rsidRDefault="48850BA8">
      <w:pPr>
        <w:widowControl w:val="0"/>
        <w:spacing w:before="5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 xml:space="preserve">La direction </w:t>
      </w:r>
      <w:r w:rsidR="2EB40DAD" w:rsidRPr="792DD702">
        <w:rPr>
          <w:rFonts w:ascii="Calibri" w:cs="Calibri" w:eastAsia="Calibri" w:hAnsi="Calibri"/>
          <w:color w:val="351C75"/>
          <w:sz w:val="24"/>
          <w:szCs w:val="24"/>
        </w:rPr>
        <w:t>propose</w:t>
      </w:r>
      <w:r w:rsidRPr="792DD702">
        <w:rPr>
          <w:rFonts w:ascii="Calibri" w:cs="Calibri" w:eastAsia="Calibri" w:hAnsi="Calibri"/>
          <w:color w:val="351C75"/>
          <w:sz w:val="24"/>
          <w:szCs w:val="24"/>
        </w:rPr>
        <w:t xml:space="preserve"> d’augmenter sa participation aux frais de repas pour chaque passage au RIE de 5,23€ à 5,69€.</w:t>
      </w:r>
    </w:p>
    <w:p w14:paraId="728D4B10" w14:textId="670EE27B" w:rsidP="792DD702" w:rsidR="3A870F4B" w:rsidRDefault="3A870F4B">
      <w:pPr>
        <w:widowControl w:val="0"/>
        <w:spacing w:before="300" w:line="273" w:lineRule="auto"/>
        <w:ind w:right="38"/>
        <w:jc w:val="both"/>
        <w:rPr>
          <w:rFonts w:ascii="Calibri" w:cs="Calibri" w:eastAsia="Calibri" w:hAnsi="Calibri"/>
          <w:color w:val="351C75"/>
          <w:sz w:val="24"/>
          <w:szCs w:val="24"/>
        </w:rPr>
      </w:pPr>
      <w:r w:rsidRPr="792DD702">
        <w:rPr>
          <w:rFonts w:ascii="Calibri" w:cs="Calibri" w:eastAsia="Calibri" w:hAnsi="Calibri"/>
          <w:b/>
          <w:bCs/>
          <w:color w:val="351C75"/>
          <w:sz w:val="24"/>
          <w:szCs w:val="24"/>
        </w:rPr>
        <w:t>Prise d’effet</w:t>
      </w:r>
    </w:p>
    <w:p w14:paraId="0E51ED88" w14:textId="280382C2" w:rsidP="792DD702" w:rsidR="3A870F4B" w:rsidRDefault="3A870F4B">
      <w:pPr>
        <w:widowControl w:val="0"/>
        <w:spacing w:before="300" w:line="273" w:lineRule="auto"/>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lastRenderedPageBreak/>
        <w:t>Les deux engagements ci-dessus prennent effet à la date de signature du présent accord.</w:t>
      </w:r>
    </w:p>
    <w:p w14:paraId="25BED636" w14:textId="2BA0EC39" w:rsidP="792DD702" w:rsidR="792DD702" w:rsidRDefault="792DD702">
      <w:pPr>
        <w:widowControl w:val="0"/>
        <w:spacing w:before="300" w:line="273" w:lineRule="auto"/>
        <w:ind w:right="38"/>
        <w:jc w:val="both"/>
        <w:rPr>
          <w:rFonts w:ascii="Calibri" w:cs="Calibri" w:eastAsia="Calibri" w:hAnsi="Calibri"/>
          <w:b/>
          <w:bCs/>
          <w:i/>
          <w:iCs/>
          <w:color w:val="351C75"/>
          <w:sz w:val="24"/>
          <w:szCs w:val="24"/>
        </w:rPr>
      </w:pPr>
    </w:p>
    <w:p w14:paraId="53E187C5" w14:textId="251A95D8" w:rsidP="792DD702" w:rsidR="792DD702" w:rsidRDefault="792DD702">
      <w:pPr>
        <w:widowControl w:val="0"/>
        <w:spacing w:before="300" w:line="273" w:lineRule="auto"/>
        <w:ind w:right="38"/>
        <w:jc w:val="both"/>
        <w:rPr>
          <w:rFonts w:ascii="Calibri" w:cs="Calibri" w:eastAsia="Calibri" w:hAnsi="Calibri"/>
          <w:b/>
          <w:bCs/>
          <w:i/>
          <w:iCs/>
          <w:color w:val="351C75"/>
          <w:sz w:val="24"/>
          <w:szCs w:val="24"/>
        </w:rPr>
      </w:pPr>
    </w:p>
    <w:p w14:paraId="00000038" w14:textId="4250C9D1" w:rsidP="4BA978DA" w:rsidR="007349CE" w:rsidRDefault="001B3F39">
      <w:pPr>
        <w:widowControl w:val="0"/>
        <w:pBdr>
          <w:top w:val="nil"/>
          <w:left w:val="nil"/>
          <w:bottom w:val="nil"/>
          <w:right w:val="nil"/>
          <w:between w:val="nil"/>
        </w:pBdr>
        <w:spacing w:before="300" w:line="273" w:lineRule="auto"/>
        <w:ind w:right="38"/>
        <w:jc w:val="both"/>
        <w:rPr>
          <w:rFonts w:ascii="Calibri" w:cs="Calibri" w:eastAsia="Calibri" w:hAnsi="Calibri"/>
          <w:b/>
          <w:bCs/>
          <w:color w:val="351C75"/>
          <w:sz w:val="24"/>
          <w:szCs w:val="24"/>
        </w:rPr>
      </w:pPr>
      <w:r w:rsidRPr="4BA978DA">
        <w:rPr>
          <w:rFonts w:ascii="Calibri" w:cs="Calibri" w:eastAsia="Calibri" w:hAnsi="Calibri"/>
          <w:b/>
          <w:bCs/>
          <w:i/>
          <w:iCs/>
          <w:color w:val="351C75"/>
          <w:sz w:val="24"/>
          <w:szCs w:val="24"/>
        </w:rPr>
        <w:t xml:space="preserve">Formalités de dépôt </w:t>
      </w:r>
    </w:p>
    <w:p w14:paraId="670ACE4A" w14:textId="5BB04BC3" w:rsidP="4BA978DA" w:rsidR="4BA978DA" w:rsidRDefault="4BA978DA">
      <w:pPr>
        <w:widowControl w:val="0"/>
        <w:spacing w:line="273" w:lineRule="auto"/>
        <w:ind w:right="38"/>
        <w:jc w:val="both"/>
        <w:rPr>
          <w:rFonts w:ascii="Calibri" w:cs="Calibri" w:eastAsia="Calibri" w:hAnsi="Calibri"/>
          <w:color w:val="351C75"/>
          <w:sz w:val="24"/>
          <w:szCs w:val="24"/>
        </w:rPr>
      </w:pPr>
    </w:p>
    <w:p w14:paraId="0000003A" w14:textId="66D8E310" w:rsidP="4BA978DA" w:rsidR="007349CE" w:rsidRDefault="001B3F39">
      <w:pPr>
        <w:widowControl w:val="0"/>
        <w:pBdr>
          <w:top w:val="nil"/>
          <w:left w:val="nil"/>
          <w:bottom w:val="nil"/>
          <w:right w:val="nil"/>
          <w:between w:val="nil"/>
        </w:pBdr>
        <w:spacing w:line="273" w:lineRule="auto"/>
        <w:ind w:right="38"/>
        <w:jc w:val="both"/>
        <w:rPr>
          <w:rFonts w:ascii="Calibri" w:cs="Calibri" w:eastAsia="Calibri" w:hAnsi="Calibri"/>
          <w:color w:val="351C75"/>
          <w:sz w:val="24"/>
          <w:szCs w:val="24"/>
        </w:rPr>
      </w:pPr>
      <w:r w:rsidRPr="4BA978DA">
        <w:rPr>
          <w:rFonts w:ascii="Calibri" w:cs="Calibri" w:eastAsia="Calibri" w:hAnsi="Calibri"/>
          <w:color w:val="351C75"/>
          <w:sz w:val="24"/>
          <w:szCs w:val="24"/>
        </w:rPr>
        <w:t>Le présent accord fera l'objet des formalités légales de dépôt et de publicité ; il sera adressé par mail à ONPC@syntec.fr, pour enregistrement et conservation par l'Observatoire Paritaire de la Négociation Collective SYNTEC, dont relève l'UES NIELSEN.</w:t>
      </w:r>
    </w:p>
    <w:p w14:paraId="0000003B" w14:textId="77777777" w:rsidR="007349CE" w:rsidRDefault="007349CE">
      <w:pPr>
        <w:widowControl w:val="0"/>
        <w:pBdr>
          <w:top w:val="nil"/>
          <w:left w:val="nil"/>
          <w:bottom w:val="nil"/>
          <w:right w:val="nil"/>
          <w:between w:val="nil"/>
        </w:pBdr>
        <w:ind w:right="38"/>
        <w:jc w:val="both"/>
        <w:rPr>
          <w:rFonts w:ascii="Calibri" w:cs="Calibri" w:eastAsia="Calibri" w:hAnsi="Calibri"/>
          <w:color w:val="351C75"/>
          <w:sz w:val="24"/>
          <w:szCs w:val="24"/>
        </w:rPr>
      </w:pPr>
    </w:p>
    <w:p w14:paraId="0000003C" w14:textId="27B18860" w:rsidR="007349CE" w:rsidRDefault="001B3F39">
      <w:pPr>
        <w:widowControl w:val="0"/>
        <w:pBdr>
          <w:top w:val="nil"/>
          <w:left w:val="nil"/>
          <w:bottom w:val="nil"/>
          <w:right w:val="nil"/>
          <w:between w:val="nil"/>
        </w:pBdr>
        <w:ind w:right="38"/>
        <w:jc w:val="both"/>
        <w:rPr>
          <w:rFonts w:ascii="Calibri" w:cs="Calibri" w:eastAsia="Calibri" w:hAnsi="Calibri"/>
          <w:color w:val="351C75"/>
          <w:sz w:val="24"/>
          <w:szCs w:val="24"/>
        </w:rPr>
      </w:pPr>
      <w:r w:rsidRPr="792DD702">
        <w:rPr>
          <w:rFonts w:ascii="Calibri" w:cs="Calibri" w:eastAsia="Calibri" w:hAnsi="Calibri"/>
          <w:color w:val="351C75"/>
          <w:sz w:val="24"/>
          <w:szCs w:val="24"/>
        </w:rPr>
        <w:t xml:space="preserve">A Bezons, le </w:t>
      </w:r>
      <w:r w:rsidR="27D77E41" w:rsidRPr="792DD702">
        <w:rPr>
          <w:rFonts w:ascii="Calibri" w:cs="Calibri" w:eastAsia="Calibri" w:hAnsi="Calibri"/>
          <w:color w:val="351C75"/>
          <w:sz w:val="24"/>
          <w:szCs w:val="24"/>
        </w:rPr>
        <w:t>4 octobre</w:t>
      </w:r>
      <w:r w:rsidRPr="792DD702">
        <w:rPr>
          <w:rFonts w:ascii="Calibri" w:cs="Calibri" w:eastAsia="Calibri" w:hAnsi="Calibri"/>
          <w:color w:val="351C75"/>
          <w:sz w:val="24"/>
          <w:szCs w:val="24"/>
        </w:rPr>
        <w:t xml:space="preserve"> 2022,</w:t>
      </w:r>
    </w:p>
    <w:p w14:paraId="0000003D" w14:textId="77777777" w:rsidR="007349CE" w:rsidRDefault="007349CE">
      <w:pPr>
        <w:widowControl w:val="0"/>
        <w:pBdr>
          <w:top w:val="nil"/>
          <w:left w:val="nil"/>
          <w:bottom w:val="nil"/>
          <w:right w:val="nil"/>
          <w:between w:val="nil"/>
        </w:pBdr>
        <w:ind w:right="38"/>
        <w:jc w:val="both"/>
        <w:rPr>
          <w:rFonts w:ascii="Calibri" w:cs="Calibri" w:eastAsia="Calibri" w:hAnsi="Calibri"/>
          <w:color w:val="351C75"/>
          <w:sz w:val="24"/>
          <w:szCs w:val="24"/>
        </w:rPr>
      </w:pPr>
      <w:bookmarkStart w:id="0" w:name="_GoBack"/>
      <w:bookmarkEnd w:id="0"/>
    </w:p>
    <w:sectPr w:rsidR="007349CE">
      <w:headerReference r:id="rId7" w:type="default"/>
      <w:footerReference r:id="rId8" w:type="default"/>
      <w:headerReference r:id="rId9" w:type="first"/>
      <w:footerReference r:id="rId10" w:type="first"/>
      <w:pgSz w:h="15840" w:w="12240"/>
      <w:pgMar w:bottom="566" w:footer="720" w:gutter="0" w:header="0" w:left="1133" w:right="1133" w:top="566"/>
      <w:pgNumType w:start="1"/>
      <w:cols w:space="72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B7E9B" w14:textId="77777777" w:rsidR="001B3F39" w:rsidRDefault="001B3F39">
      <w:pPr>
        <w:spacing w:line="240" w:lineRule="auto"/>
      </w:pPr>
      <w:r>
        <w:separator/>
      </w:r>
    </w:p>
  </w:endnote>
  <w:endnote w:type="continuationSeparator" w:id="0">
    <w:p w14:paraId="49179653" w14:textId="77777777" w:rsidR="001B3F39" w:rsidRDefault="001B3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0000043" w14:textId="773E3DBB" w:rsidP="083E665C" w:rsidR="007349CE" w:rsidRDefault="083E665C">
    <w:pPr>
      <w:widowControl w:val="0"/>
      <w:ind w:right="38"/>
      <w:jc w:val="right"/>
      <w:rPr>
        <w:color w:val="010100"/>
        <w:sz w:val="8"/>
        <w:szCs w:val="8"/>
      </w:rPr>
    </w:pPr>
    <w:r>
      <w:rPr>
        <w:noProof/>
      </w:rPr>
      <w:drawing>
        <wp:inline distB="0" distL="0" distR="0" distT="0" wp14:anchorId="1A40DA64" wp14:editId="0755D6AD">
          <wp:extent cx="342900" cy="295927"/>
          <wp:effectExtent b="0" l="0" r="0" t="0"/>
          <wp:docPr id="1451816285" name="Image 1451816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42900" cy="295927"/>
                  </a:xfrm>
                  <a:prstGeom prst="rect">
                    <a:avLst/>
                  </a:prstGeom>
                </pic:spPr>
              </pic:pic>
            </a:graphicData>
          </a:graphic>
        </wp:inline>
      </w:drawing>
    </w:r>
    <w:r w:rsidR="001B3F39" w:rsidRPr="083E665C">
      <w:rPr>
        <w:noProof/>
        <w:color w:val="010100"/>
        <w:sz w:val="8"/>
        <w:szCs w:val="8"/>
      </w:rPr>
      <w:fldChar w:fldCharType="begin"/>
    </w:r>
    <w:r w:rsidR="001B3F39" w:rsidRPr="083E665C">
      <w:rPr>
        <w:color w:val="010100"/>
        <w:sz w:val="8"/>
        <w:szCs w:val="8"/>
      </w:rPr>
      <w:instrText>PAGE</w:instrText>
    </w:r>
    <w:r w:rsidR="001B3F39" w:rsidRPr="083E665C">
      <w:rPr>
        <w:color w:val="010100"/>
        <w:sz w:val="8"/>
        <w:szCs w:val="8"/>
      </w:rPr>
      <w:fldChar w:fldCharType="separate"/>
    </w:r>
    <w:r w:rsidR="00885B74">
      <w:rPr>
        <w:noProof/>
        <w:color w:val="010100"/>
        <w:sz w:val="8"/>
        <w:szCs w:val="8"/>
      </w:rPr>
      <w:t>3</w:t>
    </w:r>
    <w:r w:rsidR="001B3F39" w:rsidRPr="083E665C">
      <w:rPr>
        <w:noProof/>
        <w:color w:val="010100"/>
        <w:sz w:val="8"/>
        <w:szCs w:val="8"/>
      </w:rPr>
      <w:fldChar w:fldCharType="end"/>
    </w:r>
    <w:r w:rsidRPr="083E665C">
      <w:rPr>
        <w:color w:val="010100"/>
        <w:sz w:val="8"/>
        <w:szCs w:val="8"/>
      </w:rPr>
      <w:t xml:space="preserve"> / 3</w:t>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0000044" w14:textId="77777777" w:rsidR="007349CE" w:rsidRDefault="001B3F39">
    <w:pPr>
      <w:widowControl w:val="0"/>
      <w:ind w:right="38"/>
    </w:pPr>
    <w:r>
      <w:rPr>
        <w:color w:val="010100"/>
        <w:sz w:val="8"/>
        <w:szCs w:val="8"/>
      </w:rPr>
      <w:t>NAO2019accord20190522</w:t>
    </w:r>
    <w:r>
      <w:rPr>
        <w:color w:val="010100"/>
        <w:sz w:val="8"/>
        <w:szCs w:val="8"/>
      </w:rPr>
      <w:tab/>
    </w:r>
    <w:r>
      <w:rPr>
        <w:color w:val="010100"/>
        <w:sz w:val="8"/>
        <w:szCs w:val="8"/>
      </w:rPr>
      <w:tab/>
    </w:r>
    <w:r>
      <w:rPr>
        <w:color w:val="010100"/>
        <w:sz w:val="8"/>
        <w:szCs w:val="8"/>
      </w:rPr>
      <w:tab/>
    </w:r>
    <w:r>
      <w:rPr>
        <w:color w:val="010100"/>
        <w:sz w:val="8"/>
        <w:szCs w:val="8"/>
      </w:rPr>
      <w:tab/>
    </w:r>
    <w:r>
      <w:rPr>
        <w:color w:val="010100"/>
        <w:sz w:val="8"/>
        <w:szCs w:val="8"/>
      </w:rPr>
      <w:tab/>
    </w:r>
    <w:r>
      <w:rPr>
        <w:color w:val="010100"/>
        <w:sz w:val="8"/>
        <w:szCs w:val="8"/>
      </w:rPr>
      <w:tab/>
    </w:r>
    <w:r>
      <w:rPr>
        <w:color w:val="010100"/>
        <w:sz w:val="8"/>
        <w:szCs w:val="8"/>
      </w:rPr>
      <w:tab/>
    </w:r>
    <w:r>
      <w:rPr>
        <w:color w:val="010100"/>
        <w:sz w:val="8"/>
        <w:szCs w:val="8"/>
      </w:rPr>
      <w:tab/>
    </w:r>
    <w:r>
      <w:rPr>
        <w:sz w:val="8"/>
        <w:szCs w:val="8"/>
      </w:rPr>
      <w:t xml:space="preserve">Page </w:t>
    </w:r>
    <w:r>
      <w:fldChar w:fldCharType="begin"/>
    </w:r>
    <w:r>
      <w:instrText>PAGE</w:instrText>
    </w:r>
    <w:r>
      <w:fldChar w:fldCharType="end"/>
    </w:r>
    <w:r>
      <w:t xml:space="preserve"> / 6</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146860B" w14:textId="77777777" w:rsidR="001B3F39" w:rsidRDefault="001B3F39">
      <w:pPr>
        <w:spacing w:line="240" w:lineRule="auto"/>
      </w:pPr>
      <w:r>
        <w:separator/>
      </w:r>
    </w:p>
  </w:footnote>
  <w:footnote w:id="0" w:type="continuationSeparator">
    <w:p w14:paraId="4D0EF0A9" w14:textId="77777777" w:rsidR="001B3F39" w:rsidRDefault="001B3F39">
      <w:pPr>
        <w:spacing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0000042" w14:textId="77777777" w:rsidR="007349CE" w:rsidRDefault="007349CE"/>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0000045" w14:textId="77777777" w:rsidR="007349CE" w:rsidRDefault="007349CE"/>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1961C1"/>
    <w:multiLevelType w:val="hybridMultilevel"/>
    <w:tmpl w:val="01F22078"/>
    <w:lvl w:ilvl="0" w:tplc="98C404DA">
      <w:start w:val="1"/>
      <w:numFmt w:val="bullet"/>
      <w:lvlText w:val="●"/>
      <w:lvlJc w:val="left"/>
      <w:pPr>
        <w:ind w:hanging="360" w:left="720"/>
      </w:pPr>
      <w:rPr>
        <w:rFonts w:ascii="Noto Sans Symbols" w:hAnsi="Noto Sans Symbols" w:hint="default"/>
      </w:rPr>
    </w:lvl>
    <w:lvl w:ilvl="1" w:tplc="8B42E1BE">
      <w:start w:val="1"/>
      <w:numFmt w:val="bullet"/>
      <w:lvlText w:val="o"/>
      <w:lvlJc w:val="left"/>
      <w:pPr>
        <w:ind w:hanging="360" w:left="1440"/>
      </w:pPr>
      <w:rPr>
        <w:rFonts w:ascii="Courier New" w:hAnsi="Courier New" w:hint="default"/>
      </w:rPr>
    </w:lvl>
    <w:lvl w:ilvl="2" w:tplc="BB0683C0">
      <w:start w:val="1"/>
      <w:numFmt w:val="bullet"/>
      <w:lvlText w:val="▪"/>
      <w:lvlJc w:val="left"/>
      <w:pPr>
        <w:ind w:hanging="360" w:left="2160"/>
      </w:pPr>
      <w:rPr>
        <w:rFonts w:ascii="Noto Sans Symbols" w:hAnsi="Noto Sans Symbols" w:hint="default"/>
      </w:rPr>
    </w:lvl>
    <w:lvl w:ilvl="3" w:tplc="DBD046DE">
      <w:start w:val="1"/>
      <w:numFmt w:val="bullet"/>
      <w:lvlText w:val="●"/>
      <w:lvlJc w:val="left"/>
      <w:pPr>
        <w:ind w:hanging="360" w:left="2880"/>
      </w:pPr>
      <w:rPr>
        <w:rFonts w:ascii="Noto Sans Symbols" w:hAnsi="Noto Sans Symbols" w:hint="default"/>
      </w:rPr>
    </w:lvl>
    <w:lvl w:ilvl="4" w:tplc="46FC9684">
      <w:start w:val="1"/>
      <w:numFmt w:val="bullet"/>
      <w:lvlText w:val="o"/>
      <w:lvlJc w:val="left"/>
      <w:pPr>
        <w:ind w:hanging="360" w:left="3600"/>
      </w:pPr>
      <w:rPr>
        <w:rFonts w:ascii="Courier New" w:hAnsi="Courier New" w:hint="default"/>
      </w:rPr>
    </w:lvl>
    <w:lvl w:ilvl="5" w:tplc="BD7EFBEE">
      <w:start w:val="1"/>
      <w:numFmt w:val="bullet"/>
      <w:lvlText w:val="▪"/>
      <w:lvlJc w:val="left"/>
      <w:pPr>
        <w:ind w:hanging="360" w:left="4320"/>
      </w:pPr>
      <w:rPr>
        <w:rFonts w:ascii="Noto Sans Symbols" w:hAnsi="Noto Sans Symbols" w:hint="default"/>
      </w:rPr>
    </w:lvl>
    <w:lvl w:ilvl="6" w:tplc="76F060BA">
      <w:start w:val="1"/>
      <w:numFmt w:val="bullet"/>
      <w:lvlText w:val="●"/>
      <w:lvlJc w:val="left"/>
      <w:pPr>
        <w:ind w:hanging="360" w:left="5040"/>
      </w:pPr>
      <w:rPr>
        <w:rFonts w:ascii="Noto Sans Symbols" w:hAnsi="Noto Sans Symbols" w:hint="default"/>
      </w:rPr>
    </w:lvl>
    <w:lvl w:ilvl="7" w:tplc="47D88832">
      <w:start w:val="1"/>
      <w:numFmt w:val="bullet"/>
      <w:lvlText w:val="o"/>
      <w:lvlJc w:val="left"/>
      <w:pPr>
        <w:ind w:hanging="360" w:left="5760"/>
      </w:pPr>
      <w:rPr>
        <w:rFonts w:ascii="Courier New" w:hAnsi="Courier New" w:hint="default"/>
      </w:rPr>
    </w:lvl>
    <w:lvl w:ilvl="8" w:tplc="46DCC0C4">
      <w:start w:val="1"/>
      <w:numFmt w:val="bullet"/>
      <w:lvlText w:val="▪"/>
      <w:lvlJc w:val="left"/>
      <w:pPr>
        <w:ind w:hanging="360" w:left="6480"/>
      </w:pPr>
      <w:rPr>
        <w:rFonts w:ascii="Noto Sans Symbols" w:hAnsi="Noto Sans Symbols" w:hint="default"/>
      </w:rPr>
    </w:lvl>
  </w:abstractNum>
  <w:abstractNum w15:restartNumberingAfterBreak="0" w:abstractNumId="1">
    <w:nsid w:val="1EB3226F"/>
    <w:multiLevelType w:val="hybridMultilevel"/>
    <w:tmpl w:val="2786CBE8"/>
    <w:lvl w:ilvl="0" w:tplc="1ABE2E94">
      <w:start w:val="1"/>
      <w:numFmt w:val="bullet"/>
      <w:lvlText w:val="●"/>
      <w:lvlJc w:val="left"/>
      <w:pPr>
        <w:ind w:hanging="360" w:left="720"/>
      </w:pPr>
      <w:rPr>
        <w:rFonts w:ascii="Noto Sans Symbols" w:hAnsi="Noto Sans Symbols" w:hint="default"/>
      </w:rPr>
    </w:lvl>
    <w:lvl w:ilvl="1" w:tplc="29B6AB6E">
      <w:start w:val="1"/>
      <w:numFmt w:val="bullet"/>
      <w:lvlText w:val="o"/>
      <w:lvlJc w:val="left"/>
      <w:pPr>
        <w:ind w:hanging="360" w:left="1440"/>
      </w:pPr>
      <w:rPr>
        <w:rFonts w:ascii="Courier New" w:hAnsi="Courier New" w:hint="default"/>
      </w:rPr>
    </w:lvl>
    <w:lvl w:ilvl="2" w:tplc="4DB6D19A">
      <w:start w:val="1"/>
      <w:numFmt w:val="bullet"/>
      <w:lvlText w:val=""/>
      <w:lvlJc w:val="left"/>
      <w:pPr>
        <w:ind w:hanging="360" w:left="2160"/>
      </w:pPr>
      <w:rPr>
        <w:rFonts w:ascii="Wingdings" w:hAnsi="Wingdings" w:hint="default"/>
      </w:rPr>
    </w:lvl>
    <w:lvl w:ilvl="3" w:tplc="860295DA">
      <w:start w:val="1"/>
      <w:numFmt w:val="bullet"/>
      <w:lvlText w:val=""/>
      <w:lvlJc w:val="left"/>
      <w:pPr>
        <w:ind w:hanging="360" w:left="2880"/>
      </w:pPr>
      <w:rPr>
        <w:rFonts w:ascii="Symbol" w:hAnsi="Symbol" w:hint="default"/>
      </w:rPr>
    </w:lvl>
    <w:lvl w:ilvl="4" w:tplc="5EC8930A">
      <w:start w:val="1"/>
      <w:numFmt w:val="bullet"/>
      <w:lvlText w:val="o"/>
      <w:lvlJc w:val="left"/>
      <w:pPr>
        <w:ind w:hanging="360" w:left="3600"/>
      </w:pPr>
      <w:rPr>
        <w:rFonts w:ascii="Courier New" w:hAnsi="Courier New" w:hint="default"/>
      </w:rPr>
    </w:lvl>
    <w:lvl w:ilvl="5" w:tplc="735C0BEA">
      <w:start w:val="1"/>
      <w:numFmt w:val="bullet"/>
      <w:lvlText w:val=""/>
      <w:lvlJc w:val="left"/>
      <w:pPr>
        <w:ind w:hanging="360" w:left="4320"/>
      </w:pPr>
      <w:rPr>
        <w:rFonts w:ascii="Wingdings" w:hAnsi="Wingdings" w:hint="default"/>
      </w:rPr>
    </w:lvl>
    <w:lvl w:ilvl="6" w:tplc="56AA19F8">
      <w:start w:val="1"/>
      <w:numFmt w:val="bullet"/>
      <w:lvlText w:val=""/>
      <w:lvlJc w:val="left"/>
      <w:pPr>
        <w:ind w:hanging="360" w:left="5040"/>
      </w:pPr>
      <w:rPr>
        <w:rFonts w:ascii="Symbol" w:hAnsi="Symbol" w:hint="default"/>
      </w:rPr>
    </w:lvl>
    <w:lvl w:ilvl="7" w:tplc="C0DE9FB4">
      <w:start w:val="1"/>
      <w:numFmt w:val="bullet"/>
      <w:lvlText w:val="o"/>
      <w:lvlJc w:val="left"/>
      <w:pPr>
        <w:ind w:hanging="360" w:left="5760"/>
      </w:pPr>
      <w:rPr>
        <w:rFonts w:ascii="Courier New" w:hAnsi="Courier New" w:hint="default"/>
      </w:rPr>
    </w:lvl>
    <w:lvl w:ilvl="8" w:tplc="33CA4BF0">
      <w:start w:val="1"/>
      <w:numFmt w:val="bullet"/>
      <w:lvlText w:val=""/>
      <w:lvlJc w:val="left"/>
      <w:pPr>
        <w:ind w:hanging="360" w:left="6480"/>
      </w:pPr>
      <w:rPr>
        <w:rFonts w:ascii="Wingdings" w:hAnsi="Wingdings" w:hint="default"/>
      </w:rPr>
    </w:lvl>
  </w:abstractNum>
  <w:abstractNum w15:restartNumberingAfterBreak="0" w:abstractNumId="2">
    <w:nsid w:val="363E620B"/>
    <w:multiLevelType w:val="hybridMultilevel"/>
    <w:tmpl w:val="144CF29E"/>
    <w:lvl w:ilvl="0" w:tplc="53626022">
      <w:start w:val="1"/>
      <w:numFmt w:val="bullet"/>
      <w:lvlText w:val="-"/>
      <w:lvlJc w:val="left"/>
      <w:pPr>
        <w:ind w:hanging="360" w:left="720"/>
      </w:pPr>
      <w:rPr>
        <w:rFonts w:ascii="Calibri" w:hAnsi="Calibri" w:hint="default"/>
      </w:rPr>
    </w:lvl>
    <w:lvl w:ilvl="1" w:tplc="8CC251A4">
      <w:start w:val="1"/>
      <w:numFmt w:val="bullet"/>
      <w:lvlText w:val="o"/>
      <w:lvlJc w:val="left"/>
      <w:pPr>
        <w:ind w:hanging="360" w:left="1440"/>
      </w:pPr>
      <w:rPr>
        <w:rFonts w:ascii="Courier New" w:hAnsi="Courier New" w:hint="default"/>
      </w:rPr>
    </w:lvl>
    <w:lvl w:ilvl="2" w:tplc="6F0A333C">
      <w:start w:val="1"/>
      <w:numFmt w:val="bullet"/>
      <w:lvlText w:val=""/>
      <w:lvlJc w:val="left"/>
      <w:pPr>
        <w:ind w:hanging="360" w:left="2160"/>
      </w:pPr>
      <w:rPr>
        <w:rFonts w:ascii="Wingdings" w:hAnsi="Wingdings" w:hint="default"/>
      </w:rPr>
    </w:lvl>
    <w:lvl w:ilvl="3" w:tplc="F0B61E5A">
      <w:start w:val="1"/>
      <w:numFmt w:val="bullet"/>
      <w:lvlText w:val=""/>
      <w:lvlJc w:val="left"/>
      <w:pPr>
        <w:ind w:hanging="360" w:left="2880"/>
      </w:pPr>
      <w:rPr>
        <w:rFonts w:ascii="Symbol" w:hAnsi="Symbol" w:hint="default"/>
      </w:rPr>
    </w:lvl>
    <w:lvl w:ilvl="4" w:tplc="C046B94C">
      <w:start w:val="1"/>
      <w:numFmt w:val="bullet"/>
      <w:lvlText w:val="o"/>
      <w:lvlJc w:val="left"/>
      <w:pPr>
        <w:ind w:hanging="360" w:left="3600"/>
      </w:pPr>
      <w:rPr>
        <w:rFonts w:ascii="Courier New" w:hAnsi="Courier New" w:hint="default"/>
      </w:rPr>
    </w:lvl>
    <w:lvl w:ilvl="5" w:tplc="3570691E">
      <w:start w:val="1"/>
      <w:numFmt w:val="bullet"/>
      <w:lvlText w:val=""/>
      <w:lvlJc w:val="left"/>
      <w:pPr>
        <w:ind w:hanging="360" w:left="4320"/>
      </w:pPr>
      <w:rPr>
        <w:rFonts w:ascii="Wingdings" w:hAnsi="Wingdings" w:hint="default"/>
      </w:rPr>
    </w:lvl>
    <w:lvl w:ilvl="6" w:tplc="2C24B3EE">
      <w:start w:val="1"/>
      <w:numFmt w:val="bullet"/>
      <w:lvlText w:val=""/>
      <w:lvlJc w:val="left"/>
      <w:pPr>
        <w:ind w:hanging="360" w:left="5040"/>
      </w:pPr>
      <w:rPr>
        <w:rFonts w:ascii="Symbol" w:hAnsi="Symbol" w:hint="default"/>
      </w:rPr>
    </w:lvl>
    <w:lvl w:ilvl="7" w:tplc="3C0C1564">
      <w:start w:val="1"/>
      <w:numFmt w:val="bullet"/>
      <w:lvlText w:val="o"/>
      <w:lvlJc w:val="left"/>
      <w:pPr>
        <w:ind w:hanging="360" w:left="5760"/>
      </w:pPr>
      <w:rPr>
        <w:rFonts w:ascii="Courier New" w:hAnsi="Courier New" w:hint="default"/>
      </w:rPr>
    </w:lvl>
    <w:lvl w:ilvl="8" w:tplc="DB644778">
      <w:start w:val="1"/>
      <w:numFmt w:val="bullet"/>
      <w:lvlText w:val=""/>
      <w:lvlJc w:val="left"/>
      <w:pPr>
        <w:ind w:hanging="360" w:left="6480"/>
      </w:pPr>
      <w:rPr>
        <w:rFonts w:ascii="Wingdings" w:hAnsi="Wingdings" w:hint="default"/>
      </w:rPr>
    </w:lvl>
  </w:abstractNum>
  <w:abstractNum w15:restartNumberingAfterBreak="0" w:abstractNumId="3">
    <w:nsid w:val="3DFD9151"/>
    <w:multiLevelType w:val="hybridMultilevel"/>
    <w:tmpl w:val="E16ED8C6"/>
    <w:lvl w:ilvl="0" w:tplc="D11837E6">
      <w:start w:val="1"/>
      <w:numFmt w:val="bullet"/>
      <w:lvlText w:val="-"/>
      <w:lvlJc w:val="left"/>
      <w:pPr>
        <w:ind w:hanging="360" w:left="720"/>
      </w:pPr>
      <w:rPr>
        <w:rFonts w:ascii="Calibri" w:hAnsi="Calibri" w:hint="default"/>
      </w:rPr>
    </w:lvl>
    <w:lvl w:ilvl="1" w:tplc="DAC44BDC">
      <w:start w:val="1"/>
      <w:numFmt w:val="bullet"/>
      <w:lvlText w:val="o"/>
      <w:lvlJc w:val="left"/>
      <w:pPr>
        <w:ind w:hanging="360" w:left="1440"/>
      </w:pPr>
      <w:rPr>
        <w:rFonts w:ascii="Courier New" w:hAnsi="Courier New" w:hint="default"/>
      </w:rPr>
    </w:lvl>
    <w:lvl w:ilvl="2" w:tplc="CAC2340C">
      <w:start w:val="1"/>
      <w:numFmt w:val="bullet"/>
      <w:lvlText w:val=""/>
      <w:lvlJc w:val="left"/>
      <w:pPr>
        <w:ind w:hanging="360" w:left="2160"/>
      </w:pPr>
      <w:rPr>
        <w:rFonts w:ascii="Wingdings" w:hAnsi="Wingdings" w:hint="default"/>
      </w:rPr>
    </w:lvl>
    <w:lvl w:ilvl="3" w:tplc="2230109C">
      <w:start w:val="1"/>
      <w:numFmt w:val="bullet"/>
      <w:lvlText w:val=""/>
      <w:lvlJc w:val="left"/>
      <w:pPr>
        <w:ind w:hanging="360" w:left="2880"/>
      </w:pPr>
      <w:rPr>
        <w:rFonts w:ascii="Symbol" w:hAnsi="Symbol" w:hint="default"/>
      </w:rPr>
    </w:lvl>
    <w:lvl w:ilvl="4" w:tplc="6E702F9E">
      <w:start w:val="1"/>
      <w:numFmt w:val="bullet"/>
      <w:lvlText w:val="o"/>
      <w:lvlJc w:val="left"/>
      <w:pPr>
        <w:ind w:hanging="360" w:left="3600"/>
      </w:pPr>
      <w:rPr>
        <w:rFonts w:ascii="Courier New" w:hAnsi="Courier New" w:hint="default"/>
      </w:rPr>
    </w:lvl>
    <w:lvl w:ilvl="5" w:tplc="1070DB08">
      <w:start w:val="1"/>
      <w:numFmt w:val="bullet"/>
      <w:lvlText w:val=""/>
      <w:lvlJc w:val="left"/>
      <w:pPr>
        <w:ind w:hanging="360" w:left="4320"/>
      </w:pPr>
      <w:rPr>
        <w:rFonts w:ascii="Wingdings" w:hAnsi="Wingdings" w:hint="default"/>
      </w:rPr>
    </w:lvl>
    <w:lvl w:ilvl="6" w:tplc="4740D74C">
      <w:start w:val="1"/>
      <w:numFmt w:val="bullet"/>
      <w:lvlText w:val=""/>
      <w:lvlJc w:val="left"/>
      <w:pPr>
        <w:ind w:hanging="360" w:left="5040"/>
      </w:pPr>
      <w:rPr>
        <w:rFonts w:ascii="Symbol" w:hAnsi="Symbol" w:hint="default"/>
      </w:rPr>
    </w:lvl>
    <w:lvl w:ilvl="7" w:tplc="0EFAE85A">
      <w:start w:val="1"/>
      <w:numFmt w:val="bullet"/>
      <w:lvlText w:val="o"/>
      <w:lvlJc w:val="left"/>
      <w:pPr>
        <w:ind w:hanging="360" w:left="5760"/>
      </w:pPr>
      <w:rPr>
        <w:rFonts w:ascii="Courier New" w:hAnsi="Courier New" w:hint="default"/>
      </w:rPr>
    </w:lvl>
    <w:lvl w:ilvl="8" w:tplc="6D8E531E">
      <w:start w:val="1"/>
      <w:numFmt w:val="bullet"/>
      <w:lvlText w:val=""/>
      <w:lvlJc w:val="left"/>
      <w:pPr>
        <w:ind w:hanging="360" w:left="6480"/>
      </w:pPr>
      <w:rPr>
        <w:rFonts w:ascii="Wingdings" w:hAnsi="Wingdings" w:hint="default"/>
      </w:rPr>
    </w:lvl>
  </w:abstractNum>
  <w:abstractNum w15:restartNumberingAfterBreak="0" w:abstractNumId="4">
    <w:nsid w:val="6AAB6382"/>
    <w:multiLevelType w:val="multilevel"/>
    <w:tmpl w:val="785E4108"/>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CE"/>
    <w:rsid w:val="001B3F39"/>
    <w:rsid w:val="002112BC"/>
    <w:rsid w:val="007349CE"/>
    <w:rsid w:val="00885B74"/>
    <w:rsid w:val="00CC4633"/>
    <w:rsid w:val="01D42FBF"/>
    <w:rsid w:val="02753B0E"/>
    <w:rsid w:val="0324857C"/>
    <w:rsid w:val="03700020"/>
    <w:rsid w:val="0755D6AD"/>
    <w:rsid w:val="083E665C"/>
    <w:rsid w:val="0866DA0D"/>
    <w:rsid w:val="08885E34"/>
    <w:rsid w:val="0D6A0B4A"/>
    <w:rsid w:val="0D7FED32"/>
    <w:rsid w:val="0DD67110"/>
    <w:rsid w:val="0FC62AD5"/>
    <w:rsid w:val="108DD6E7"/>
    <w:rsid w:val="12385BF5"/>
    <w:rsid w:val="1460BE80"/>
    <w:rsid w:val="15185FA4"/>
    <w:rsid w:val="1710ED90"/>
    <w:rsid w:val="175C47FA"/>
    <w:rsid w:val="1861BF85"/>
    <w:rsid w:val="18B43303"/>
    <w:rsid w:val="18F8185B"/>
    <w:rsid w:val="192003B3"/>
    <w:rsid w:val="19342FA3"/>
    <w:rsid w:val="1AE517E0"/>
    <w:rsid w:val="1CDFB411"/>
    <w:rsid w:val="1ECE78DF"/>
    <w:rsid w:val="1F23ECFB"/>
    <w:rsid w:val="1F74023B"/>
    <w:rsid w:val="20BFBD5C"/>
    <w:rsid w:val="2118BB35"/>
    <w:rsid w:val="220619A1"/>
    <w:rsid w:val="237D02F0"/>
    <w:rsid w:val="252148A4"/>
    <w:rsid w:val="272EFEE0"/>
    <w:rsid w:val="27D77E41"/>
    <w:rsid w:val="28178DD8"/>
    <w:rsid w:val="2A669FA2"/>
    <w:rsid w:val="2AF851C1"/>
    <w:rsid w:val="2B03ACE6"/>
    <w:rsid w:val="2BA6556A"/>
    <w:rsid w:val="2E39B8DB"/>
    <w:rsid w:val="2E3C8F3B"/>
    <w:rsid w:val="2EB40DAD"/>
    <w:rsid w:val="2F6BC31B"/>
    <w:rsid w:val="2FA968E1"/>
    <w:rsid w:val="2FB097B1"/>
    <w:rsid w:val="31E48544"/>
    <w:rsid w:val="32E83873"/>
    <w:rsid w:val="348408D4"/>
    <w:rsid w:val="34FD5258"/>
    <w:rsid w:val="3556B5E4"/>
    <w:rsid w:val="3A51C33C"/>
    <w:rsid w:val="3A870F4B"/>
    <w:rsid w:val="3CF32E63"/>
    <w:rsid w:val="3E679A74"/>
    <w:rsid w:val="3ECAF5D2"/>
    <w:rsid w:val="3F3532F8"/>
    <w:rsid w:val="3FE1E6AE"/>
    <w:rsid w:val="4169E1FB"/>
    <w:rsid w:val="41C17F0E"/>
    <w:rsid w:val="42029694"/>
    <w:rsid w:val="4264EE5D"/>
    <w:rsid w:val="4320BE48"/>
    <w:rsid w:val="439E66F5"/>
    <w:rsid w:val="43D0B93C"/>
    <w:rsid w:val="4400BEBE"/>
    <w:rsid w:val="456C899D"/>
    <w:rsid w:val="45E0F4D6"/>
    <w:rsid w:val="4644CF13"/>
    <w:rsid w:val="469A10A9"/>
    <w:rsid w:val="4835E10A"/>
    <w:rsid w:val="48850BA8"/>
    <w:rsid w:val="4A1D0BD5"/>
    <w:rsid w:val="4B2778EE"/>
    <w:rsid w:val="4BA978DA"/>
    <w:rsid w:val="5103A7A2"/>
    <w:rsid w:val="518F3CBA"/>
    <w:rsid w:val="523A21DF"/>
    <w:rsid w:val="532B0D1B"/>
    <w:rsid w:val="53F670BC"/>
    <w:rsid w:val="569532DC"/>
    <w:rsid w:val="5CE5B1DE"/>
    <w:rsid w:val="5E2B7F48"/>
    <w:rsid w:val="5F68D14E"/>
    <w:rsid w:val="60042A43"/>
    <w:rsid w:val="62735E62"/>
    <w:rsid w:val="64867571"/>
    <w:rsid w:val="649215AC"/>
    <w:rsid w:val="64D79B66"/>
    <w:rsid w:val="662245D2"/>
    <w:rsid w:val="6742293D"/>
    <w:rsid w:val="695F91E5"/>
    <w:rsid w:val="6A83C390"/>
    <w:rsid w:val="6AE378EE"/>
    <w:rsid w:val="6C7C517C"/>
    <w:rsid w:val="6C9732A7"/>
    <w:rsid w:val="6D2AAF8B"/>
    <w:rsid w:val="6D797FE2"/>
    <w:rsid w:val="6DF0BD8D"/>
    <w:rsid w:val="6EA1E676"/>
    <w:rsid w:val="701A4E0D"/>
    <w:rsid w:val="717B52BC"/>
    <w:rsid w:val="72C55E18"/>
    <w:rsid w:val="7666FBC1"/>
    <w:rsid w:val="7675BEDF"/>
    <w:rsid w:val="76917D17"/>
    <w:rsid w:val="77491E3B"/>
    <w:rsid w:val="775CF34F"/>
    <w:rsid w:val="77BF0423"/>
    <w:rsid w:val="792DD702"/>
    <w:rsid w:val="797DA335"/>
    <w:rsid w:val="79D35E46"/>
    <w:rsid w:val="7A78DBFE"/>
    <w:rsid w:val="7AE7659B"/>
    <w:rsid w:val="7BC491AA"/>
    <w:rsid w:val="7C5B1FAE"/>
    <w:rsid w:val="7E9C8EF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981D99C"/>
  <w15:docId w15:val="{A9766A12-AD24-408C-A5C7-CB9005BF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Arial" w:hAnsi="Arial"/>
        <w:sz w:val="22"/>
        <w:szCs w:val="22"/>
        <w:lang w:bidi="ar-SA" w:eastAsia="fr-FR" w:val="fr-FR"/>
      </w:rPr>
    </w:rPrDefault>
    <w:pPrDefault>
      <w:pPr>
        <w:spacing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1" w:type="paragraph">
    <w:name w:val="heading 1"/>
    <w:basedOn w:val="Normal"/>
    <w:next w:val="Normal"/>
    <w:uiPriority w:val="9"/>
    <w:qFormat/>
    <w:pPr>
      <w:keepNext/>
      <w:keepLines/>
      <w:spacing w:after="120" w:before="480"/>
      <w:outlineLvl w:val="0"/>
    </w:pPr>
    <w:rPr>
      <w:b/>
      <w:sz w:val="48"/>
      <w:szCs w:val="48"/>
    </w:rPr>
  </w:style>
  <w:style w:styleId="Titre2" w:type="paragraph">
    <w:name w:val="heading 2"/>
    <w:basedOn w:val="Normal"/>
    <w:next w:val="Normal"/>
    <w:uiPriority w:val="9"/>
    <w:semiHidden/>
    <w:unhideWhenUsed/>
    <w:qFormat/>
    <w:pPr>
      <w:keepNext/>
      <w:keepLines/>
      <w:spacing w:after="80" w:before="360"/>
      <w:outlineLvl w:val="1"/>
    </w:pPr>
    <w:rPr>
      <w:b/>
      <w:sz w:val="36"/>
      <w:szCs w:val="36"/>
    </w:rPr>
  </w:style>
  <w:style w:styleId="Titre3" w:type="paragraph">
    <w:name w:val="heading 3"/>
    <w:basedOn w:val="Normal"/>
    <w:next w:val="Normal"/>
    <w:uiPriority w:val="9"/>
    <w:semiHidden/>
    <w:unhideWhenUsed/>
    <w:qFormat/>
    <w:pPr>
      <w:keepNext/>
      <w:keepLines/>
      <w:spacing w:after="80" w:before="280"/>
      <w:outlineLvl w:val="2"/>
    </w:pPr>
    <w:rPr>
      <w:b/>
      <w:sz w:val="28"/>
      <w:szCs w:val="28"/>
    </w:rPr>
  </w:style>
  <w:style w:styleId="Titre4" w:type="paragraph">
    <w:name w:val="heading 4"/>
    <w:basedOn w:val="Normal"/>
    <w:next w:val="Normal"/>
    <w:uiPriority w:val="9"/>
    <w:semiHidden/>
    <w:unhideWhenUsed/>
    <w:qFormat/>
    <w:pPr>
      <w:keepNext/>
      <w:keepLines/>
      <w:spacing w:after="40" w:before="240"/>
      <w:outlineLvl w:val="3"/>
    </w:pPr>
    <w:rPr>
      <w:b/>
      <w:sz w:val="24"/>
      <w:szCs w:val="24"/>
    </w:rPr>
  </w:style>
  <w:style w:styleId="Titre5" w:type="paragraph">
    <w:name w:val="heading 5"/>
    <w:basedOn w:val="Normal"/>
    <w:next w:val="Normal"/>
    <w:uiPriority w:val="9"/>
    <w:semiHidden/>
    <w:unhideWhenUsed/>
    <w:qFormat/>
    <w:pPr>
      <w:keepNext/>
      <w:keepLines/>
      <w:spacing w:after="40" w:before="220"/>
      <w:outlineLvl w:val="4"/>
    </w:pPr>
    <w:rPr>
      <w:b/>
    </w:rPr>
  </w:style>
  <w:style w:styleId="Titre6" w:type="paragraph">
    <w:name w:val="heading 6"/>
    <w:basedOn w:val="Normal"/>
    <w:next w:val="Normal"/>
    <w:uiPriority w:val="9"/>
    <w:semiHidden/>
    <w:unhideWhenUsed/>
    <w:qFormat/>
    <w:pPr>
      <w:keepNext/>
      <w:keepLines/>
      <w:spacing w:after="40" w:before="200"/>
      <w:outlineLvl w:val="5"/>
    </w:pPr>
    <w:rPr>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NormalTable0" w:type="table">
    <w:name w:val="Normal Table0"/>
    <w:tblPr>
      <w:tblCellMar>
        <w:top w:type="dxa" w:w="0"/>
        <w:left w:type="dxa" w:w="0"/>
        <w:bottom w:type="dxa" w:w="0"/>
        <w:right w:type="dxa" w:w="0"/>
      </w:tblCellMar>
    </w:tblPr>
  </w:style>
  <w:style w:styleId="Titre" w:type="paragraph">
    <w:name w:val="Title"/>
    <w:basedOn w:val="Normal"/>
    <w:next w:val="Normal"/>
    <w:uiPriority w:val="10"/>
    <w:qFormat/>
    <w:pPr>
      <w:keepNext/>
      <w:keepLines/>
      <w:spacing w:after="120" w:before="480"/>
    </w:pPr>
    <w:rPr>
      <w:b/>
      <w:sz w:val="72"/>
      <w:szCs w:val="72"/>
    </w:rPr>
  </w:style>
  <w:style w:styleId="Sous-titr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styleId="Paragraphedeliste" w:type="paragraph">
    <w:name w:val="List Paragraph"/>
    <w:basedOn w:val="Normal"/>
    <w:uiPriority w:val="34"/>
    <w:qFormat/>
    <w:pPr>
      <w:ind w:left="720"/>
      <w:contextualSpacing/>
    </w:pPr>
  </w:style>
  <w:style w:styleId="Grilledutableau" w:type="table">
    <w:name w:val="Table Grid"/>
    <w:basedOn w:val="TableauNormal"/>
    <w:uiPriority w:val="59"/>
    <w:rsid w:val="00FB4123"/>
    <w:pPr>
      <w:spacing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c0195325e8fc4e8d" Target="commentsIds.xml" Type="http://schemas.microsoft.com/office/2016/09/relationships/commentsId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foot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3364</Characters>
  <Application>Microsoft Office Word</Application>
  <DocSecurity>4</DocSecurity>
  <Lines>28</Lines>
  <Paragraphs>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2022-12-28T13:03:00Z</dcterms:created>
  <dcterms:modified xsi:type="dcterms:W3CDTF">2022-12-28T13:03:00Z</dcterms:modified>
  <cp:revision>2</cp:revision>
</cp:coreProperties>
</file>