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1A690366" w14:textId="483B50DF" w:rsidP="004C582E" w:rsidR="00702C33" w:rsidRDefault="00B15741" w:rsidRPr="007F7259">
      <w:pPr>
        <w:pStyle w:val="Titre2"/>
        <w:pBdr>
          <w:top w:color="auto" w:shadow="1" w:space="0" w:sz="4" w:val="single"/>
        </w:pBdr>
        <w:spacing w:line="360" w:lineRule="auto"/>
        <w:rPr>
          <w:rFonts w:ascii="Times New Roman" w:hAnsi="Times New Roman"/>
          <w:sz w:val="40"/>
          <w:szCs w:val="40"/>
        </w:rPr>
      </w:pPr>
      <w:r w:rsidRPr="007F7259">
        <w:rPr>
          <w:rFonts w:ascii="Times New Roman" w:hAnsi="Times New Roman"/>
          <w:sz w:val="40"/>
          <w:szCs w:val="40"/>
        </w:rPr>
        <w:t>A</w:t>
      </w:r>
      <w:r w:rsidR="00356ADA" w:rsidRPr="007F7259">
        <w:rPr>
          <w:rFonts w:ascii="Times New Roman" w:hAnsi="Times New Roman"/>
          <w:sz w:val="40"/>
          <w:szCs w:val="40"/>
        </w:rPr>
        <w:t xml:space="preserve">ccord collectif salarial </w:t>
      </w:r>
      <w:r w:rsidR="004030F0" w:rsidRPr="007F7259">
        <w:rPr>
          <w:rFonts w:ascii="Times New Roman" w:hAnsi="Times New Roman"/>
          <w:sz w:val="40"/>
          <w:szCs w:val="40"/>
        </w:rPr>
        <w:t>202</w:t>
      </w:r>
      <w:r w:rsidR="00BE2F0A" w:rsidRPr="007F7259">
        <w:rPr>
          <w:rFonts w:ascii="Times New Roman" w:hAnsi="Times New Roman"/>
          <w:sz w:val="40"/>
          <w:szCs w:val="40"/>
        </w:rPr>
        <w:t>2</w:t>
      </w:r>
    </w:p>
    <w:p w14:paraId="49B4157A" w14:textId="77777777" w:rsidP="00576BB3" w:rsidR="00702C33" w:rsidRDefault="00702C33" w:rsidRPr="007F7259">
      <w:pPr>
        <w:jc w:val="both"/>
        <w:rPr>
          <w:lang w:val="fr-FR"/>
        </w:rPr>
      </w:pPr>
    </w:p>
    <w:p w14:paraId="14420BD1" w14:textId="77777777" w:rsidP="00576BB3" w:rsidR="00780E9B" w:rsidRDefault="00780E9B" w:rsidRPr="007F7259">
      <w:pPr>
        <w:jc w:val="both"/>
        <w:rPr>
          <w:spacing w:val="-5"/>
          <w:u w:val="single"/>
          <w:lang w:val="fr-FR"/>
        </w:rPr>
      </w:pPr>
    </w:p>
    <w:p w14:paraId="44CC0287" w14:textId="77777777" w:rsidP="00576BB3" w:rsidR="00CA7ADF" w:rsidRDefault="00CA7ADF" w:rsidRPr="007F7259">
      <w:pPr>
        <w:jc w:val="both"/>
        <w:rPr>
          <w:spacing w:val="-5"/>
          <w:u w:val="single"/>
          <w:lang w:val="fr-FR"/>
        </w:rPr>
      </w:pPr>
    </w:p>
    <w:p w14:paraId="6189D852" w14:textId="7DDBAB74" w:rsidP="00576BB3" w:rsidR="00702C33" w:rsidRDefault="00702C33" w:rsidRPr="007F7259">
      <w:pPr>
        <w:widowControl w:val="0"/>
        <w:autoSpaceDE w:val="0"/>
        <w:autoSpaceDN w:val="0"/>
        <w:adjustRightInd w:val="0"/>
        <w:spacing w:line="276" w:lineRule="exact"/>
        <w:jc w:val="both"/>
        <w:rPr>
          <w:b/>
          <w:spacing w:val="-5"/>
          <w:lang w:val="fr-FR"/>
        </w:rPr>
      </w:pPr>
      <w:r w:rsidRPr="007F7259">
        <w:rPr>
          <w:b/>
          <w:spacing w:val="-5"/>
          <w:lang w:val="fr-FR"/>
        </w:rPr>
        <w:t>Entre d’une part ;</w:t>
      </w:r>
    </w:p>
    <w:p w14:paraId="6F4D8CBB" w14:textId="77777777" w:rsidP="00576BB3" w:rsidR="00F542CE" w:rsidRDefault="00F542CE" w:rsidRPr="007F7259">
      <w:pPr>
        <w:widowControl w:val="0"/>
        <w:autoSpaceDE w:val="0"/>
        <w:autoSpaceDN w:val="0"/>
        <w:adjustRightInd w:val="0"/>
        <w:spacing w:line="276" w:lineRule="exact"/>
        <w:jc w:val="both"/>
        <w:rPr>
          <w:b/>
          <w:spacing w:val="-5"/>
          <w:lang w:val="fr-FR"/>
        </w:rPr>
      </w:pPr>
    </w:p>
    <w:p w14:paraId="23544F91" w14:textId="77777777" w:rsidP="00576BB3" w:rsidR="00FA556E" w:rsidRDefault="00FA556E" w:rsidRPr="007F7259">
      <w:pPr>
        <w:widowControl w:val="0"/>
        <w:autoSpaceDE w:val="0"/>
        <w:autoSpaceDN w:val="0"/>
        <w:adjustRightInd w:val="0"/>
        <w:spacing w:line="276" w:lineRule="exact"/>
        <w:jc w:val="both"/>
        <w:rPr>
          <w:spacing w:val="-5"/>
          <w:lang w:val="fr-FR"/>
        </w:rPr>
      </w:pPr>
    </w:p>
    <w:p w14:paraId="187F375B" w14:textId="506E214D" w:rsidP="00F542CE" w:rsidR="00F542CE" w:rsidRDefault="00F542CE" w:rsidRPr="007F7259">
      <w:pPr>
        <w:widowControl w:val="0"/>
        <w:autoSpaceDE w:val="0"/>
        <w:autoSpaceDN w:val="0"/>
        <w:adjustRightInd w:val="0"/>
        <w:ind w:right="25"/>
        <w:jc w:val="both"/>
        <w:rPr>
          <w:spacing w:val="-2"/>
          <w:lang w:val="fr-FR"/>
        </w:rPr>
      </w:pPr>
      <w:r w:rsidRPr="007F7259">
        <w:rPr>
          <w:spacing w:val="-3"/>
          <w:lang w:val="fr-FR"/>
        </w:rPr>
        <w:t>La Société COCA-COLA PRODUCTION</w:t>
      </w:r>
      <w:r w:rsidRPr="007F7259">
        <w:rPr>
          <w:spacing w:val="-2"/>
          <w:lang w:val="fr-FR"/>
        </w:rPr>
        <w:t xml:space="preserve"> SAS (ci-après désignée « CCP ») dont le siège social est situé Zone d’entreprise de Bergues – Socx – 59380 Bergues, représentée par </w:t>
      </w:r>
      <w:r w:rsidR="00254E22">
        <w:rPr>
          <w:spacing w:val="-1"/>
          <w:lang w:val="fr-FR"/>
        </w:rPr>
        <w:t>#### ####</w:t>
      </w:r>
      <w:r w:rsidRPr="007F7259">
        <w:rPr>
          <w:spacing w:val="-1"/>
          <w:lang w:val="fr-FR"/>
        </w:rPr>
        <w:t xml:space="preserve"> </w:t>
      </w:r>
      <w:r w:rsidRPr="007F7259">
        <w:rPr>
          <w:spacing w:val="-2"/>
          <w:lang w:val="fr-FR"/>
        </w:rPr>
        <w:t>agissant en qualité de Directrice de l’Usine</w:t>
      </w:r>
      <w:r w:rsidR="00D2702F">
        <w:rPr>
          <w:spacing w:val="-2"/>
          <w:lang w:val="fr-FR"/>
        </w:rPr>
        <w:t>.</w:t>
      </w:r>
      <w:r w:rsidRPr="007F7259">
        <w:rPr>
          <w:spacing w:val="-2"/>
          <w:lang w:val="fr-FR"/>
        </w:rPr>
        <w:t xml:space="preserve"> </w:t>
      </w:r>
    </w:p>
    <w:p w14:paraId="01F7499E" w14:textId="77777777" w:rsidP="00576BB3" w:rsidR="00702C33" w:rsidRDefault="00702C33" w:rsidRPr="007F7259">
      <w:pPr>
        <w:widowControl w:val="0"/>
        <w:autoSpaceDE w:val="0"/>
        <w:autoSpaceDN w:val="0"/>
        <w:adjustRightInd w:val="0"/>
        <w:spacing w:line="276" w:lineRule="exact"/>
        <w:ind w:right="25"/>
        <w:jc w:val="both"/>
        <w:rPr>
          <w:spacing w:val="-2"/>
          <w:lang w:val="fr-FR"/>
        </w:rPr>
      </w:pPr>
    </w:p>
    <w:p w14:paraId="06CFDACA" w14:textId="77777777" w:rsidP="00576BB3" w:rsidR="00702C33" w:rsidRDefault="00702C33" w:rsidRPr="007F7259">
      <w:pPr>
        <w:widowControl w:val="0"/>
        <w:autoSpaceDE w:val="0"/>
        <w:autoSpaceDN w:val="0"/>
        <w:adjustRightInd w:val="0"/>
        <w:spacing w:line="276" w:lineRule="exact"/>
        <w:ind w:right="25"/>
        <w:jc w:val="both"/>
        <w:rPr>
          <w:spacing w:val="-2"/>
          <w:lang w:val="fr-FR"/>
        </w:rPr>
      </w:pPr>
    </w:p>
    <w:p w14:paraId="6F092730" w14:textId="77777777" w:rsidP="00576BB3" w:rsidR="00702C33" w:rsidRDefault="00702C33" w:rsidRPr="007F7259">
      <w:pPr>
        <w:widowControl w:val="0"/>
        <w:autoSpaceDE w:val="0"/>
        <w:autoSpaceDN w:val="0"/>
        <w:adjustRightInd w:val="0"/>
        <w:spacing w:line="276" w:lineRule="exact"/>
        <w:ind w:right="25"/>
        <w:jc w:val="both"/>
        <w:rPr>
          <w:b/>
          <w:spacing w:val="-5"/>
          <w:lang w:val="fr-FR"/>
        </w:rPr>
      </w:pPr>
      <w:r w:rsidRPr="007F7259">
        <w:rPr>
          <w:b/>
          <w:spacing w:val="-5"/>
          <w:lang w:val="fr-FR"/>
        </w:rPr>
        <w:t xml:space="preserve">Et d’autre part ; </w:t>
      </w:r>
    </w:p>
    <w:p w14:paraId="4D3148ED" w14:textId="77777777" w:rsidP="00576BB3" w:rsidR="00702C33" w:rsidRDefault="00702C33" w:rsidRPr="007F7259">
      <w:pPr>
        <w:widowControl w:val="0"/>
        <w:autoSpaceDE w:val="0"/>
        <w:autoSpaceDN w:val="0"/>
        <w:adjustRightInd w:val="0"/>
        <w:spacing w:line="276" w:lineRule="exact"/>
        <w:ind w:right="25"/>
        <w:jc w:val="both"/>
        <w:rPr>
          <w:spacing w:val="-5"/>
          <w:lang w:val="fr-FR"/>
        </w:rPr>
      </w:pPr>
    </w:p>
    <w:p w14:paraId="5D3C72F2" w14:textId="77777777" w:rsidP="00576BB3" w:rsidR="00FA556E" w:rsidRDefault="00FA556E" w:rsidRPr="007F7259">
      <w:pPr>
        <w:widowControl w:val="0"/>
        <w:autoSpaceDE w:val="0"/>
        <w:autoSpaceDN w:val="0"/>
        <w:adjustRightInd w:val="0"/>
        <w:spacing w:line="276" w:lineRule="exact"/>
        <w:ind w:right="25"/>
        <w:jc w:val="both"/>
        <w:rPr>
          <w:spacing w:val="-5"/>
          <w:lang w:val="fr-FR"/>
        </w:rPr>
      </w:pPr>
    </w:p>
    <w:p w14:paraId="1AC5D67F" w14:textId="77777777" w:rsidP="00981A2C" w:rsidR="00981A2C" w:rsidRDefault="00981A2C" w:rsidRPr="007F7259">
      <w:pPr>
        <w:widowControl w:val="0"/>
        <w:autoSpaceDE w:val="0"/>
        <w:autoSpaceDN w:val="0"/>
        <w:adjustRightInd w:val="0"/>
        <w:ind w:right="-108"/>
        <w:jc w:val="both"/>
        <w:rPr>
          <w:w w:val="104"/>
          <w:lang w:val="fr-FR"/>
        </w:rPr>
      </w:pPr>
      <w:r w:rsidRPr="007F7259">
        <w:rPr>
          <w:w w:val="104"/>
          <w:lang w:val="fr-FR"/>
        </w:rPr>
        <w:t xml:space="preserve">Les Organisations Syndicales Représentatives suivantes : </w:t>
      </w:r>
    </w:p>
    <w:p w14:paraId="32C29530" w14:textId="77777777" w:rsidP="00981A2C" w:rsidR="00981A2C" w:rsidRDefault="00981A2C" w:rsidRPr="007F7259">
      <w:pPr>
        <w:widowControl w:val="0"/>
        <w:autoSpaceDE w:val="0"/>
        <w:autoSpaceDN w:val="0"/>
        <w:adjustRightInd w:val="0"/>
        <w:ind w:right="-108"/>
        <w:jc w:val="both"/>
        <w:rPr>
          <w:w w:val="104"/>
          <w:lang w:val="fr-FR"/>
        </w:rPr>
      </w:pPr>
    </w:p>
    <w:p w14:paraId="6DE21E1D" w14:textId="19E53DDA" w:rsidP="00981A2C" w:rsidR="00981A2C" w:rsidRDefault="00981A2C" w:rsidRPr="007F7259">
      <w:pPr>
        <w:widowControl w:val="0"/>
        <w:tabs>
          <w:tab w:pos="2160" w:val="left"/>
        </w:tabs>
        <w:autoSpaceDE w:val="0"/>
        <w:autoSpaceDN w:val="0"/>
        <w:adjustRightInd w:val="0"/>
        <w:ind w:left="567" w:right="25"/>
        <w:jc w:val="both"/>
        <w:rPr>
          <w:w w:val="105"/>
          <w:lang w:val="fr-FR"/>
        </w:rPr>
      </w:pPr>
      <w:r w:rsidRPr="007F7259">
        <w:rPr>
          <w:w w:val="105"/>
          <w:lang w:val="fr-FR"/>
        </w:rPr>
        <w:t xml:space="preserve">• CFE-CGC représentée par </w:t>
      </w:r>
      <w:r w:rsidR="00254E22">
        <w:rPr>
          <w:spacing w:val="-1"/>
          <w:lang w:val="fr-FR"/>
        </w:rPr>
        <w:t>#### ####</w:t>
      </w:r>
      <w:r w:rsidR="00254E22" w:rsidRPr="007F7259">
        <w:rPr>
          <w:spacing w:val="-1"/>
          <w:lang w:val="fr-FR"/>
        </w:rPr>
        <w:t xml:space="preserve"> </w:t>
      </w:r>
      <w:r w:rsidRPr="007F7259">
        <w:rPr>
          <w:w w:val="105"/>
          <w:lang w:val="fr-FR"/>
        </w:rPr>
        <w:t xml:space="preserve">agissant en qualité de délégué syndical </w:t>
      </w:r>
    </w:p>
    <w:p w14:paraId="16AA29E9" w14:textId="674E28EF" w:rsidP="00981A2C" w:rsidR="00981A2C" w:rsidRDefault="00981A2C" w:rsidRPr="007F7259">
      <w:pPr>
        <w:widowControl w:val="0"/>
        <w:tabs>
          <w:tab w:pos="2160" w:val="left"/>
        </w:tabs>
        <w:autoSpaceDE w:val="0"/>
        <w:autoSpaceDN w:val="0"/>
        <w:adjustRightInd w:val="0"/>
        <w:ind w:left="567" w:right="25"/>
        <w:jc w:val="both"/>
        <w:rPr>
          <w:w w:val="105"/>
          <w:lang w:val="fr-FR"/>
        </w:rPr>
      </w:pPr>
      <w:r w:rsidRPr="007F7259">
        <w:rPr>
          <w:spacing w:val="-3"/>
          <w:lang w:val="fr-FR"/>
        </w:rPr>
        <w:t xml:space="preserve">• CGT représentée par </w:t>
      </w:r>
      <w:r w:rsidR="00254E22">
        <w:rPr>
          <w:spacing w:val="-1"/>
          <w:lang w:val="fr-FR"/>
        </w:rPr>
        <w:t>#### ####</w:t>
      </w:r>
      <w:r w:rsidR="00254E22" w:rsidRPr="007F7259">
        <w:rPr>
          <w:spacing w:val="-1"/>
          <w:lang w:val="fr-FR"/>
        </w:rPr>
        <w:t xml:space="preserve"> </w:t>
      </w:r>
      <w:r w:rsidRPr="007F7259">
        <w:rPr>
          <w:w w:val="105"/>
          <w:lang w:val="fr-FR"/>
        </w:rPr>
        <w:t>agissant en qualité de délégué syndical</w:t>
      </w:r>
    </w:p>
    <w:p w14:paraId="19168E5D" w14:textId="5A3967C0" w:rsidP="00981A2C" w:rsidR="00981A2C" w:rsidRDefault="00981A2C" w:rsidRPr="007F7259">
      <w:pPr>
        <w:widowControl w:val="0"/>
        <w:tabs>
          <w:tab w:pos="2160" w:val="left"/>
        </w:tabs>
        <w:autoSpaceDE w:val="0"/>
        <w:autoSpaceDN w:val="0"/>
        <w:adjustRightInd w:val="0"/>
        <w:ind w:left="567" w:right="25"/>
        <w:jc w:val="both"/>
        <w:rPr>
          <w:w w:val="105"/>
          <w:lang w:val="fr-FR"/>
        </w:rPr>
      </w:pPr>
      <w:r w:rsidRPr="007F7259">
        <w:rPr>
          <w:spacing w:val="-3"/>
          <w:lang w:val="fr-FR"/>
        </w:rPr>
        <w:t xml:space="preserve">• FO représentée par </w:t>
      </w:r>
      <w:r w:rsidR="00254E22">
        <w:rPr>
          <w:spacing w:val="-1"/>
          <w:lang w:val="fr-FR"/>
        </w:rPr>
        <w:t>#### ####</w:t>
      </w:r>
      <w:r w:rsidR="00254E22" w:rsidRPr="007F7259">
        <w:rPr>
          <w:spacing w:val="-1"/>
          <w:lang w:val="fr-FR"/>
        </w:rPr>
        <w:t xml:space="preserve"> </w:t>
      </w:r>
      <w:r w:rsidRPr="007F7259">
        <w:rPr>
          <w:w w:val="105"/>
          <w:lang w:val="fr-FR"/>
        </w:rPr>
        <w:t>agissant en qualité de délégué syndical</w:t>
      </w:r>
    </w:p>
    <w:p w14:paraId="77AE807F" w14:textId="77777777" w:rsidP="00981A2C" w:rsidR="00DA113C" w:rsidRDefault="00DA113C" w:rsidRPr="007F7259">
      <w:pPr>
        <w:jc w:val="both"/>
        <w:rPr>
          <w:lang w:val="fr-FR"/>
        </w:rPr>
      </w:pPr>
    </w:p>
    <w:p w14:paraId="0335C5F1" w14:textId="77777777" w:rsidP="00981A2C" w:rsidR="00DA113C" w:rsidRDefault="00DA113C" w:rsidRPr="007F7259">
      <w:pPr>
        <w:jc w:val="both"/>
        <w:rPr>
          <w:lang w:val="fr-FR"/>
        </w:rPr>
      </w:pPr>
    </w:p>
    <w:p w14:paraId="34B6BCE0" w14:textId="135F255D" w:rsidP="00981A2C" w:rsidR="00356ADA" w:rsidRDefault="00FA556E">
      <w:pPr>
        <w:jc w:val="both"/>
        <w:rPr>
          <w:b/>
          <w:spacing w:val="-3"/>
          <w:lang w:val="fr-FR"/>
        </w:rPr>
      </w:pPr>
      <w:r w:rsidRPr="007F7259">
        <w:rPr>
          <w:b/>
          <w:spacing w:val="-3"/>
          <w:lang w:val="fr-FR"/>
        </w:rPr>
        <w:t xml:space="preserve">Préambule </w:t>
      </w:r>
    </w:p>
    <w:p w14:paraId="44292425" w14:textId="795C8497" w:rsidP="00981A2C" w:rsidR="00621A45" w:rsidRDefault="00621A45">
      <w:pPr>
        <w:jc w:val="both"/>
        <w:rPr>
          <w:b/>
          <w:spacing w:val="-3"/>
          <w:lang w:val="fr-FR"/>
        </w:rPr>
      </w:pPr>
    </w:p>
    <w:p w14:paraId="09C97F95" w14:textId="5EDC541A" w:rsidP="00621A45" w:rsidR="00621A45" w:rsidRDefault="00621A45" w:rsidRPr="000846FA">
      <w:pPr>
        <w:widowControl w:val="0"/>
        <w:tabs>
          <w:tab w:pos="9720" w:val="left"/>
        </w:tabs>
        <w:autoSpaceDE w:val="0"/>
        <w:autoSpaceDN w:val="0"/>
        <w:adjustRightInd w:val="0"/>
        <w:spacing w:line="277" w:lineRule="exact"/>
        <w:ind w:right="25"/>
        <w:jc w:val="both"/>
        <w:rPr>
          <w:w w:val="103"/>
          <w:lang w:val="fr-FR"/>
        </w:rPr>
      </w:pPr>
      <w:r w:rsidRPr="000846FA">
        <w:rPr>
          <w:w w:val="103"/>
          <w:lang w:val="fr-FR"/>
        </w:rPr>
        <w:t xml:space="preserve">Conformément </w:t>
      </w:r>
      <w:r w:rsidR="00947FED">
        <w:rPr>
          <w:w w:val="103"/>
          <w:lang w:val="fr-FR"/>
        </w:rPr>
        <w:t xml:space="preserve">à </w:t>
      </w:r>
      <w:r w:rsidR="00865395">
        <w:rPr>
          <w:w w:val="103"/>
          <w:lang w:val="fr-FR"/>
        </w:rPr>
        <w:t>l’</w:t>
      </w:r>
      <w:r w:rsidRPr="000846FA">
        <w:rPr>
          <w:w w:val="103"/>
          <w:lang w:val="fr-FR"/>
        </w:rPr>
        <w:t>article L.2242-1</w:t>
      </w:r>
      <w:r>
        <w:rPr>
          <w:w w:val="103"/>
          <w:lang w:val="fr-FR"/>
        </w:rPr>
        <w:t xml:space="preserve"> </w:t>
      </w:r>
      <w:r w:rsidRPr="000846FA">
        <w:rPr>
          <w:w w:val="103"/>
          <w:lang w:val="fr-FR"/>
        </w:rPr>
        <w:t xml:space="preserve">du code du travail, les négociations annuelles relatives à la </w:t>
      </w:r>
      <w:r w:rsidRPr="000846FA">
        <w:rPr>
          <w:lang w:val="fr-FR"/>
        </w:rPr>
        <w:t xml:space="preserve">rémunération, au temps de travail, et au partage de la valeur ajoutée dans l'entreprise </w:t>
      </w:r>
      <w:r w:rsidRPr="000846FA">
        <w:rPr>
          <w:w w:val="103"/>
          <w:lang w:val="fr-FR"/>
        </w:rPr>
        <w:t>ont</w:t>
      </w:r>
      <w:r w:rsidRPr="000846FA">
        <w:rPr>
          <w:spacing w:val="-3"/>
          <w:lang w:val="fr-FR"/>
        </w:rPr>
        <w:t xml:space="preserve"> été engagées par CCP le 25 novembre 2021.  </w:t>
      </w:r>
      <w:r w:rsidRPr="000846FA">
        <w:rPr>
          <w:w w:val="103"/>
          <w:lang w:val="fr-FR"/>
        </w:rPr>
        <w:t xml:space="preserve"> </w:t>
      </w:r>
    </w:p>
    <w:p w14:paraId="123038C5" w14:textId="77777777" w:rsidP="00621A45" w:rsidR="00621A45" w:rsidRDefault="00621A45" w:rsidRPr="000846FA">
      <w:pPr>
        <w:widowControl w:val="0"/>
        <w:tabs>
          <w:tab w:pos="9720" w:val="left"/>
        </w:tabs>
        <w:autoSpaceDE w:val="0"/>
        <w:autoSpaceDN w:val="0"/>
        <w:adjustRightInd w:val="0"/>
        <w:spacing w:line="277" w:lineRule="exact"/>
        <w:ind w:right="25"/>
        <w:jc w:val="both"/>
        <w:rPr>
          <w:w w:val="103"/>
          <w:lang w:val="fr-FR"/>
        </w:rPr>
      </w:pPr>
    </w:p>
    <w:p w14:paraId="5EFE9589" w14:textId="675C08F6" w:rsidP="00621A45" w:rsidR="00621A45" w:rsidRDefault="00621A45" w:rsidRPr="000846FA">
      <w:pPr>
        <w:widowControl w:val="0"/>
        <w:tabs>
          <w:tab w:pos="9720" w:val="left"/>
        </w:tabs>
        <w:autoSpaceDE w:val="0"/>
        <w:autoSpaceDN w:val="0"/>
        <w:adjustRightInd w:val="0"/>
        <w:spacing w:line="277" w:lineRule="exact"/>
        <w:ind w:right="25"/>
        <w:jc w:val="both"/>
        <w:rPr>
          <w:w w:val="103"/>
          <w:lang w:val="fr-FR"/>
        </w:rPr>
      </w:pPr>
      <w:r w:rsidRPr="000846FA">
        <w:rPr>
          <w:w w:val="103"/>
          <w:lang w:val="fr-FR"/>
        </w:rPr>
        <w:t xml:space="preserve">En amont de cette première réunion, ont été déposées sur la BDESE en </w:t>
      </w:r>
      <w:r w:rsidR="009231CB">
        <w:rPr>
          <w:w w:val="103"/>
          <w:lang w:val="fr-FR"/>
        </w:rPr>
        <w:t>septembre</w:t>
      </w:r>
      <w:r w:rsidRPr="000846FA">
        <w:rPr>
          <w:w w:val="103"/>
          <w:lang w:val="fr-FR"/>
        </w:rPr>
        <w:t xml:space="preserve"> 2021 les informations relatives à la rémunération, </w:t>
      </w:r>
      <w:r w:rsidRPr="000846FA">
        <w:rPr>
          <w:spacing w:val="-2"/>
          <w:lang w:val="fr-FR"/>
        </w:rPr>
        <w:t>l’égalité professionnelle entre les hommes et les femmes,</w:t>
      </w:r>
      <w:r w:rsidRPr="000846FA">
        <w:rPr>
          <w:lang w:val="fr-FR"/>
        </w:rPr>
        <w:t xml:space="preserve"> au temps de travail et au partage de la valeur ajoutée dans l’entreprise.</w:t>
      </w:r>
    </w:p>
    <w:p w14:paraId="184957FE" w14:textId="77777777" w:rsidP="00621A45" w:rsidR="00621A45" w:rsidRDefault="00621A45">
      <w:pPr>
        <w:widowControl w:val="0"/>
        <w:tabs>
          <w:tab w:pos="9720" w:val="left"/>
        </w:tabs>
        <w:autoSpaceDE w:val="0"/>
        <w:autoSpaceDN w:val="0"/>
        <w:adjustRightInd w:val="0"/>
        <w:spacing w:line="277" w:lineRule="exact"/>
        <w:ind w:right="25"/>
        <w:jc w:val="both"/>
        <w:rPr>
          <w:lang w:val="fr-FR"/>
        </w:rPr>
      </w:pPr>
    </w:p>
    <w:p w14:paraId="237F5EF4" w14:textId="521F5D41" w:rsidP="00621A45" w:rsidR="00621A45" w:rsidRDefault="00621A45" w:rsidRPr="000846FA">
      <w:pPr>
        <w:widowControl w:val="0"/>
        <w:tabs>
          <w:tab w:pos="9720" w:val="left"/>
        </w:tabs>
        <w:autoSpaceDE w:val="0"/>
        <w:autoSpaceDN w:val="0"/>
        <w:adjustRightInd w:val="0"/>
        <w:spacing w:line="277" w:lineRule="exact"/>
        <w:ind w:right="25"/>
        <w:jc w:val="both"/>
        <w:rPr>
          <w:spacing w:val="-2"/>
          <w:lang w:val="fr-FR"/>
        </w:rPr>
      </w:pPr>
      <w:r w:rsidRPr="000846FA">
        <w:rPr>
          <w:w w:val="102"/>
          <w:lang w:val="fr-FR"/>
        </w:rPr>
        <w:t>L</w:t>
      </w:r>
      <w:r w:rsidRPr="000846FA">
        <w:rPr>
          <w:spacing w:val="-2"/>
          <w:lang w:val="fr-FR"/>
        </w:rPr>
        <w:t>es parties se sont rencontrées lors de 3 réunions intervenues les 25 novembre 2021, 7 décembre 2021 et 5 janvier 2022</w:t>
      </w:r>
      <w:r>
        <w:rPr>
          <w:spacing w:val="-2"/>
          <w:lang w:val="fr-FR"/>
        </w:rPr>
        <w:t>.</w:t>
      </w:r>
    </w:p>
    <w:p w14:paraId="41578FB7" w14:textId="77777777" w:rsidP="00761CA0" w:rsidR="006818CB" w:rsidRDefault="006818CB" w:rsidRPr="007F7259">
      <w:pPr>
        <w:widowControl w:val="0"/>
        <w:tabs>
          <w:tab w:pos="9720" w:val="left"/>
        </w:tabs>
        <w:autoSpaceDE w:val="0"/>
        <w:autoSpaceDN w:val="0"/>
        <w:adjustRightInd w:val="0"/>
        <w:spacing w:line="277" w:lineRule="exact"/>
        <w:ind w:right="25"/>
        <w:jc w:val="both"/>
        <w:rPr>
          <w:spacing w:val="-4"/>
          <w:lang w:val="fr-FR"/>
        </w:rPr>
      </w:pPr>
    </w:p>
    <w:p w14:paraId="7DF4DBE1" w14:textId="1F210CB3" w:rsidP="00290468" w:rsidR="00290468" w:rsidRDefault="004D6A91" w:rsidRPr="007F7259">
      <w:pPr>
        <w:jc w:val="both"/>
        <w:rPr>
          <w:lang w:val="fr-FR"/>
        </w:rPr>
      </w:pPr>
      <w:r>
        <w:rPr>
          <w:lang w:val="fr-FR"/>
        </w:rPr>
        <w:t>L’année 2021</w:t>
      </w:r>
      <w:r w:rsidR="00321D09" w:rsidRPr="007F7259">
        <w:rPr>
          <w:lang w:val="fr-FR"/>
        </w:rPr>
        <w:t xml:space="preserve"> ayant encore été très marquée par la crise sanitaire, l</w:t>
      </w:r>
      <w:r w:rsidR="00290468" w:rsidRPr="007F7259">
        <w:rPr>
          <w:lang w:val="fr-FR"/>
        </w:rPr>
        <w:t>e présent accord illustre la volonté réaffirmée de soutien au pouvoir d’achat et de reconnaissance de l’engagement des équipes tout en prenant en compte les résultats opérationnel</w:t>
      </w:r>
      <w:r w:rsidR="007C7B6E" w:rsidRPr="007F7259">
        <w:rPr>
          <w:lang w:val="fr-FR"/>
        </w:rPr>
        <w:t xml:space="preserve">s </w:t>
      </w:r>
      <w:r w:rsidR="008376BE" w:rsidRPr="007F7259">
        <w:rPr>
          <w:lang w:val="fr-FR"/>
        </w:rPr>
        <w:t xml:space="preserve">prévisionnels </w:t>
      </w:r>
      <w:r w:rsidR="007C7B6E" w:rsidRPr="007F7259">
        <w:rPr>
          <w:lang w:val="fr-FR"/>
        </w:rPr>
        <w:t>qui restent</w:t>
      </w:r>
      <w:r w:rsidR="00290468" w:rsidRPr="007F7259">
        <w:rPr>
          <w:lang w:val="fr-FR"/>
        </w:rPr>
        <w:t xml:space="preserve"> en retrait en 2021 </w:t>
      </w:r>
      <w:r w:rsidR="00AB6B7D" w:rsidRPr="007F7259">
        <w:rPr>
          <w:lang w:val="fr-FR"/>
        </w:rPr>
        <w:t>par rapport à 2019</w:t>
      </w:r>
      <w:r w:rsidR="00290468" w:rsidRPr="007F7259">
        <w:rPr>
          <w:lang w:val="fr-FR"/>
        </w:rPr>
        <w:t>.</w:t>
      </w:r>
    </w:p>
    <w:p w14:paraId="2F81C087" w14:textId="77777777" w:rsidP="00290468" w:rsidR="00321D09" w:rsidRDefault="00321D09" w:rsidRPr="007F7259">
      <w:pPr>
        <w:jc w:val="both"/>
        <w:rPr>
          <w:lang w:val="fr-FR"/>
        </w:rPr>
      </w:pPr>
    </w:p>
    <w:p w14:paraId="35A44C1D" w14:textId="74ABC3C2" w:rsidP="00290468" w:rsidR="00290468" w:rsidRDefault="008376BE" w:rsidRPr="007F7259">
      <w:pPr>
        <w:jc w:val="both"/>
        <w:rPr>
          <w:lang w:val="fr-FR"/>
        </w:rPr>
      </w:pPr>
      <w:r w:rsidRPr="007F7259">
        <w:rPr>
          <w:lang w:val="fr-FR"/>
        </w:rPr>
        <w:t>Les mesures prises dans le cadre de la</w:t>
      </w:r>
      <w:r w:rsidR="00290468" w:rsidRPr="007F7259">
        <w:rPr>
          <w:lang w:val="fr-FR"/>
        </w:rPr>
        <w:t xml:space="preserve"> NAO ne sont d’ailleurs pas les seules mesures participant à cette reconnaissance. </w:t>
      </w:r>
    </w:p>
    <w:p w14:paraId="4AB18AE6" w14:textId="77777777" w:rsidP="004B4C46" w:rsidR="00621A45" w:rsidRDefault="00621A45">
      <w:pPr>
        <w:jc w:val="both"/>
        <w:rPr>
          <w:lang w:val="fr-FR"/>
        </w:rPr>
      </w:pPr>
    </w:p>
    <w:p w14:paraId="478DD261" w14:textId="77777777" w:rsidR="00B8725A" w:rsidRDefault="00B8725A">
      <w:pPr>
        <w:rPr>
          <w:b/>
          <w:lang w:val="fr-FR"/>
        </w:rPr>
      </w:pPr>
      <w:r>
        <w:rPr>
          <w:b/>
          <w:lang w:val="fr-FR"/>
        </w:rPr>
        <w:br w:type="page"/>
      </w:r>
    </w:p>
    <w:p w14:paraId="54246AAE" w14:textId="2F5AC03E" w:rsidP="004B4C46" w:rsidR="004B4C46" w:rsidRDefault="004B4C46" w:rsidRPr="007F7259">
      <w:pPr>
        <w:jc w:val="both"/>
        <w:rPr>
          <w:b/>
          <w:lang w:val="fr-FR"/>
        </w:rPr>
      </w:pPr>
      <w:r w:rsidRPr="007F7259">
        <w:rPr>
          <w:b/>
          <w:lang w:val="fr-FR"/>
        </w:rPr>
        <w:lastRenderedPageBreak/>
        <w:t>Article 1 - Dispositions relatives aux OETAM (ouvriers, employés, techniciens et agents de maîtrise)</w:t>
      </w:r>
    </w:p>
    <w:p w14:paraId="141D792B" w14:textId="77777777" w:rsidP="004B4C46" w:rsidR="004B4C46" w:rsidRDefault="004B4C46" w:rsidRPr="007F7259">
      <w:pPr>
        <w:jc w:val="both"/>
        <w:rPr>
          <w:b/>
          <w:lang w:val="fr-FR"/>
        </w:rPr>
      </w:pPr>
    </w:p>
    <w:p w14:paraId="49BE3166" w14:textId="77777777" w:rsidP="007F03AB" w:rsidR="004B4C46" w:rsidRDefault="004B4C46" w:rsidRPr="007F7259">
      <w:pPr>
        <w:ind w:firstLine="720"/>
        <w:jc w:val="both"/>
        <w:rPr>
          <w:b/>
          <w:lang w:val="fr-FR"/>
        </w:rPr>
      </w:pPr>
      <w:r w:rsidRPr="007F7259">
        <w:rPr>
          <w:b/>
          <w:lang w:val="fr-FR"/>
        </w:rPr>
        <w:t>A - Enveloppe d’augmentation de la masse salariale</w:t>
      </w:r>
    </w:p>
    <w:p w14:paraId="2079FA89" w14:textId="77777777" w:rsidP="0080551C" w:rsidR="004B4C46" w:rsidRDefault="004B4C46" w:rsidRPr="007F7259">
      <w:pPr>
        <w:jc w:val="both"/>
        <w:rPr>
          <w:b/>
          <w:u w:val="single"/>
          <w:lang w:val="fr-FR"/>
        </w:rPr>
      </w:pPr>
    </w:p>
    <w:p w14:paraId="028D2381" w14:textId="23CA7E45" w:rsidP="007F03AB" w:rsidR="004B4C46" w:rsidRDefault="004B4C46" w:rsidRPr="007F7259">
      <w:pPr>
        <w:spacing w:after="160" w:line="259" w:lineRule="auto"/>
        <w:ind w:left="720"/>
        <w:jc w:val="both"/>
        <w:rPr>
          <w:lang w:val="fr-FR"/>
        </w:rPr>
      </w:pPr>
      <w:r w:rsidRPr="007F7259">
        <w:rPr>
          <w:lang w:val="fr-FR"/>
        </w:rPr>
        <w:t xml:space="preserve">Les parties conviennent, pour l’année </w:t>
      </w:r>
      <w:r w:rsidR="0080551C" w:rsidRPr="007F7259">
        <w:rPr>
          <w:lang w:val="fr-FR"/>
        </w:rPr>
        <w:t>2022</w:t>
      </w:r>
      <w:r w:rsidRPr="007F7259">
        <w:rPr>
          <w:lang w:val="fr-FR"/>
        </w:rPr>
        <w:t xml:space="preserve">, d’une enveloppe d’augmentation d’un montant global correspondant à 2,5% </w:t>
      </w:r>
      <w:r w:rsidR="00BA2F17" w:rsidRPr="007F7259">
        <w:rPr>
          <w:lang w:val="fr-FR"/>
        </w:rPr>
        <w:t>d</w:t>
      </w:r>
      <w:r w:rsidR="00321D09" w:rsidRPr="007F7259">
        <w:rPr>
          <w:lang w:val="fr-FR"/>
        </w:rPr>
        <w:t>e la masse salariale (</w:t>
      </w:r>
      <w:r w:rsidR="00BA2F17" w:rsidRPr="007F7259">
        <w:rPr>
          <w:lang w:val="fr-FR"/>
        </w:rPr>
        <w:t>salaires de base</w:t>
      </w:r>
      <w:r w:rsidR="00321D09" w:rsidRPr="007F7259">
        <w:rPr>
          <w:lang w:val="fr-FR"/>
        </w:rPr>
        <w:t>)</w:t>
      </w:r>
      <w:r w:rsidRPr="007F7259">
        <w:rPr>
          <w:lang w:val="fr-FR"/>
        </w:rPr>
        <w:t xml:space="preserve"> des OETAM.</w:t>
      </w:r>
    </w:p>
    <w:p w14:paraId="5BCB7089" w14:textId="3BBA64A1" w:rsidP="007F03AB" w:rsidR="004B4C46" w:rsidRDefault="008376BE" w:rsidRPr="007F7259">
      <w:pPr>
        <w:ind w:left="720"/>
        <w:jc w:val="both"/>
        <w:rPr>
          <w:lang w:val="fr-FR"/>
        </w:rPr>
      </w:pPr>
      <w:r w:rsidRPr="007F7259">
        <w:rPr>
          <w:lang w:val="fr-FR"/>
        </w:rPr>
        <w:t>Sont exclues de cette enveloppe d’augmentation, les augmentations résultant de promotions et de certifications ainsi que celles liées aux objectifs</w:t>
      </w:r>
      <w:r w:rsidR="00321D09" w:rsidRPr="007F7259">
        <w:rPr>
          <w:lang w:val="fr-FR"/>
        </w:rPr>
        <w:t xml:space="preserve"> de</w:t>
      </w:r>
      <w:r w:rsidRPr="007F7259">
        <w:rPr>
          <w:lang w:val="fr-FR"/>
        </w:rPr>
        <w:t xml:space="preserve"> couverture d’égalité salariale qui auront lieu au cours de l’année 2022.</w:t>
      </w:r>
    </w:p>
    <w:p w14:paraId="04FFBBFE" w14:textId="77777777" w:rsidP="007F03AB" w:rsidR="008376BE" w:rsidRDefault="008376BE" w:rsidRPr="007F7259">
      <w:pPr>
        <w:ind w:left="720"/>
        <w:jc w:val="both"/>
        <w:rPr>
          <w:lang w:val="fr-FR"/>
        </w:rPr>
      </w:pPr>
    </w:p>
    <w:p w14:paraId="21F5CA62" w14:textId="697DEE03" w:rsidP="00B7117F" w:rsidR="007F03AB" w:rsidRDefault="007F03AB" w:rsidRPr="007F7259">
      <w:pPr>
        <w:ind w:left="720"/>
        <w:jc w:val="both"/>
        <w:rPr>
          <w:lang w:val="fr-FR"/>
        </w:rPr>
      </w:pPr>
      <w:r w:rsidRPr="007F7259">
        <w:rPr>
          <w:lang w:val="fr-FR"/>
        </w:rPr>
        <w:t xml:space="preserve">Afin de rester compétitif sur le marché et continuer à retenir et attirer les talents, </w:t>
      </w:r>
      <w:r w:rsidR="00D25561" w:rsidRPr="007F7259">
        <w:rPr>
          <w:lang w:val="fr-FR"/>
        </w:rPr>
        <w:t>plusieurs</w:t>
      </w:r>
      <w:r w:rsidRPr="007F7259">
        <w:rPr>
          <w:lang w:val="fr-FR"/>
        </w:rPr>
        <w:t xml:space="preserve"> fourchettes de salaire</w:t>
      </w:r>
      <w:r w:rsidR="00305984" w:rsidRPr="007F7259">
        <w:rPr>
          <w:lang w:val="fr-FR"/>
        </w:rPr>
        <w:t xml:space="preserve"> présentées par la Direction</w:t>
      </w:r>
      <w:r w:rsidRPr="007F7259">
        <w:rPr>
          <w:lang w:val="fr-FR"/>
        </w:rPr>
        <w:t xml:space="preserve"> </w:t>
      </w:r>
      <w:r w:rsidR="00D25561" w:rsidRPr="007F7259">
        <w:rPr>
          <w:lang w:val="fr-FR"/>
        </w:rPr>
        <w:t>sont</w:t>
      </w:r>
      <w:r w:rsidRPr="007F7259">
        <w:rPr>
          <w:lang w:val="fr-FR"/>
        </w:rPr>
        <w:t xml:space="preserve"> </w:t>
      </w:r>
      <w:r w:rsidRPr="00AC1454">
        <w:rPr>
          <w:lang w:val="fr-FR"/>
        </w:rPr>
        <w:t>augmentées</w:t>
      </w:r>
      <w:r w:rsidR="00305984" w:rsidRPr="00AC1454">
        <w:rPr>
          <w:lang w:val="fr-FR"/>
        </w:rPr>
        <w:t xml:space="preserve"> au 1</w:t>
      </w:r>
      <w:r w:rsidR="00305984" w:rsidRPr="00AC1454">
        <w:rPr>
          <w:vertAlign w:val="superscript"/>
          <w:lang w:val="fr-FR"/>
        </w:rPr>
        <w:t>er</w:t>
      </w:r>
      <w:r w:rsidR="00305984" w:rsidRPr="00AC1454">
        <w:rPr>
          <w:lang w:val="fr-FR"/>
        </w:rPr>
        <w:t xml:space="preserve"> janvier </w:t>
      </w:r>
      <w:r w:rsidR="00305984" w:rsidRPr="00A55071">
        <w:rPr>
          <w:lang w:val="fr-FR"/>
        </w:rPr>
        <w:t>2022 (annexe).</w:t>
      </w:r>
    </w:p>
    <w:p w14:paraId="7184858F" w14:textId="77777777" w:rsidP="004B4C46" w:rsidR="007F03AB" w:rsidRDefault="007F03AB" w:rsidRPr="007F7259">
      <w:pPr>
        <w:jc w:val="both"/>
        <w:rPr>
          <w:lang w:val="fr-FR"/>
        </w:rPr>
      </w:pPr>
    </w:p>
    <w:p w14:paraId="37AED505" w14:textId="344253CE" w:rsidP="007F03AB" w:rsidR="004B4C46" w:rsidRDefault="004B4C46" w:rsidRPr="007F7259">
      <w:pPr>
        <w:ind w:firstLine="720"/>
        <w:jc w:val="both"/>
        <w:rPr>
          <w:b/>
          <w:lang w:val="fr-FR"/>
        </w:rPr>
      </w:pPr>
      <w:r w:rsidRPr="007F7259">
        <w:rPr>
          <w:b/>
          <w:lang w:val="fr-FR"/>
        </w:rPr>
        <w:t xml:space="preserve">B </w:t>
      </w:r>
      <w:r w:rsidR="007F03AB" w:rsidRPr="007F7259">
        <w:rPr>
          <w:b/>
          <w:lang w:val="fr-FR"/>
        </w:rPr>
        <w:t xml:space="preserve">- </w:t>
      </w:r>
      <w:r w:rsidRPr="007F7259">
        <w:rPr>
          <w:b/>
          <w:lang w:val="fr-FR"/>
        </w:rPr>
        <w:t>Attribution des augmentations OETAM</w:t>
      </w:r>
    </w:p>
    <w:p w14:paraId="492EEC1E" w14:textId="77777777" w:rsidP="004B4C46" w:rsidR="004B4C46" w:rsidRDefault="004B4C46" w:rsidRPr="007F7259">
      <w:pPr>
        <w:jc w:val="both"/>
        <w:rPr>
          <w:lang w:val="fr-FR"/>
        </w:rPr>
      </w:pPr>
    </w:p>
    <w:p w14:paraId="3FF829F4" w14:textId="117962D1" w:rsidP="00740F60" w:rsidR="00740F60" w:rsidRDefault="004B4C46" w:rsidRPr="007F7259">
      <w:pPr>
        <w:ind w:left="720"/>
        <w:jc w:val="both"/>
        <w:rPr>
          <w:lang w:val="fr-FR"/>
        </w:rPr>
      </w:pPr>
      <w:r w:rsidRPr="007F7259">
        <w:rPr>
          <w:lang w:val="fr-FR"/>
        </w:rPr>
        <w:t>L’augmentation de la masse salariale sera répartie entre les salariés appartenant aux catégories OETAM par le biais d’augmentations individuelles</w:t>
      </w:r>
      <w:r w:rsidR="005A055E" w:rsidRPr="007F7259">
        <w:rPr>
          <w:lang w:val="fr-FR"/>
        </w:rPr>
        <w:t>.</w:t>
      </w:r>
    </w:p>
    <w:p w14:paraId="2FF5D7B9" w14:textId="0561AAC1" w:rsidP="00740F60" w:rsidR="00242A9C" w:rsidRDefault="00242A9C" w:rsidRPr="007F7259">
      <w:pPr>
        <w:ind w:left="720"/>
        <w:jc w:val="both"/>
        <w:rPr>
          <w:lang w:val="fr-FR"/>
        </w:rPr>
      </w:pPr>
    </w:p>
    <w:p w14:paraId="0EE059BA" w14:textId="3A7BD8E0" w:rsidP="00F11308" w:rsidR="00242A9C" w:rsidRDefault="00A56957" w:rsidRPr="007F7259">
      <w:pPr>
        <w:ind w:left="720"/>
        <w:jc w:val="both"/>
        <w:rPr>
          <w:lang w:val="fr-FR"/>
        </w:rPr>
      </w:pPr>
      <w:r>
        <w:rPr>
          <w:lang w:val="fr-FR"/>
        </w:rPr>
        <w:t>Un premier niveau d</w:t>
      </w:r>
      <w:r w:rsidR="00242A9C" w:rsidRPr="007F7259">
        <w:rPr>
          <w:lang w:val="fr-FR"/>
        </w:rPr>
        <w:t>’attribution de cette augmentation se fera en pourcentage appliqué au salaire de base brut, en fonction de la performance évaluée au titre de l’année 2021 et du positionnement salarial, selon la grille ci-dessous :</w:t>
      </w:r>
    </w:p>
    <w:p w14:paraId="141EB6A0" w14:textId="77777777" w:rsidP="00740F60" w:rsidR="00740F60" w:rsidRDefault="00740F60" w:rsidRPr="007F7259">
      <w:pPr>
        <w:jc w:val="both"/>
        <w:rPr>
          <w:lang w:val="fr-FR"/>
        </w:rPr>
      </w:pPr>
    </w:p>
    <w:tbl>
      <w:tblPr>
        <w:tblStyle w:val="Grilledutableau"/>
        <w:tblW w:type="dxa" w:w="8465"/>
        <w:tblInd w:type="dxa" w:w="846"/>
        <w:tblLook w:firstColumn="0" w:firstRow="1" w:lastColumn="0" w:lastRow="0" w:noHBand="0" w:noVBand="1" w:val="0420"/>
      </w:tblPr>
      <w:tblGrid>
        <w:gridCol w:w="2560"/>
        <w:gridCol w:w="1969"/>
        <w:gridCol w:w="1968"/>
        <w:gridCol w:w="1968"/>
      </w:tblGrid>
      <w:tr w14:paraId="07A05AAB" w14:textId="77777777" w:rsidR="00740F60" w:rsidRPr="007F7259" w:rsidTr="00C133E1">
        <w:trPr>
          <w:trHeight w:val="474"/>
        </w:trPr>
        <w:tc>
          <w:tcPr>
            <w:tcW w:type="dxa" w:w="2560"/>
          </w:tcPr>
          <w:p w14:paraId="7950E513" w14:textId="77777777" w:rsidP="00C133E1" w:rsidR="00740F60" w:rsidRDefault="00740F60" w:rsidRPr="007F7259">
            <w:pPr>
              <w:jc w:val="both"/>
              <w:rPr>
                <w:lang w:val="fr-FR"/>
              </w:rPr>
            </w:pPr>
          </w:p>
        </w:tc>
        <w:tc>
          <w:tcPr>
            <w:tcW w:type="dxa" w:w="1969"/>
            <w:hideMark/>
          </w:tcPr>
          <w:p w14:paraId="2F70F8A6" w14:textId="77777777" w:rsidP="00C133E1" w:rsidR="00740F60" w:rsidRDefault="00740F60" w:rsidRPr="007F7259">
            <w:pPr>
              <w:jc w:val="center"/>
              <w:rPr>
                <w:lang w:val="fr-FR"/>
              </w:rPr>
            </w:pPr>
            <w:r w:rsidRPr="007F7259">
              <w:rPr>
                <w:lang w:val="fr-FR"/>
              </w:rPr>
              <w:t>En-dessous du marché</w:t>
            </w:r>
          </w:p>
        </w:tc>
        <w:tc>
          <w:tcPr>
            <w:tcW w:type="dxa" w:w="1968"/>
            <w:hideMark/>
          </w:tcPr>
          <w:p w14:paraId="1BFFBDC4" w14:textId="77777777" w:rsidP="00C133E1" w:rsidR="00740F60" w:rsidRDefault="00740F60" w:rsidRPr="007F7259">
            <w:pPr>
              <w:jc w:val="center"/>
              <w:rPr>
                <w:lang w:val="fr-FR"/>
              </w:rPr>
            </w:pPr>
            <w:r w:rsidRPr="007F7259">
              <w:rPr>
                <w:lang w:val="fr-FR"/>
              </w:rPr>
              <w:t>Au marché</w:t>
            </w:r>
          </w:p>
        </w:tc>
        <w:tc>
          <w:tcPr>
            <w:tcW w:type="dxa" w:w="1968"/>
            <w:hideMark/>
          </w:tcPr>
          <w:p w14:paraId="3D1FCA4A" w14:textId="77777777" w:rsidP="00C133E1" w:rsidR="00740F60" w:rsidRDefault="00740F60" w:rsidRPr="007F7259">
            <w:pPr>
              <w:jc w:val="center"/>
              <w:rPr>
                <w:lang w:val="fr-FR"/>
              </w:rPr>
            </w:pPr>
            <w:r w:rsidRPr="007F7259">
              <w:rPr>
                <w:lang w:val="fr-FR"/>
              </w:rPr>
              <w:t>Au-dessus du marché</w:t>
            </w:r>
          </w:p>
        </w:tc>
      </w:tr>
      <w:tr w14:paraId="569E1A6E" w14:textId="77777777" w:rsidR="00740F60" w:rsidRPr="007F7259" w:rsidTr="00C133E1">
        <w:trPr>
          <w:trHeight w:val="474"/>
        </w:trPr>
        <w:tc>
          <w:tcPr>
            <w:tcW w:type="dxa" w:w="2560"/>
            <w:hideMark/>
          </w:tcPr>
          <w:p w14:paraId="2DC3072C" w14:textId="77777777" w:rsidP="00C133E1" w:rsidR="00740F60" w:rsidRDefault="00740F60" w:rsidRPr="007F7259">
            <w:pPr>
              <w:rPr>
                <w:lang w:val="fr-FR"/>
              </w:rPr>
            </w:pPr>
            <w:r w:rsidRPr="007F7259">
              <w:rPr>
                <w:lang w:val="fr-FR"/>
              </w:rPr>
              <w:t>E= contribue de façon exceptionnelle</w:t>
            </w:r>
          </w:p>
        </w:tc>
        <w:tc>
          <w:tcPr>
            <w:tcW w:type="dxa" w:w="1969"/>
            <w:hideMark/>
          </w:tcPr>
          <w:p w14:paraId="2DF6ED8A" w14:textId="2A5AF363" w:rsidP="00C133E1" w:rsidR="00740F60" w:rsidRDefault="00740F60" w:rsidRPr="007F7259">
            <w:pPr>
              <w:jc w:val="center"/>
              <w:rPr>
                <w:lang w:val="fr-FR"/>
              </w:rPr>
            </w:pPr>
            <w:r w:rsidRPr="007F7259">
              <w:rPr>
                <w:lang w:val="fr-FR"/>
              </w:rPr>
              <w:t>3,5%</w:t>
            </w:r>
          </w:p>
        </w:tc>
        <w:tc>
          <w:tcPr>
            <w:tcW w:type="dxa" w:w="1968"/>
            <w:hideMark/>
          </w:tcPr>
          <w:p w14:paraId="750396B4" w14:textId="4E607B6F" w:rsidP="00C133E1" w:rsidR="00740F60" w:rsidRDefault="00740F60" w:rsidRPr="007F7259">
            <w:pPr>
              <w:jc w:val="center"/>
              <w:rPr>
                <w:lang w:val="fr-FR"/>
              </w:rPr>
            </w:pPr>
            <w:r w:rsidRPr="007F7259">
              <w:rPr>
                <w:lang w:val="fr-FR"/>
              </w:rPr>
              <w:t>3%</w:t>
            </w:r>
          </w:p>
        </w:tc>
        <w:tc>
          <w:tcPr>
            <w:tcW w:type="dxa" w:w="1968"/>
            <w:hideMark/>
          </w:tcPr>
          <w:p w14:paraId="25B973D9" w14:textId="3CC99DE4" w:rsidP="00C133E1" w:rsidR="00740F60" w:rsidRDefault="00740F60" w:rsidRPr="007F7259">
            <w:pPr>
              <w:jc w:val="center"/>
              <w:rPr>
                <w:lang w:val="fr-FR"/>
              </w:rPr>
            </w:pPr>
            <w:r w:rsidRPr="007F7259">
              <w:rPr>
                <w:lang w:val="fr-FR"/>
              </w:rPr>
              <w:t>2%</w:t>
            </w:r>
          </w:p>
        </w:tc>
      </w:tr>
      <w:tr w14:paraId="0C71B105" w14:textId="77777777" w:rsidR="00740F60" w:rsidRPr="007F7259" w:rsidTr="00C133E1">
        <w:trPr>
          <w:trHeight w:val="474"/>
        </w:trPr>
        <w:tc>
          <w:tcPr>
            <w:tcW w:type="dxa" w:w="2560"/>
            <w:hideMark/>
          </w:tcPr>
          <w:p w14:paraId="0A68DC8F" w14:textId="77777777" w:rsidP="00C133E1" w:rsidR="00740F60" w:rsidRDefault="00740F60" w:rsidRPr="007F7259">
            <w:pPr>
              <w:rPr>
                <w:lang w:val="fr-FR"/>
              </w:rPr>
            </w:pPr>
            <w:r w:rsidRPr="007F7259">
              <w:rPr>
                <w:lang w:val="fr-FR"/>
              </w:rPr>
              <w:t>C= contribue avec succès</w:t>
            </w:r>
          </w:p>
        </w:tc>
        <w:tc>
          <w:tcPr>
            <w:tcW w:type="dxa" w:w="1969"/>
            <w:hideMark/>
          </w:tcPr>
          <w:p w14:paraId="73E21152" w14:textId="111692D3" w:rsidP="00C133E1" w:rsidR="00740F60" w:rsidRDefault="00740F60" w:rsidRPr="007F7259">
            <w:pPr>
              <w:jc w:val="center"/>
              <w:rPr>
                <w:lang w:val="fr-FR"/>
              </w:rPr>
            </w:pPr>
            <w:r w:rsidRPr="007F7259">
              <w:rPr>
                <w:lang w:val="fr-FR"/>
              </w:rPr>
              <w:t>2,5%</w:t>
            </w:r>
          </w:p>
        </w:tc>
        <w:tc>
          <w:tcPr>
            <w:tcW w:type="dxa" w:w="1968"/>
            <w:hideMark/>
          </w:tcPr>
          <w:p w14:paraId="42BF598B" w14:textId="18FC1397" w:rsidP="00C133E1" w:rsidR="00740F60" w:rsidRDefault="00740F60" w:rsidRPr="007F7259">
            <w:pPr>
              <w:jc w:val="center"/>
              <w:rPr>
                <w:lang w:val="fr-FR"/>
              </w:rPr>
            </w:pPr>
            <w:r w:rsidRPr="007F7259">
              <w:rPr>
                <w:lang w:val="fr-FR"/>
              </w:rPr>
              <w:t>2,5%</w:t>
            </w:r>
          </w:p>
        </w:tc>
        <w:tc>
          <w:tcPr>
            <w:tcW w:type="dxa" w:w="1968"/>
            <w:hideMark/>
          </w:tcPr>
          <w:p w14:paraId="41DB12EC" w14:textId="0DA47E2F" w:rsidP="00C133E1" w:rsidR="00740F60" w:rsidRDefault="00740F60" w:rsidRPr="007F7259">
            <w:pPr>
              <w:jc w:val="center"/>
              <w:rPr>
                <w:lang w:val="fr-FR"/>
              </w:rPr>
            </w:pPr>
            <w:r w:rsidRPr="007F7259">
              <w:rPr>
                <w:lang w:val="fr-FR"/>
              </w:rPr>
              <w:t>1,5%</w:t>
            </w:r>
          </w:p>
        </w:tc>
      </w:tr>
      <w:tr w14:paraId="532F97EB" w14:textId="77777777" w:rsidR="00740F60" w:rsidRPr="007F7259" w:rsidTr="00C133E1">
        <w:trPr>
          <w:trHeight w:val="474"/>
        </w:trPr>
        <w:tc>
          <w:tcPr>
            <w:tcW w:type="dxa" w:w="2560"/>
            <w:hideMark/>
          </w:tcPr>
          <w:p w14:paraId="00A0B2A9" w14:textId="77777777" w:rsidP="00C133E1" w:rsidR="00740F60" w:rsidRDefault="00740F60" w:rsidRPr="007F7259">
            <w:pPr>
              <w:rPr>
                <w:lang w:val="fr-FR"/>
              </w:rPr>
            </w:pPr>
            <w:r w:rsidRPr="007F7259">
              <w:rPr>
                <w:lang w:val="fr-FR"/>
              </w:rPr>
              <w:t>D = doit se développer et progresser dans sa contribution</w:t>
            </w:r>
          </w:p>
        </w:tc>
        <w:tc>
          <w:tcPr>
            <w:tcW w:type="dxa" w:w="1969"/>
            <w:hideMark/>
          </w:tcPr>
          <w:p w14:paraId="2FF2A675" w14:textId="2F30F315" w:rsidP="00C133E1" w:rsidR="00740F60" w:rsidRDefault="00740F60" w:rsidRPr="007F7259">
            <w:pPr>
              <w:jc w:val="center"/>
              <w:rPr>
                <w:lang w:val="fr-FR"/>
              </w:rPr>
            </w:pPr>
            <w:r w:rsidRPr="007F7259">
              <w:rPr>
                <w:lang w:val="fr-FR"/>
              </w:rPr>
              <w:t>0,5%</w:t>
            </w:r>
          </w:p>
        </w:tc>
        <w:tc>
          <w:tcPr>
            <w:tcW w:type="dxa" w:w="1968"/>
            <w:hideMark/>
          </w:tcPr>
          <w:p w14:paraId="0AE89EAA" w14:textId="29CB1EF2" w:rsidP="00C133E1" w:rsidR="00740F60" w:rsidRDefault="00740F60" w:rsidRPr="007F7259">
            <w:pPr>
              <w:jc w:val="center"/>
              <w:rPr>
                <w:lang w:val="fr-FR"/>
              </w:rPr>
            </w:pPr>
            <w:r w:rsidRPr="007F7259">
              <w:rPr>
                <w:lang w:val="fr-FR"/>
              </w:rPr>
              <w:t>0,5%</w:t>
            </w:r>
          </w:p>
        </w:tc>
        <w:tc>
          <w:tcPr>
            <w:tcW w:type="dxa" w:w="1968"/>
            <w:hideMark/>
          </w:tcPr>
          <w:p w14:paraId="191B9BAA" w14:textId="69DF4399" w:rsidP="00C133E1" w:rsidR="00740F60" w:rsidRDefault="00740F60" w:rsidRPr="007F7259">
            <w:pPr>
              <w:jc w:val="center"/>
              <w:rPr>
                <w:lang w:val="fr-FR"/>
              </w:rPr>
            </w:pPr>
            <w:r w:rsidRPr="007F7259">
              <w:rPr>
                <w:lang w:val="fr-FR"/>
              </w:rPr>
              <w:t>0,5%</w:t>
            </w:r>
          </w:p>
        </w:tc>
      </w:tr>
    </w:tbl>
    <w:p w14:paraId="6D2607BB" w14:textId="0E260600" w:rsidP="006A0820" w:rsidR="007F03AB" w:rsidRDefault="007F03AB" w:rsidRPr="007F7259">
      <w:pPr>
        <w:jc w:val="both"/>
        <w:rPr>
          <w:lang w:val="fr-FR"/>
        </w:rPr>
      </w:pPr>
    </w:p>
    <w:p w14:paraId="53775484" w14:textId="77777777" w:rsidP="00361FC5" w:rsidR="00361FC5" w:rsidRDefault="00361FC5" w:rsidRPr="00361FC5">
      <w:pPr>
        <w:ind w:left="720"/>
        <w:jc w:val="both"/>
        <w:rPr>
          <w:lang w:val="fr-FR"/>
        </w:rPr>
      </w:pPr>
      <w:r w:rsidRPr="00361FC5">
        <w:rPr>
          <w:lang w:val="fr-FR"/>
        </w:rPr>
        <w:t>Afin de protéger les plus bas salaires, une augmentation de 0,5% sera appliquée en plus de la grille ci-dessus pour les salariés ayant un salaire de base (hors primes) dont le montant brut mensuel est inférieur à 2 000 € par mois au 31 mars 2022.</w:t>
      </w:r>
    </w:p>
    <w:p w14:paraId="23F23B60" w14:textId="77777777" w:rsidP="00361FC5" w:rsidR="00361FC5" w:rsidRDefault="00361FC5" w:rsidRPr="00361FC5">
      <w:pPr>
        <w:ind w:left="720"/>
        <w:jc w:val="both"/>
        <w:rPr>
          <w:lang w:val="fr-FR"/>
        </w:rPr>
      </w:pPr>
    </w:p>
    <w:p w14:paraId="1EDC892D" w14:textId="67F5FDD0" w:rsidP="00361FC5" w:rsidR="00361FC5" w:rsidRDefault="009F7074" w:rsidRPr="00361FC5">
      <w:pPr>
        <w:ind w:left="720"/>
        <w:jc w:val="both"/>
        <w:rPr>
          <w:lang w:val="fr-FR"/>
        </w:rPr>
      </w:pPr>
      <w:r>
        <w:rPr>
          <w:lang w:val="fr-FR"/>
        </w:rPr>
        <w:t>En</w:t>
      </w:r>
      <w:r w:rsidR="00762812">
        <w:rPr>
          <w:lang w:val="fr-FR"/>
        </w:rPr>
        <w:t>fin, l</w:t>
      </w:r>
      <w:r w:rsidR="00361FC5" w:rsidRPr="00361FC5">
        <w:rPr>
          <w:lang w:val="fr-FR"/>
        </w:rPr>
        <w:t xml:space="preserve">e budget résiduel après application de la grille sera </w:t>
      </w:r>
      <w:r w:rsidR="0004651D">
        <w:rPr>
          <w:lang w:val="fr-FR"/>
        </w:rPr>
        <w:t>distribué</w:t>
      </w:r>
      <w:r w:rsidR="00361FC5" w:rsidRPr="00361FC5">
        <w:rPr>
          <w:lang w:val="fr-FR"/>
        </w:rPr>
        <w:t xml:space="preserve"> sur recommandation des managers pour reconnaitre l’engagement ou la performance et veiller à l’équité dans les équipes.</w:t>
      </w:r>
    </w:p>
    <w:p w14:paraId="7557AB1E" w14:textId="06ACCE2F" w:rsidP="006A0820" w:rsidR="007F03AB" w:rsidRDefault="007F03AB" w:rsidRPr="00361FC5">
      <w:pPr>
        <w:jc w:val="both"/>
        <w:rPr>
          <w:lang w:val="fr-FR"/>
        </w:rPr>
      </w:pPr>
    </w:p>
    <w:p w14:paraId="2FC338D2" w14:textId="0213BD95" w:rsidP="00574FBD" w:rsidR="004B4C46" w:rsidRDefault="00290468" w:rsidRPr="00574FBD">
      <w:pPr>
        <w:ind w:left="720"/>
        <w:jc w:val="both"/>
        <w:rPr>
          <w:bCs/>
          <w:lang w:val="fr-FR"/>
        </w:rPr>
      </w:pPr>
      <w:r w:rsidRPr="00361FC5">
        <w:rPr>
          <w:bCs/>
          <w:lang w:val="fr-FR"/>
        </w:rPr>
        <w:t>Ces augmentations individuelles seront effectives au 1er avril 2022</w:t>
      </w:r>
      <w:r w:rsidR="0054476B">
        <w:rPr>
          <w:bCs/>
          <w:lang w:val="fr-FR"/>
        </w:rPr>
        <w:t xml:space="preserve"> </w:t>
      </w:r>
      <w:r w:rsidR="0054476B" w:rsidRPr="0054476B">
        <w:rPr>
          <w:lang w:val="fr-FR"/>
        </w:rPr>
        <w:t>sous condition d’embauche avant le 31 décembre 2021</w:t>
      </w:r>
      <w:r w:rsidRPr="00361FC5">
        <w:rPr>
          <w:bCs/>
          <w:lang w:val="fr-FR"/>
        </w:rPr>
        <w:t>.</w:t>
      </w:r>
    </w:p>
    <w:p w14:paraId="063606D1" w14:textId="77777777" w:rsidP="004B4C46" w:rsidR="00E320F4" w:rsidRDefault="00E320F4" w:rsidRPr="007F7259">
      <w:pPr>
        <w:jc w:val="both"/>
        <w:rPr>
          <w:lang w:val="fr-FR"/>
        </w:rPr>
      </w:pPr>
    </w:p>
    <w:p w14:paraId="16353D23" w14:textId="77777777" w:rsidR="00B8725A" w:rsidRDefault="00B8725A">
      <w:pPr>
        <w:rPr>
          <w:b/>
          <w:lang w:val="fr-FR"/>
        </w:rPr>
      </w:pPr>
      <w:r>
        <w:rPr>
          <w:b/>
          <w:lang w:val="fr-FR"/>
        </w:rPr>
        <w:br w:type="page"/>
      </w:r>
    </w:p>
    <w:p w14:paraId="6F678EDA" w14:textId="26CCB47F" w:rsidP="004B4C46" w:rsidR="004B4C46" w:rsidRDefault="004B4C46" w:rsidRPr="007F7259">
      <w:pPr>
        <w:jc w:val="both"/>
        <w:rPr>
          <w:b/>
          <w:lang w:val="fr-FR"/>
        </w:rPr>
      </w:pPr>
      <w:r w:rsidRPr="007F7259">
        <w:rPr>
          <w:b/>
          <w:lang w:val="fr-FR"/>
        </w:rPr>
        <w:lastRenderedPageBreak/>
        <w:t>Article 2 - Dispositions relatives aux cadres</w:t>
      </w:r>
    </w:p>
    <w:p w14:paraId="72E034BB" w14:textId="77777777" w:rsidP="004B4C46" w:rsidR="004B4C46" w:rsidRDefault="004B4C46" w:rsidRPr="007F7259">
      <w:pPr>
        <w:jc w:val="both"/>
        <w:rPr>
          <w:b/>
          <w:lang w:val="fr-FR"/>
        </w:rPr>
      </w:pPr>
    </w:p>
    <w:p w14:paraId="1E53EDBC" w14:textId="4B1E4470" w:rsidP="007F03AB" w:rsidR="004B4C46" w:rsidRDefault="004B4C46" w:rsidRPr="007F7259">
      <w:pPr>
        <w:ind w:firstLine="720"/>
        <w:jc w:val="both"/>
        <w:rPr>
          <w:b/>
          <w:lang w:val="fr-FR"/>
        </w:rPr>
      </w:pPr>
      <w:r w:rsidRPr="007F7259">
        <w:rPr>
          <w:b/>
          <w:lang w:val="fr-FR"/>
        </w:rPr>
        <w:t xml:space="preserve">A </w:t>
      </w:r>
      <w:r w:rsidR="007F03AB" w:rsidRPr="007F7259">
        <w:rPr>
          <w:b/>
          <w:lang w:val="fr-FR"/>
        </w:rPr>
        <w:t xml:space="preserve">- </w:t>
      </w:r>
      <w:r w:rsidRPr="007F7259">
        <w:rPr>
          <w:b/>
          <w:lang w:val="fr-FR"/>
        </w:rPr>
        <w:t>Enveloppe d’augmentation de la masse salariale</w:t>
      </w:r>
    </w:p>
    <w:p w14:paraId="14D40C42" w14:textId="77777777" w:rsidP="004B4C46" w:rsidR="004B4C46" w:rsidRDefault="004B4C46" w:rsidRPr="007F7259">
      <w:pPr>
        <w:jc w:val="both"/>
        <w:rPr>
          <w:b/>
          <w:u w:val="single"/>
          <w:lang w:val="fr-FR"/>
        </w:rPr>
      </w:pPr>
    </w:p>
    <w:p w14:paraId="25E6F3FB" w14:textId="4747AD27" w:rsidP="007F03AB" w:rsidR="004B4C46" w:rsidRDefault="004B4C46" w:rsidRPr="007F7259">
      <w:pPr>
        <w:ind w:left="720"/>
        <w:jc w:val="both"/>
        <w:rPr>
          <w:lang w:val="fr-FR"/>
        </w:rPr>
      </w:pPr>
      <w:r w:rsidRPr="007F7259">
        <w:rPr>
          <w:lang w:val="fr-FR"/>
        </w:rPr>
        <w:t xml:space="preserve">Les parties conviennent, pour l’année </w:t>
      </w:r>
      <w:r w:rsidR="00BE64B3" w:rsidRPr="007F7259">
        <w:rPr>
          <w:lang w:val="fr-FR"/>
        </w:rPr>
        <w:t>2022</w:t>
      </w:r>
      <w:r w:rsidRPr="007F7259">
        <w:rPr>
          <w:lang w:val="fr-FR"/>
        </w:rPr>
        <w:t xml:space="preserve">, d’une enveloppe d’augmentation d’un montant global correspondant à 2,5% </w:t>
      </w:r>
      <w:r w:rsidR="003070D4" w:rsidRPr="007F7259">
        <w:rPr>
          <w:lang w:val="fr-FR"/>
        </w:rPr>
        <w:t>des salaires de base</w:t>
      </w:r>
      <w:r w:rsidRPr="007F7259">
        <w:rPr>
          <w:lang w:val="fr-FR"/>
        </w:rPr>
        <w:t xml:space="preserve"> des cadres.</w:t>
      </w:r>
    </w:p>
    <w:p w14:paraId="282A99E9" w14:textId="77777777" w:rsidP="007F03AB" w:rsidR="004B4C46" w:rsidRDefault="004B4C46" w:rsidRPr="007F7259">
      <w:pPr>
        <w:ind w:left="720"/>
        <w:jc w:val="both"/>
        <w:rPr>
          <w:lang w:val="fr-FR"/>
        </w:rPr>
      </w:pPr>
    </w:p>
    <w:p w14:paraId="2F014579" w14:textId="0CE635EA" w:rsidP="007F03AB" w:rsidR="0094290A" w:rsidRDefault="008376BE" w:rsidRPr="007F7259">
      <w:pPr>
        <w:ind w:left="720"/>
        <w:jc w:val="both"/>
        <w:rPr>
          <w:lang w:val="fr-FR"/>
        </w:rPr>
      </w:pPr>
      <w:r w:rsidRPr="007F7259">
        <w:rPr>
          <w:lang w:val="fr-FR"/>
        </w:rPr>
        <w:t>Sont exclues de cette enveloppe d’augmentation</w:t>
      </w:r>
      <w:r w:rsidR="00305984" w:rsidRPr="007F7259">
        <w:rPr>
          <w:lang w:val="fr-FR"/>
        </w:rPr>
        <w:t>,</w:t>
      </w:r>
      <w:r w:rsidRPr="007F7259">
        <w:rPr>
          <w:lang w:val="fr-FR"/>
        </w:rPr>
        <w:t xml:space="preserve"> les augmentations résultant de promotions et de certifications ainsi que celles liées aux objectifs </w:t>
      </w:r>
      <w:r w:rsidR="00305984" w:rsidRPr="007F7259">
        <w:rPr>
          <w:lang w:val="fr-FR"/>
        </w:rPr>
        <w:t>de</w:t>
      </w:r>
      <w:r w:rsidRPr="007F7259">
        <w:rPr>
          <w:lang w:val="fr-FR"/>
        </w:rPr>
        <w:t xml:space="preserve"> couverture d’égalité salariale qui auront lieu au cours de l’année 2022.</w:t>
      </w:r>
    </w:p>
    <w:p w14:paraId="56481F83" w14:textId="27EDCEC4" w:rsidP="007F03AB" w:rsidR="008376BE" w:rsidRDefault="008376BE" w:rsidRPr="007F7259">
      <w:pPr>
        <w:ind w:left="720"/>
        <w:jc w:val="both"/>
        <w:rPr>
          <w:lang w:val="fr-FR"/>
        </w:rPr>
      </w:pPr>
    </w:p>
    <w:p w14:paraId="04EE2973" w14:textId="72AF8B93" w:rsidP="0012680A" w:rsidR="0094290A" w:rsidRDefault="00305984" w:rsidRPr="007F7259">
      <w:pPr>
        <w:ind w:left="720"/>
        <w:jc w:val="both"/>
        <w:rPr>
          <w:lang w:val="fr-FR"/>
        </w:rPr>
      </w:pPr>
      <w:r w:rsidRPr="007F7259">
        <w:rPr>
          <w:lang w:val="fr-FR"/>
        </w:rPr>
        <w:t xml:space="preserve">Afin de rester compétitif sur le marché et continuer à retenir et attirer les talents, plusieurs fourchettes de salaire présentées par la Direction sont </w:t>
      </w:r>
      <w:r w:rsidRPr="00AC1454">
        <w:rPr>
          <w:lang w:val="fr-FR"/>
        </w:rPr>
        <w:t>augmentées au 1</w:t>
      </w:r>
      <w:r w:rsidRPr="00AC1454">
        <w:rPr>
          <w:vertAlign w:val="superscript"/>
          <w:lang w:val="fr-FR"/>
        </w:rPr>
        <w:t>er</w:t>
      </w:r>
      <w:r w:rsidRPr="00AC1454">
        <w:rPr>
          <w:lang w:val="fr-FR"/>
        </w:rPr>
        <w:t xml:space="preserve"> janvier 2022 (annexe).</w:t>
      </w:r>
    </w:p>
    <w:p w14:paraId="20BE4A84" w14:textId="77777777" w:rsidP="004B4C46" w:rsidR="00BE64B3" w:rsidRDefault="00BE64B3" w:rsidRPr="007F7259">
      <w:pPr>
        <w:jc w:val="both"/>
        <w:rPr>
          <w:lang w:val="fr-FR"/>
        </w:rPr>
      </w:pPr>
    </w:p>
    <w:p w14:paraId="7B9208F5" w14:textId="2A38EAD0" w:rsidP="00BE64B3" w:rsidR="004B4C46" w:rsidRDefault="00BE64B3" w:rsidRPr="007F7259">
      <w:pPr>
        <w:ind w:firstLine="720"/>
        <w:rPr>
          <w:b/>
          <w:lang w:val="fr-FR"/>
        </w:rPr>
      </w:pPr>
      <w:r w:rsidRPr="007F7259">
        <w:rPr>
          <w:b/>
          <w:lang w:val="fr-FR"/>
        </w:rPr>
        <w:t xml:space="preserve">B - </w:t>
      </w:r>
      <w:r w:rsidR="004B4C46" w:rsidRPr="007F7259">
        <w:rPr>
          <w:b/>
          <w:lang w:val="fr-FR"/>
        </w:rPr>
        <w:t xml:space="preserve">Attribution des augmentations </w:t>
      </w:r>
    </w:p>
    <w:p w14:paraId="2C6EABA5" w14:textId="77777777" w:rsidP="004B4C46" w:rsidR="004B4C46" w:rsidRDefault="004B4C46" w:rsidRPr="007F7259">
      <w:pPr>
        <w:jc w:val="both"/>
        <w:rPr>
          <w:lang w:val="fr-FR"/>
        </w:rPr>
      </w:pPr>
    </w:p>
    <w:p w14:paraId="2D139751" w14:textId="2FA4FED1" w:rsidP="00BE64B3" w:rsidR="00BE64B3" w:rsidRDefault="00AE756B" w:rsidRPr="007F7259">
      <w:pPr>
        <w:ind w:left="720"/>
        <w:jc w:val="both"/>
        <w:rPr>
          <w:lang w:val="fr-FR"/>
        </w:rPr>
      </w:pPr>
      <w:r>
        <w:rPr>
          <w:lang w:val="fr-FR"/>
        </w:rPr>
        <w:t>Un premier niveau d</w:t>
      </w:r>
      <w:r w:rsidR="00BE64B3" w:rsidRPr="007F7259">
        <w:rPr>
          <w:lang w:val="fr-FR"/>
        </w:rPr>
        <w:t xml:space="preserve">’attribution de cette augmentation se fera </w:t>
      </w:r>
      <w:r w:rsidR="0094290A" w:rsidRPr="007F7259">
        <w:rPr>
          <w:lang w:val="fr-FR"/>
        </w:rPr>
        <w:t>en pourcentage appliqué au salaire de base brut</w:t>
      </w:r>
      <w:r w:rsidR="00BE64B3" w:rsidRPr="007F7259">
        <w:rPr>
          <w:lang w:val="fr-FR"/>
        </w:rPr>
        <w:t xml:space="preserve">, en fonction de la performance évaluée au titre de l’année 2021 et </w:t>
      </w:r>
      <w:r w:rsidR="0094290A" w:rsidRPr="007F7259">
        <w:rPr>
          <w:lang w:val="fr-FR"/>
        </w:rPr>
        <w:t>du</w:t>
      </w:r>
      <w:r w:rsidR="00BE64B3" w:rsidRPr="007F7259">
        <w:rPr>
          <w:lang w:val="fr-FR"/>
        </w:rPr>
        <w:t xml:space="preserve"> positionnement salarial, selon </w:t>
      </w:r>
      <w:r w:rsidR="009B4968" w:rsidRPr="007F7259">
        <w:rPr>
          <w:lang w:val="fr-FR"/>
        </w:rPr>
        <w:t>la grille</w:t>
      </w:r>
      <w:r w:rsidR="00290468" w:rsidRPr="007F7259">
        <w:rPr>
          <w:lang w:val="fr-FR"/>
        </w:rPr>
        <w:t xml:space="preserve"> </w:t>
      </w:r>
      <w:r w:rsidR="00BE64B3" w:rsidRPr="007F7259">
        <w:rPr>
          <w:lang w:val="fr-FR"/>
        </w:rPr>
        <w:t>ci-dessous :</w:t>
      </w:r>
    </w:p>
    <w:p w14:paraId="752B2A40" w14:textId="1400C3E0" w:rsidP="00BE64B3" w:rsidR="00290468" w:rsidRDefault="00290468" w:rsidRPr="007F7259">
      <w:pPr>
        <w:ind w:left="720"/>
        <w:jc w:val="both"/>
        <w:rPr>
          <w:lang w:val="fr-FR"/>
        </w:rPr>
      </w:pPr>
    </w:p>
    <w:tbl>
      <w:tblPr>
        <w:tblStyle w:val="Grilledutableau"/>
        <w:tblW w:type="dxa" w:w="7819"/>
        <w:jc w:val="center"/>
        <w:tblLook w:firstColumn="0" w:firstRow="1" w:lastColumn="0" w:lastRow="0" w:noHBand="0" w:noVBand="1" w:val="0420"/>
      </w:tblPr>
      <w:tblGrid>
        <w:gridCol w:w="3285"/>
        <w:gridCol w:w="2267"/>
        <w:gridCol w:w="2267"/>
      </w:tblGrid>
      <w:tr w14:paraId="37EEA65B" w14:textId="77777777" w:rsidR="00BE64B3" w:rsidRPr="007F7259" w:rsidTr="00580B1A">
        <w:trPr>
          <w:trHeight w:val="474"/>
          <w:jc w:val="center"/>
        </w:trPr>
        <w:tc>
          <w:tcPr>
            <w:tcW w:type="dxa" w:w="3285"/>
            <w:shd w:color="auto" w:fill="auto" w:val="clear"/>
            <w:hideMark/>
          </w:tcPr>
          <w:p w14:paraId="390ED9B6" w14:textId="7B9ACBB7" w:rsidP="00BE64B3" w:rsidR="00BE64B3" w:rsidRDefault="00BE64B3" w:rsidRPr="007F7259">
            <w:pPr>
              <w:jc w:val="both"/>
              <w:rPr>
                <w:lang w:val="fr-FR"/>
              </w:rPr>
            </w:pPr>
          </w:p>
        </w:tc>
        <w:tc>
          <w:tcPr>
            <w:tcW w:type="dxa" w:w="2267"/>
            <w:shd w:color="auto" w:fill="auto" w:val="clear"/>
            <w:hideMark/>
          </w:tcPr>
          <w:p w14:paraId="19245838" w14:textId="71103E08" w:rsidP="00BE64B3" w:rsidR="00BE64B3" w:rsidRDefault="00BE64B3" w:rsidRPr="007F7259">
            <w:pPr>
              <w:jc w:val="center"/>
              <w:rPr>
                <w:lang w:val="fr-FR"/>
              </w:rPr>
            </w:pPr>
            <w:r w:rsidRPr="007F7259">
              <w:rPr>
                <w:lang w:val="fr-FR"/>
              </w:rPr>
              <w:t>En</w:t>
            </w:r>
            <w:r w:rsidR="001237E1" w:rsidRPr="007F7259">
              <w:rPr>
                <w:lang w:val="fr-FR"/>
              </w:rPr>
              <w:t>-</w:t>
            </w:r>
            <w:r w:rsidRPr="007F7259">
              <w:rPr>
                <w:lang w:val="fr-FR"/>
              </w:rPr>
              <w:t>dessous et</w:t>
            </w:r>
          </w:p>
          <w:p w14:paraId="09C2E72C" w14:textId="4F29E315" w:rsidP="00BE64B3" w:rsidR="00BE64B3" w:rsidRDefault="00BE64B3" w:rsidRPr="007F7259">
            <w:pPr>
              <w:jc w:val="center"/>
              <w:rPr>
                <w:lang w:val="fr-FR"/>
              </w:rPr>
            </w:pPr>
            <w:r w:rsidRPr="007F7259">
              <w:rPr>
                <w:lang w:val="fr-FR"/>
              </w:rPr>
              <w:t>au marché</w:t>
            </w:r>
          </w:p>
        </w:tc>
        <w:tc>
          <w:tcPr>
            <w:tcW w:type="dxa" w:w="2267"/>
            <w:shd w:color="auto" w:fill="auto" w:val="clear"/>
            <w:hideMark/>
          </w:tcPr>
          <w:p w14:paraId="152B447A" w14:textId="1728A3E8" w:rsidP="00BE64B3" w:rsidR="00BE64B3" w:rsidRDefault="00BE64B3" w:rsidRPr="007F7259">
            <w:pPr>
              <w:jc w:val="center"/>
              <w:rPr>
                <w:lang w:val="fr-FR"/>
              </w:rPr>
            </w:pPr>
            <w:r w:rsidRPr="007F7259">
              <w:rPr>
                <w:lang w:val="fr-FR"/>
              </w:rPr>
              <w:t>Au</w:t>
            </w:r>
            <w:r w:rsidR="001237E1" w:rsidRPr="007F7259">
              <w:rPr>
                <w:lang w:val="fr-FR"/>
              </w:rPr>
              <w:t>-</w:t>
            </w:r>
            <w:r w:rsidRPr="007F7259">
              <w:rPr>
                <w:lang w:val="fr-FR"/>
              </w:rPr>
              <w:t>dessus du marché</w:t>
            </w:r>
          </w:p>
        </w:tc>
      </w:tr>
      <w:tr w14:paraId="0F42E7C1" w14:textId="77777777" w:rsidR="00BE64B3" w:rsidRPr="007F7259" w:rsidTr="00580B1A">
        <w:trPr>
          <w:trHeight w:val="474"/>
          <w:jc w:val="center"/>
        </w:trPr>
        <w:tc>
          <w:tcPr>
            <w:tcW w:type="dxa" w:w="3285"/>
            <w:shd w:color="auto" w:fill="auto" w:val="clear"/>
            <w:hideMark/>
          </w:tcPr>
          <w:p w14:paraId="357C881F" w14:textId="75B771A9" w:rsidP="00BE64B3" w:rsidR="00BE64B3" w:rsidRDefault="00BE64B3" w:rsidRPr="007F7259">
            <w:pPr>
              <w:rPr>
                <w:lang w:val="fr-FR"/>
              </w:rPr>
            </w:pPr>
            <w:r w:rsidRPr="007F7259">
              <w:rPr>
                <w:lang w:val="fr-FR"/>
              </w:rPr>
              <w:t xml:space="preserve">E = </w:t>
            </w:r>
            <w:r w:rsidR="005F0F1E" w:rsidRPr="007F7259">
              <w:rPr>
                <w:lang w:val="fr-FR"/>
              </w:rPr>
              <w:t xml:space="preserve">contribue de manière </w:t>
            </w:r>
            <w:r w:rsidRPr="007F7259">
              <w:rPr>
                <w:lang w:val="fr-FR"/>
              </w:rPr>
              <w:t>exceptionnel</w:t>
            </w:r>
            <w:r w:rsidR="005F0F1E" w:rsidRPr="007F7259">
              <w:rPr>
                <w:lang w:val="fr-FR"/>
              </w:rPr>
              <w:t>le</w:t>
            </w:r>
          </w:p>
          <w:p w14:paraId="5970C713" w14:textId="267DA449" w:rsidP="00BE64B3" w:rsidR="00BE64B3" w:rsidRDefault="00BE64B3" w:rsidRPr="007F7259">
            <w:pPr>
              <w:rPr>
                <w:lang w:val="fr-FR"/>
              </w:rPr>
            </w:pPr>
            <w:r w:rsidRPr="007F7259">
              <w:rPr>
                <w:lang w:val="fr-FR"/>
              </w:rPr>
              <w:t>C = contribue avec succès</w:t>
            </w:r>
          </w:p>
        </w:tc>
        <w:tc>
          <w:tcPr>
            <w:tcW w:type="dxa" w:w="2267"/>
            <w:shd w:color="auto" w:fill="auto" w:val="clear"/>
            <w:vAlign w:val="center"/>
            <w:hideMark/>
          </w:tcPr>
          <w:p w14:paraId="569211D2" w14:textId="0A6A4766" w:rsidP="00EF151E" w:rsidR="00BE64B3" w:rsidRDefault="00BE64B3" w:rsidRPr="007F7259">
            <w:pPr>
              <w:jc w:val="center"/>
              <w:rPr>
                <w:lang w:val="fr-FR"/>
              </w:rPr>
            </w:pPr>
            <w:r w:rsidRPr="007F7259">
              <w:rPr>
                <w:lang w:val="fr-FR"/>
              </w:rPr>
              <w:t>2%</w:t>
            </w:r>
            <w:r w:rsidR="00580B1A" w:rsidRPr="007F7259">
              <w:rPr>
                <w:lang w:val="fr-FR"/>
              </w:rPr>
              <w:t xml:space="preserve"> </w:t>
            </w:r>
          </w:p>
        </w:tc>
        <w:tc>
          <w:tcPr>
            <w:tcW w:type="dxa" w:w="2267"/>
            <w:shd w:color="auto" w:fill="auto" w:val="clear"/>
            <w:vAlign w:val="center"/>
            <w:hideMark/>
          </w:tcPr>
          <w:p w14:paraId="3CC29109" w14:textId="59CF3091" w:rsidP="00EF151E" w:rsidR="00BE64B3" w:rsidRDefault="00BE64B3" w:rsidRPr="007F7259">
            <w:pPr>
              <w:jc w:val="center"/>
              <w:rPr>
                <w:lang w:val="fr-FR"/>
              </w:rPr>
            </w:pPr>
            <w:r w:rsidRPr="007F7259">
              <w:rPr>
                <w:lang w:val="fr-FR"/>
              </w:rPr>
              <w:t>1%</w:t>
            </w:r>
          </w:p>
        </w:tc>
      </w:tr>
      <w:tr w14:paraId="53AE5932" w14:textId="77777777" w:rsidR="00BE64B3" w:rsidRPr="007F7259" w:rsidTr="00580B1A">
        <w:trPr>
          <w:trHeight w:val="474"/>
          <w:jc w:val="center"/>
        </w:trPr>
        <w:tc>
          <w:tcPr>
            <w:tcW w:type="dxa" w:w="3285"/>
            <w:shd w:color="auto" w:fill="auto" w:val="clear"/>
            <w:hideMark/>
          </w:tcPr>
          <w:p w14:paraId="14C196A8" w14:textId="4C405CA0" w:rsidP="00BE64B3" w:rsidR="00BE64B3" w:rsidRDefault="00BE64B3" w:rsidRPr="007F7259">
            <w:pPr>
              <w:rPr>
                <w:lang w:val="fr-FR"/>
              </w:rPr>
            </w:pPr>
            <w:r w:rsidRPr="007F7259">
              <w:rPr>
                <w:lang w:val="fr-FR"/>
              </w:rPr>
              <w:t xml:space="preserve">D = </w:t>
            </w:r>
            <w:r w:rsidR="002D4F3B" w:rsidRPr="007F7259">
              <w:rPr>
                <w:lang w:val="fr-FR"/>
              </w:rPr>
              <w:t>doit se développer et progresser dans sa contribution</w:t>
            </w:r>
          </w:p>
        </w:tc>
        <w:tc>
          <w:tcPr>
            <w:tcW w:type="dxa" w:w="2267"/>
            <w:shd w:color="auto" w:fill="auto" w:val="clear"/>
            <w:vAlign w:val="center"/>
            <w:hideMark/>
          </w:tcPr>
          <w:p w14:paraId="61BD5FB4" w14:textId="7B3EAA1D" w:rsidP="00EF151E" w:rsidR="00BE64B3" w:rsidRDefault="006C7DCB" w:rsidRPr="007F7259">
            <w:pPr>
              <w:jc w:val="center"/>
              <w:rPr>
                <w:lang w:val="fr-FR"/>
              </w:rPr>
            </w:pPr>
            <w:r>
              <w:rPr>
                <w:lang w:val="fr-FR"/>
              </w:rPr>
              <w:t>0</w:t>
            </w:r>
            <w:r w:rsidR="00A2408B" w:rsidRPr="007F7259">
              <w:rPr>
                <w:lang w:val="fr-FR"/>
              </w:rPr>
              <w:t>%</w:t>
            </w:r>
          </w:p>
        </w:tc>
        <w:tc>
          <w:tcPr>
            <w:tcW w:type="dxa" w:w="2267"/>
            <w:shd w:color="auto" w:fill="auto" w:val="clear"/>
            <w:vAlign w:val="center"/>
            <w:hideMark/>
          </w:tcPr>
          <w:p w14:paraId="390D70D4" w14:textId="77777777" w:rsidP="00EF151E" w:rsidR="00BE64B3" w:rsidRDefault="00BE64B3" w:rsidRPr="007F7259">
            <w:pPr>
              <w:jc w:val="center"/>
              <w:rPr>
                <w:lang w:val="fr-FR"/>
              </w:rPr>
            </w:pPr>
            <w:r w:rsidRPr="007F7259">
              <w:rPr>
                <w:lang w:val="fr-FR"/>
              </w:rPr>
              <w:t>0%</w:t>
            </w:r>
          </w:p>
        </w:tc>
      </w:tr>
    </w:tbl>
    <w:p w14:paraId="022ACE9B" w14:textId="3F44CD7D" w:rsidP="00580B1A" w:rsidR="00580B1A" w:rsidRDefault="00580B1A" w:rsidRPr="007F7259">
      <w:pPr>
        <w:jc w:val="both"/>
        <w:rPr>
          <w:lang w:val="fr-FR"/>
        </w:rPr>
      </w:pPr>
    </w:p>
    <w:p w14:paraId="4AFCD58E" w14:textId="1DC0815B" w:rsidP="00361FC5" w:rsidR="00361FC5" w:rsidRDefault="000861A7" w:rsidRPr="007F7259">
      <w:pPr>
        <w:ind w:left="720"/>
        <w:jc w:val="both"/>
        <w:rPr>
          <w:lang w:val="fr-FR"/>
        </w:rPr>
      </w:pPr>
      <w:r>
        <w:rPr>
          <w:lang w:val="fr-FR"/>
        </w:rPr>
        <w:t>Enfin, l</w:t>
      </w:r>
      <w:r w:rsidR="00361FC5" w:rsidRPr="00361FC5">
        <w:rPr>
          <w:lang w:val="fr-FR"/>
        </w:rPr>
        <w:t xml:space="preserve">e budget résiduel après application de la grille sera </w:t>
      </w:r>
      <w:r>
        <w:rPr>
          <w:lang w:val="fr-FR"/>
        </w:rPr>
        <w:t>distribué</w:t>
      </w:r>
      <w:r w:rsidR="00361FC5" w:rsidRPr="00361FC5">
        <w:rPr>
          <w:lang w:val="fr-FR"/>
        </w:rPr>
        <w:t xml:space="preserve"> pour reconnaitre l’engagement ou la performance et veiller à l’équité dans les équipes.</w:t>
      </w:r>
    </w:p>
    <w:p w14:paraId="74911C09" w14:textId="77777777" w:rsidP="00BE64B3" w:rsidR="009B4968" w:rsidRDefault="009B4968" w:rsidRPr="007F7259">
      <w:pPr>
        <w:ind w:left="720"/>
        <w:jc w:val="both"/>
        <w:rPr>
          <w:lang w:val="fr-FR"/>
        </w:rPr>
      </w:pPr>
    </w:p>
    <w:p w14:paraId="60A67EE8" w14:textId="509985F4" w:rsidP="00BE64B3" w:rsidR="004B4C46" w:rsidRDefault="004B4C46" w:rsidRPr="007F7259">
      <w:pPr>
        <w:ind w:left="720"/>
        <w:jc w:val="both"/>
        <w:rPr>
          <w:lang w:val="fr-FR"/>
        </w:rPr>
      </w:pPr>
      <w:r w:rsidRPr="007F7259">
        <w:rPr>
          <w:lang w:val="fr-FR"/>
        </w:rPr>
        <w:t xml:space="preserve">Ces augmentations individuelles seront effectives au 1er avril </w:t>
      </w:r>
      <w:r w:rsidR="00BE64B3" w:rsidRPr="007F7259">
        <w:rPr>
          <w:lang w:val="fr-FR"/>
        </w:rPr>
        <w:t>2022</w:t>
      </w:r>
      <w:r w:rsidR="000C58D2">
        <w:rPr>
          <w:lang w:val="fr-FR"/>
        </w:rPr>
        <w:t xml:space="preserve"> </w:t>
      </w:r>
      <w:r w:rsidR="000C58D2" w:rsidRPr="0054476B">
        <w:rPr>
          <w:lang w:val="fr-FR"/>
        </w:rPr>
        <w:t>sous condition d’embauche avant le 31 décembre 2021</w:t>
      </w:r>
      <w:r w:rsidR="00BE64B3" w:rsidRPr="007F7259">
        <w:rPr>
          <w:lang w:val="fr-FR"/>
        </w:rPr>
        <w:t>.</w:t>
      </w:r>
    </w:p>
    <w:p w14:paraId="3DE6599B" w14:textId="77777777" w:rsidP="002734F9" w:rsidR="0022046B" w:rsidRDefault="0022046B" w:rsidRPr="007F7259">
      <w:pPr>
        <w:jc w:val="both"/>
        <w:rPr>
          <w:lang w:val="fr-FR"/>
        </w:rPr>
      </w:pPr>
    </w:p>
    <w:p w14:paraId="7396E623" w14:textId="23A93263" w:rsidP="00261984" w:rsidR="004B4C46" w:rsidRDefault="004B4C46" w:rsidRPr="007F7259">
      <w:pPr>
        <w:jc w:val="both"/>
        <w:rPr>
          <w:b/>
          <w:lang w:val="fr-FR"/>
        </w:rPr>
      </w:pPr>
      <w:r w:rsidRPr="007F7259">
        <w:rPr>
          <w:b/>
          <w:lang w:val="fr-FR"/>
        </w:rPr>
        <w:t xml:space="preserve">Article 3 </w:t>
      </w:r>
      <w:r w:rsidR="00D85880" w:rsidRPr="007F7259">
        <w:rPr>
          <w:b/>
          <w:lang w:val="fr-FR"/>
        </w:rPr>
        <w:t>–</w:t>
      </w:r>
      <w:r w:rsidR="0094290A" w:rsidRPr="007F7259">
        <w:rPr>
          <w:b/>
          <w:lang w:val="fr-FR"/>
        </w:rPr>
        <w:t xml:space="preserve"> </w:t>
      </w:r>
      <w:r w:rsidR="002734F9" w:rsidRPr="007F7259">
        <w:rPr>
          <w:b/>
          <w:lang w:val="fr-FR"/>
        </w:rPr>
        <w:t>Disposition</w:t>
      </w:r>
      <w:r w:rsidR="00D85880" w:rsidRPr="007F7259">
        <w:rPr>
          <w:b/>
          <w:lang w:val="fr-FR"/>
        </w:rPr>
        <w:t xml:space="preserve"> relative à la prime </w:t>
      </w:r>
      <w:r w:rsidR="002734F9" w:rsidRPr="007F7259">
        <w:rPr>
          <w:b/>
          <w:lang w:val="fr-FR"/>
        </w:rPr>
        <w:t>polyvalence</w:t>
      </w:r>
      <w:r w:rsidRPr="007F7259">
        <w:rPr>
          <w:b/>
          <w:lang w:val="fr-FR"/>
        </w:rPr>
        <w:t xml:space="preserve"> </w:t>
      </w:r>
    </w:p>
    <w:p w14:paraId="7F07D3F5" w14:textId="77777777" w:rsidP="004B4C46" w:rsidR="004B4C46" w:rsidRDefault="004B4C46" w:rsidRPr="007F7259">
      <w:pPr>
        <w:jc w:val="both"/>
        <w:rPr>
          <w:lang w:val="fr-FR"/>
        </w:rPr>
      </w:pPr>
    </w:p>
    <w:p w14:paraId="073196E6" w14:textId="77777777" w:rsidP="00F336F0" w:rsidR="00F336F0" w:rsidRDefault="00F336F0">
      <w:pPr>
        <w:jc w:val="both"/>
        <w:rPr>
          <w:lang w:val="fr-FR"/>
        </w:rPr>
      </w:pPr>
      <w:r>
        <w:rPr>
          <w:lang w:val="fr-FR"/>
        </w:rPr>
        <w:t xml:space="preserve">Le montant de la prime annuelle de polyvalence est </w:t>
      </w:r>
      <w:r w:rsidRPr="00F336F0">
        <w:rPr>
          <w:lang w:val="fr-FR"/>
        </w:rPr>
        <w:t>revalorisée de manière pérenne à</w:t>
      </w:r>
      <w:r>
        <w:rPr>
          <w:lang w:val="fr-FR"/>
        </w:rPr>
        <w:t xml:space="preserve"> 1 000 € bruts. </w:t>
      </w:r>
    </w:p>
    <w:p w14:paraId="5A8B3DB5" w14:textId="2ACB3ADF" w:rsidP="004B4C46" w:rsidR="001237E1" w:rsidRDefault="001237E1" w:rsidRPr="007F7259">
      <w:pPr>
        <w:jc w:val="both"/>
        <w:rPr>
          <w:lang w:val="fr-FR"/>
        </w:rPr>
      </w:pPr>
    </w:p>
    <w:p w14:paraId="47A8E900" w14:textId="00303AA5" w:rsidP="002734F9" w:rsidR="002734F9" w:rsidRDefault="002734F9" w:rsidRPr="007F7259">
      <w:pPr>
        <w:jc w:val="both"/>
        <w:rPr>
          <w:b/>
          <w:lang w:val="fr-FR"/>
        </w:rPr>
      </w:pPr>
      <w:r w:rsidRPr="007F7259">
        <w:rPr>
          <w:b/>
          <w:lang w:val="fr-FR"/>
        </w:rPr>
        <w:t xml:space="preserve">Article 4 </w:t>
      </w:r>
      <w:r w:rsidR="004A4B2D" w:rsidRPr="007F7259">
        <w:rPr>
          <w:b/>
          <w:lang w:val="fr-FR"/>
        </w:rPr>
        <w:t>–</w:t>
      </w:r>
      <w:r w:rsidRPr="007F7259">
        <w:rPr>
          <w:b/>
          <w:lang w:val="fr-FR"/>
        </w:rPr>
        <w:t xml:space="preserve"> </w:t>
      </w:r>
      <w:r w:rsidR="004A4B2D" w:rsidRPr="007F7259">
        <w:rPr>
          <w:b/>
          <w:lang w:val="fr-FR"/>
        </w:rPr>
        <w:t>Autres dispositions</w:t>
      </w:r>
    </w:p>
    <w:p w14:paraId="55467740" w14:textId="0B59ABA5" w:rsidP="002734F9" w:rsidR="004A4B2D" w:rsidRDefault="004A4B2D" w:rsidRPr="007F7259">
      <w:pPr>
        <w:jc w:val="both"/>
        <w:rPr>
          <w:b/>
          <w:lang w:val="fr-FR"/>
        </w:rPr>
      </w:pPr>
    </w:p>
    <w:p w14:paraId="0D32E706" w14:textId="47E7D3D5" w:rsidP="0031527D" w:rsidR="00C20572" w:rsidRDefault="00CE2E84" w:rsidRPr="0031527D">
      <w:pPr>
        <w:pStyle w:val="Paragraphedeliste"/>
        <w:jc w:val="both"/>
        <w:rPr>
          <w:b/>
          <w:bCs/>
          <w:lang w:val="fr-FR"/>
        </w:rPr>
      </w:pPr>
      <w:r>
        <w:rPr>
          <w:b/>
          <w:bCs/>
          <w:lang w:val="fr-FR"/>
        </w:rPr>
        <w:t>A</w:t>
      </w:r>
      <w:r w:rsidR="0031527D" w:rsidRPr="0031527D">
        <w:rPr>
          <w:b/>
          <w:bCs/>
          <w:lang w:val="fr-FR"/>
        </w:rPr>
        <w:t xml:space="preserve"> - </w:t>
      </w:r>
      <w:r w:rsidR="00D4131F" w:rsidRPr="0031527D">
        <w:rPr>
          <w:b/>
          <w:bCs/>
          <w:lang w:val="fr-FR"/>
        </w:rPr>
        <w:t xml:space="preserve">Reconduction du dispositif relatif au repos compensateur </w:t>
      </w:r>
    </w:p>
    <w:p w14:paraId="401DBDE2" w14:textId="77777777" w:rsidP="00C20572" w:rsidR="00C20572" w:rsidRDefault="00C20572" w:rsidRPr="007F7259">
      <w:pPr>
        <w:pStyle w:val="Paragraphedeliste"/>
        <w:jc w:val="both"/>
        <w:rPr>
          <w:lang w:val="fr-FR"/>
        </w:rPr>
      </w:pPr>
    </w:p>
    <w:p w14:paraId="082CCD04" w14:textId="37756366" w:rsidP="00C20572" w:rsidR="00D4131F" w:rsidRDefault="00D4131F" w:rsidRPr="007F7259">
      <w:pPr>
        <w:pStyle w:val="Paragraphedeliste"/>
        <w:jc w:val="both"/>
        <w:rPr>
          <w:b/>
          <w:lang w:val="fr-FR"/>
        </w:rPr>
      </w:pPr>
      <w:r w:rsidRPr="007F7259">
        <w:rPr>
          <w:lang w:val="fr-FR"/>
        </w:rPr>
        <w:t>CCP maintiendra exceptionnellement pour l’année 202</w:t>
      </w:r>
      <w:r w:rsidR="00C20572" w:rsidRPr="007F7259">
        <w:rPr>
          <w:lang w:val="fr-FR"/>
        </w:rPr>
        <w:t>2</w:t>
      </w:r>
      <w:r w:rsidRPr="007F7259">
        <w:rPr>
          <w:lang w:val="fr-FR"/>
        </w:rPr>
        <w:t xml:space="preserve"> les dispositions antérieurement en vigueur en matière de repos compensateur.</w:t>
      </w:r>
    </w:p>
    <w:p w14:paraId="57D08448" w14:textId="77777777" w:rsidP="00D4131F" w:rsidR="00D4131F" w:rsidRDefault="00D4131F" w:rsidRPr="007F7259">
      <w:pPr>
        <w:pStyle w:val="Paragraphedeliste"/>
        <w:jc w:val="both"/>
        <w:rPr>
          <w:lang w:val="fr-FR"/>
        </w:rPr>
      </w:pPr>
    </w:p>
    <w:p w14:paraId="323F88AD" w14:textId="77777777" w:rsidP="0031527D" w:rsidR="00C20572" w:rsidRDefault="00D4131F" w:rsidRPr="007F7259">
      <w:pPr>
        <w:pStyle w:val="Paragraphedeliste"/>
        <w:ind w:left="1440"/>
        <w:jc w:val="both"/>
        <w:rPr>
          <w:lang w:val="fr-FR"/>
        </w:rPr>
      </w:pPr>
      <w:r w:rsidRPr="007F7259">
        <w:rPr>
          <w:lang w:val="fr-FR"/>
        </w:rPr>
        <w:t xml:space="preserve"> </w:t>
      </w:r>
      <w:r w:rsidRPr="007F7259">
        <w:sym w:char="F0B7" w:font="Symbol"/>
      </w:r>
      <w:r w:rsidRPr="007F7259">
        <w:rPr>
          <w:lang w:val="fr-FR"/>
        </w:rPr>
        <w:t xml:space="preserve"> Acquisition du repos compensateur </w:t>
      </w:r>
    </w:p>
    <w:p w14:paraId="0CA5EAB7" w14:textId="77777777" w:rsidP="00D4131F" w:rsidR="00C20572" w:rsidRDefault="00C20572" w:rsidRPr="007F7259">
      <w:pPr>
        <w:pStyle w:val="Paragraphedeliste"/>
        <w:jc w:val="both"/>
        <w:rPr>
          <w:lang w:val="fr-FR"/>
        </w:rPr>
      </w:pPr>
    </w:p>
    <w:p w14:paraId="72A7202B" w14:textId="77777777" w:rsidP="00D4131F" w:rsidR="00C20572" w:rsidRDefault="00D4131F" w:rsidRPr="007F7259">
      <w:pPr>
        <w:pStyle w:val="Paragraphedeliste"/>
        <w:jc w:val="both"/>
        <w:rPr>
          <w:lang w:val="fr-FR"/>
        </w:rPr>
      </w:pPr>
      <w:r w:rsidRPr="007F7259">
        <w:rPr>
          <w:lang w:val="fr-FR"/>
        </w:rPr>
        <w:lastRenderedPageBreak/>
        <w:t xml:space="preserve">Les heures supplémentaires réalisées en deçà du contingent annuel de référence mais au-delà de 41 heures hebdomadaires de travail effectif donneront droit à un repos compensateur de 30 minutes. </w:t>
      </w:r>
    </w:p>
    <w:p w14:paraId="1AE92844" w14:textId="77777777" w:rsidP="00D4131F" w:rsidR="00C20572" w:rsidRDefault="00C20572" w:rsidRPr="007F7259">
      <w:pPr>
        <w:pStyle w:val="Paragraphedeliste"/>
        <w:jc w:val="both"/>
        <w:rPr>
          <w:lang w:val="fr-FR"/>
        </w:rPr>
      </w:pPr>
    </w:p>
    <w:p w14:paraId="74F18594" w14:textId="77777777" w:rsidP="00D4131F" w:rsidR="00C20572" w:rsidRDefault="00D4131F" w:rsidRPr="007F7259">
      <w:pPr>
        <w:pStyle w:val="Paragraphedeliste"/>
        <w:jc w:val="both"/>
        <w:rPr>
          <w:lang w:val="fr-FR"/>
        </w:rPr>
      </w:pPr>
      <w:r w:rsidRPr="007F7259">
        <w:rPr>
          <w:lang w:val="fr-FR"/>
        </w:rPr>
        <w:t xml:space="preserve">Les heures supplémentaires réalisées au-delà du contingent annuel de référence donneront droit à un repos compensateur d’une heure pour chaque heure supplémentaire effectuée. </w:t>
      </w:r>
    </w:p>
    <w:p w14:paraId="07C52C86" w14:textId="77777777" w:rsidP="00D4131F" w:rsidR="00C20572" w:rsidRDefault="00C20572" w:rsidRPr="007F7259">
      <w:pPr>
        <w:pStyle w:val="Paragraphedeliste"/>
        <w:jc w:val="both"/>
        <w:rPr>
          <w:lang w:val="fr-FR"/>
        </w:rPr>
      </w:pPr>
    </w:p>
    <w:p w14:paraId="5665F4F4" w14:textId="709E663D" w:rsidP="00D4131F" w:rsidR="00D4131F" w:rsidRDefault="00D4131F" w:rsidRPr="007F7259">
      <w:pPr>
        <w:pStyle w:val="Paragraphedeliste"/>
        <w:jc w:val="both"/>
        <w:rPr>
          <w:lang w:val="fr-FR"/>
        </w:rPr>
      </w:pPr>
      <w:r w:rsidRPr="007F7259">
        <w:rPr>
          <w:lang w:val="fr-FR"/>
        </w:rPr>
        <w:t xml:space="preserve">Le contingent annuel de référence est le contingent annuel figurant à l’article 7 de l’Accord sur l’aménagement et la réduction du temps de travail (ARTT) du 28 janvier 2000. Il est fixé à 90 heures. </w:t>
      </w:r>
    </w:p>
    <w:p w14:paraId="796111F5" w14:textId="77777777" w:rsidP="00D4131F" w:rsidR="00D4131F" w:rsidRDefault="00D4131F" w:rsidRPr="007F7259">
      <w:pPr>
        <w:pStyle w:val="Paragraphedeliste"/>
        <w:jc w:val="both"/>
        <w:rPr>
          <w:lang w:val="fr-FR"/>
        </w:rPr>
      </w:pPr>
    </w:p>
    <w:p w14:paraId="50C95D4B" w14:textId="77777777" w:rsidP="0031527D" w:rsidR="00C20572" w:rsidRDefault="00D4131F" w:rsidRPr="007F7259">
      <w:pPr>
        <w:pStyle w:val="Paragraphedeliste"/>
        <w:ind w:firstLine="720"/>
        <w:jc w:val="both"/>
        <w:rPr>
          <w:lang w:val="fr-FR"/>
        </w:rPr>
      </w:pPr>
      <w:r w:rsidRPr="007F7259">
        <w:sym w:char="F0B7" w:font="Symbol"/>
      </w:r>
      <w:r w:rsidRPr="007F7259">
        <w:rPr>
          <w:lang w:val="fr-FR"/>
        </w:rPr>
        <w:t xml:space="preserve"> Utilisation du repos compensateur </w:t>
      </w:r>
    </w:p>
    <w:p w14:paraId="0000890D" w14:textId="77777777" w:rsidP="00D4131F" w:rsidR="00C20572" w:rsidRDefault="00C20572" w:rsidRPr="007F7259">
      <w:pPr>
        <w:pStyle w:val="Paragraphedeliste"/>
        <w:jc w:val="both"/>
        <w:rPr>
          <w:lang w:val="fr-FR"/>
        </w:rPr>
      </w:pPr>
    </w:p>
    <w:p w14:paraId="35653A30" w14:textId="77777777" w:rsidP="00D4131F" w:rsidR="00C20572" w:rsidRDefault="00D4131F" w:rsidRPr="007F7259">
      <w:pPr>
        <w:pStyle w:val="Paragraphedeliste"/>
        <w:jc w:val="both"/>
        <w:rPr>
          <w:lang w:val="fr-FR"/>
        </w:rPr>
      </w:pPr>
      <w:r w:rsidRPr="007F7259">
        <w:rPr>
          <w:lang w:val="fr-FR"/>
        </w:rPr>
        <w:t xml:space="preserve">Le repos compensateur est une contrepartie en repos aux heures supplémentaires effectuées. Le salarié est invité à prendre en repos les heures acquises selon les mêmes modalités que les autres repos compensateurs légalement acquis. L’utilisation du repos compensateur est à l’initiative du salarié. </w:t>
      </w:r>
    </w:p>
    <w:p w14:paraId="59B579CF" w14:textId="77777777" w:rsidP="00D4131F" w:rsidR="00C20572" w:rsidRDefault="00C20572" w:rsidRPr="007F7259">
      <w:pPr>
        <w:pStyle w:val="Paragraphedeliste"/>
        <w:jc w:val="both"/>
        <w:rPr>
          <w:lang w:val="fr-FR"/>
        </w:rPr>
      </w:pPr>
    </w:p>
    <w:p w14:paraId="2E9B8D4A" w14:textId="77777777" w:rsidP="00D4131F" w:rsidR="00C20572" w:rsidRDefault="00D4131F" w:rsidRPr="007F7259">
      <w:pPr>
        <w:pStyle w:val="Paragraphedeliste"/>
        <w:jc w:val="both"/>
        <w:rPr>
          <w:lang w:val="fr-FR"/>
        </w:rPr>
      </w:pPr>
      <w:r w:rsidRPr="007F7259">
        <w:rPr>
          <w:lang w:val="fr-FR"/>
        </w:rPr>
        <w:t xml:space="preserve">Le repos compensateur pourra être utilisé à la journée (7 heures), à la demi-journée (3,5 heures) ou à l’heure. </w:t>
      </w:r>
    </w:p>
    <w:p w14:paraId="1ED89C5F" w14:textId="77777777" w:rsidP="00D4131F" w:rsidR="00C20572" w:rsidRDefault="00C20572" w:rsidRPr="007F7259">
      <w:pPr>
        <w:pStyle w:val="Paragraphedeliste"/>
        <w:jc w:val="both"/>
        <w:rPr>
          <w:lang w:val="fr-FR"/>
        </w:rPr>
      </w:pPr>
    </w:p>
    <w:p w14:paraId="18B49CCC" w14:textId="77777777" w:rsidP="00D4131F" w:rsidR="00C20572" w:rsidRDefault="00D4131F" w:rsidRPr="007F7259">
      <w:pPr>
        <w:pStyle w:val="Paragraphedeliste"/>
        <w:jc w:val="both"/>
        <w:rPr>
          <w:lang w:val="fr-FR"/>
        </w:rPr>
      </w:pPr>
      <w:r w:rsidRPr="007F7259">
        <w:rPr>
          <w:lang w:val="fr-FR"/>
        </w:rPr>
        <w:t xml:space="preserve">Si le salarié n’est pas parvenu à prendre en repos les heures acquises au titre du repos compensateur, le salarié aura la possibilité de placer les heures de repos compensateur dans le Compte épargne temps (CET) dans le respect des accords existants relatifs à ce dispositif. </w:t>
      </w:r>
    </w:p>
    <w:p w14:paraId="0AA5F00B" w14:textId="77777777" w:rsidP="00D4131F" w:rsidR="00C20572" w:rsidRDefault="00C20572" w:rsidRPr="007F7259">
      <w:pPr>
        <w:pStyle w:val="Paragraphedeliste"/>
        <w:jc w:val="both"/>
        <w:rPr>
          <w:lang w:val="fr-FR"/>
        </w:rPr>
      </w:pPr>
    </w:p>
    <w:p w14:paraId="7A5DCE75" w14:textId="63F00969" w:rsidP="00D4131F" w:rsidR="00C20572" w:rsidRDefault="00D4131F" w:rsidRPr="007F7259">
      <w:pPr>
        <w:pStyle w:val="Paragraphedeliste"/>
        <w:jc w:val="both"/>
        <w:rPr>
          <w:lang w:val="fr-FR"/>
        </w:rPr>
      </w:pPr>
      <w:r w:rsidRPr="007F7259">
        <w:rPr>
          <w:lang w:val="fr-FR"/>
        </w:rPr>
        <w:t xml:space="preserve">Si ces repos compensateurs venaient à ne pas être pris ou placés dans le Compte Epargne Temps, selon les dispositions légales en vigueur, ils seraient alors considérés comme définitivement perdus. </w:t>
      </w:r>
    </w:p>
    <w:p w14:paraId="0562898A" w14:textId="77777777" w:rsidP="00D4131F" w:rsidR="00C20572" w:rsidRDefault="00C20572" w:rsidRPr="007F7259">
      <w:pPr>
        <w:pStyle w:val="Paragraphedeliste"/>
        <w:jc w:val="both"/>
        <w:rPr>
          <w:lang w:val="fr-FR"/>
        </w:rPr>
      </w:pPr>
    </w:p>
    <w:p w14:paraId="51AA4ABE" w14:textId="44D32547" w:rsidP="00D4131F" w:rsidR="002734F9" w:rsidRDefault="00D4131F" w:rsidRPr="007F7259">
      <w:pPr>
        <w:pStyle w:val="Paragraphedeliste"/>
        <w:jc w:val="both"/>
        <w:rPr>
          <w:b/>
          <w:lang w:val="fr-FR"/>
        </w:rPr>
      </w:pPr>
      <w:r w:rsidRPr="007F7259">
        <w:rPr>
          <w:lang w:val="fr-FR"/>
        </w:rPr>
        <w:t>Il est établi que ce dispositif repos compensateur conserve en l’état cette dimension au titre de l’année 202</w:t>
      </w:r>
      <w:r w:rsidR="00203774">
        <w:rPr>
          <w:lang w:val="fr-FR"/>
        </w:rPr>
        <w:t>2</w:t>
      </w:r>
      <w:r w:rsidRPr="007F7259">
        <w:rPr>
          <w:lang w:val="fr-FR"/>
        </w:rPr>
        <w:t>.</w:t>
      </w:r>
    </w:p>
    <w:p w14:paraId="1A1130EE" w14:textId="5EBF97D8" w:rsidP="009231CB" w:rsidR="004B4C46" w:rsidRDefault="004B4C46" w:rsidRPr="009231CB">
      <w:pPr>
        <w:pStyle w:val="Paragraphedeliste"/>
        <w:jc w:val="both"/>
        <w:rPr>
          <w:lang w:val="fr-FR"/>
        </w:rPr>
      </w:pPr>
    </w:p>
    <w:p w14:paraId="1E9BC188" w14:textId="49EC1D5D" w:rsidP="009231CB" w:rsidR="009231CB" w:rsidRDefault="00026106" w:rsidRPr="009231CB">
      <w:pPr>
        <w:pStyle w:val="Paragraphedeliste"/>
        <w:jc w:val="both"/>
        <w:rPr>
          <w:b/>
          <w:bCs/>
          <w:lang w:val="fr-FR"/>
        </w:rPr>
      </w:pPr>
      <w:r>
        <w:rPr>
          <w:b/>
          <w:bCs/>
          <w:lang w:val="fr-FR"/>
        </w:rPr>
        <w:t>B</w:t>
      </w:r>
      <w:r w:rsidR="009231CB">
        <w:rPr>
          <w:b/>
          <w:bCs/>
          <w:lang w:val="fr-FR"/>
        </w:rPr>
        <w:t xml:space="preserve"> - </w:t>
      </w:r>
      <w:r w:rsidR="009231CB" w:rsidRPr="009231CB">
        <w:rPr>
          <w:b/>
          <w:bCs/>
          <w:lang w:val="fr-FR"/>
        </w:rPr>
        <w:t>Reconduction de la prime verticale</w:t>
      </w:r>
    </w:p>
    <w:p w14:paraId="585C4DAE" w14:textId="77777777" w:rsidP="009231CB" w:rsidR="009231CB" w:rsidRDefault="009231CB" w:rsidRPr="009231CB">
      <w:pPr>
        <w:pStyle w:val="Paragraphedeliste"/>
        <w:jc w:val="both"/>
        <w:rPr>
          <w:lang w:val="fr-FR"/>
        </w:rPr>
      </w:pPr>
    </w:p>
    <w:p w14:paraId="681CECCB" w14:textId="0F30F78C" w:rsidP="009231CB" w:rsidR="009231CB" w:rsidRDefault="009231CB">
      <w:pPr>
        <w:pStyle w:val="Paragraphedeliste"/>
        <w:jc w:val="both"/>
        <w:rPr>
          <w:lang w:val="fr-FR"/>
        </w:rPr>
      </w:pPr>
      <w:r w:rsidRPr="009231CB">
        <w:rPr>
          <w:lang w:val="fr-FR"/>
        </w:rPr>
        <w:t xml:space="preserve">Pour les OETAM qui remplacent un salarié vers un « autre » poste positionné sur un niveau/échelon « supérieur », et après validation du N+1, le remplacement « ponctuel et partiel » continuera à donner lieu au versement d’une prime dite « verticale » d’un montant brut de 10 euros par jour </w:t>
      </w:r>
      <w:r w:rsidR="00E356E2">
        <w:rPr>
          <w:lang w:val="fr-FR"/>
        </w:rPr>
        <w:t xml:space="preserve">de remplacement effectif </w:t>
      </w:r>
      <w:r w:rsidRPr="009231CB">
        <w:rPr>
          <w:lang w:val="fr-FR"/>
        </w:rPr>
        <w:t>applicable à compter du 1er janvier 202</w:t>
      </w:r>
      <w:r w:rsidR="009578A9">
        <w:rPr>
          <w:lang w:val="fr-FR"/>
        </w:rPr>
        <w:t>2</w:t>
      </w:r>
      <w:r w:rsidRPr="009231CB">
        <w:rPr>
          <w:lang w:val="fr-FR"/>
        </w:rPr>
        <w:t>.</w:t>
      </w:r>
    </w:p>
    <w:p w14:paraId="0D62C35B" w14:textId="77777777" w:rsidP="009231CB" w:rsidR="009231CB" w:rsidRDefault="009231CB" w:rsidRPr="009231CB">
      <w:pPr>
        <w:pStyle w:val="Paragraphedeliste"/>
        <w:jc w:val="both"/>
        <w:rPr>
          <w:lang w:val="fr-FR"/>
        </w:rPr>
      </w:pPr>
    </w:p>
    <w:p w14:paraId="38B506C2" w14:textId="77777777" w:rsidP="009231CB" w:rsidR="009231CB" w:rsidRDefault="009231CB" w:rsidRPr="009231CB">
      <w:pPr>
        <w:pStyle w:val="Paragraphedeliste"/>
        <w:jc w:val="both"/>
        <w:rPr>
          <w:lang w:val="fr-FR"/>
        </w:rPr>
      </w:pPr>
      <w:r w:rsidRPr="009231CB">
        <w:rPr>
          <w:lang w:val="fr-FR"/>
        </w:rPr>
        <w:t>Cette prime « verticale » concerne les remplacements ponctuels et partiels et n’excède pas en principe 3 mois consécutifs. Enfin, il est rappelé qu’un avenant « mission » doit être privilégié si le management dispose de la visibilité sur la durée d’un besoin comme étant supérieur à 3 mois.</w:t>
      </w:r>
    </w:p>
    <w:p w14:paraId="13D1003E" w14:textId="77777777" w:rsidP="009231CB" w:rsidR="009231CB" w:rsidRDefault="009231CB" w:rsidRPr="009231CB">
      <w:pPr>
        <w:pStyle w:val="Paragraphedeliste"/>
        <w:jc w:val="both"/>
        <w:rPr>
          <w:lang w:val="fr-FR"/>
        </w:rPr>
      </w:pPr>
      <w:r w:rsidRPr="009231CB">
        <w:rPr>
          <w:lang w:val="fr-FR"/>
        </w:rPr>
        <w:t>Cette mesure s’appliquera au titre de l’année 2022.</w:t>
      </w:r>
    </w:p>
    <w:p w14:paraId="2BBB4DF9" w14:textId="77777777" w:rsidP="009231CB" w:rsidR="009231CB" w:rsidRDefault="009231CB" w:rsidRPr="009231CB">
      <w:pPr>
        <w:pStyle w:val="Paragraphedeliste"/>
        <w:jc w:val="both"/>
        <w:rPr>
          <w:lang w:val="fr-FR"/>
        </w:rPr>
      </w:pPr>
    </w:p>
    <w:p w14:paraId="6F6CF42B" w14:textId="77777777" w:rsidR="00026106" w:rsidRDefault="00026106">
      <w:pPr>
        <w:rPr>
          <w:b/>
          <w:lang w:val="fr-FR"/>
        </w:rPr>
      </w:pPr>
      <w:r>
        <w:rPr>
          <w:b/>
          <w:lang w:val="fr-FR"/>
        </w:rPr>
        <w:br w:type="page"/>
      </w:r>
    </w:p>
    <w:p w14:paraId="208EE83D" w14:textId="022F661C" w:rsidP="004B4C46" w:rsidR="004B4C46" w:rsidRDefault="004B4C46" w:rsidRPr="007F7259">
      <w:pPr>
        <w:jc w:val="both"/>
        <w:rPr>
          <w:b/>
          <w:lang w:val="fr-FR"/>
        </w:rPr>
      </w:pPr>
      <w:r w:rsidRPr="007F7259">
        <w:rPr>
          <w:b/>
          <w:lang w:val="fr-FR"/>
        </w:rPr>
        <w:lastRenderedPageBreak/>
        <w:t xml:space="preserve">Article </w:t>
      </w:r>
      <w:r w:rsidR="002734F9" w:rsidRPr="007F7259">
        <w:rPr>
          <w:b/>
          <w:lang w:val="fr-FR"/>
        </w:rPr>
        <w:t xml:space="preserve">5 </w:t>
      </w:r>
      <w:r w:rsidR="00876A60" w:rsidRPr="007F7259">
        <w:rPr>
          <w:b/>
          <w:lang w:val="fr-FR"/>
        </w:rPr>
        <w:t>-</w:t>
      </w:r>
      <w:r w:rsidRPr="007F7259">
        <w:rPr>
          <w:b/>
          <w:lang w:val="fr-FR"/>
        </w:rPr>
        <w:t xml:space="preserve"> Suivi et Durée de l’accord</w:t>
      </w:r>
    </w:p>
    <w:p w14:paraId="25703478" w14:textId="77777777" w:rsidP="004B4C46" w:rsidR="004B4C46" w:rsidRDefault="004B4C46" w:rsidRPr="007F7259">
      <w:pPr>
        <w:jc w:val="both"/>
        <w:rPr>
          <w:lang w:val="fr-FR"/>
        </w:rPr>
      </w:pPr>
    </w:p>
    <w:p w14:paraId="2395A2A9" w14:textId="7FC41D8A" w:rsidP="008376BE" w:rsidR="008376BE" w:rsidRDefault="008376BE" w:rsidRPr="007F7259">
      <w:pPr>
        <w:jc w:val="both"/>
        <w:rPr>
          <w:lang w:val="fr-FR"/>
        </w:rPr>
      </w:pPr>
      <w:r w:rsidRPr="007F7259">
        <w:rPr>
          <w:lang w:val="fr-FR"/>
        </w:rPr>
        <w:t>Le présent accord est conclu pour une durée déterminée d’un an dans le cadre de la négociation sur la rémunération, le temps de travail et le partage de la valeur ajoutée pour 2022.</w:t>
      </w:r>
    </w:p>
    <w:p w14:paraId="0C4CB876" w14:textId="77777777" w:rsidP="004B4C46" w:rsidR="004B4C46" w:rsidRDefault="004B4C46" w:rsidRPr="007F7259">
      <w:pPr>
        <w:jc w:val="both"/>
        <w:rPr>
          <w:lang w:val="fr-FR"/>
        </w:rPr>
      </w:pPr>
    </w:p>
    <w:p w14:paraId="764D4A26" w14:textId="77777777" w:rsidP="004B4C46" w:rsidR="004B4C46" w:rsidRDefault="004B4C46" w:rsidRPr="007F7259">
      <w:pPr>
        <w:jc w:val="both"/>
        <w:rPr>
          <w:lang w:val="fr-FR"/>
        </w:rPr>
      </w:pPr>
      <w:r w:rsidRPr="007F7259">
        <w:rPr>
          <w:lang w:val="fr-FR"/>
        </w:rPr>
        <w:t xml:space="preserve">Les durées d’application des différentes mesures qu’il prévoit figurent dans les articles ci-dessus. </w:t>
      </w:r>
    </w:p>
    <w:p w14:paraId="137B0073" w14:textId="77777777" w:rsidP="00DA113C" w:rsidR="00DA113C" w:rsidRDefault="00DA113C" w:rsidRPr="007F7259">
      <w:pPr>
        <w:rPr>
          <w:b/>
          <w:lang w:val="fr-FR"/>
        </w:rPr>
      </w:pPr>
    </w:p>
    <w:p w14:paraId="69B519F9" w14:textId="5C2E3134" w:rsidP="00DA113C" w:rsidR="004B4C46" w:rsidRDefault="004B4C46" w:rsidRPr="007F7259">
      <w:pPr>
        <w:rPr>
          <w:b/>
          <w:lang w:val="fr-FR"/>
        </w:rPr>
      </w:pPr>
      <w:r w:rsidRPr="007F7259">
        <w:rPr>
          <w:b/>
          <w:lang w:val="fr-FR"/>
        </w:rPr>
        <w:t xml:space="preserve">Article </w:t>
      </w:r>
      <w:r w:rsidR="002734F9" w:rsidRPr="007F7259">
        <w:rPr>
          <w:b/>
          <w:lang w:val="fr-FR"/>
        </w:rPr>
        <w:t>6</w:t>
      </w:r>
      <w:r w:rsidRPr="007F7259">
        <w:rPr>
          <w:b/>
          <w:lang w:val="fr-FR"/>
        </w:rPr>
        <w:t xml:space="preserve"> - Formalités de dépôt</w:t>
      </w:r>
    </w:p>
    <w:p w14:paraId="63B2454A" w14:textId="77777777" w:rsidP="004B4C46" w:rsidR="004B4C46" w:rsidRDefault="004B4C46" w:rsidRPr="007F7259">
      <w:pPr>
        <w:jc w:val="both"/>
        <w:rPr>
          <w:lang w:val="fr-FR"/>
        </w:rPr>
      </w:pPr>
    </w:p>
    <w:p w14:paraId="49190DEF" w14:textId="77777777" w:rsidP="004B4C46" w:rsidR="004B4C46" w:rsidRDefault="004B4C46" w:rsidRPr="007F7259">
      <w:pPr>
        <w:spacing w:line="280" w:lineRule="atLeast"/>
        <w:ind w:right="290"/>
        <w:jc w:val="both"/>
        <w:rPr>
          <w:lang w:val="fr-FR"/>
        </w:rPr>
      </w:pPr>
      <w:r w:rsidRPr="007F7259">
        <w:rPr>
          <w:lang w:val="fr-FR"/>
        </w:rPr>
        <w:t>Le présent Accord sera notifié par la Direction à l’ensemble des organisations syndicales représentatives de l’Entreprise ; elle procèdera également aux formalités légales de dépôt et d’enregistrement.</w:t>
      </w:r>
    </w:p>
    <w:p w14:paraId="0ED6E2F6" w14:textId="77777777" w:rsidP="004B4C46" w:rsidR="00574FBD" w:rsidRDefault="00574FBD">
      <w:pPr>
        <w:jc w:val="both"/>
        <w:rPr>
          <w:lang w:val="fr-FR"/>
        </w:rPr>
      </w:pPr>
    </w:p>
    <w:p w14:paraId="737D3DAC" w14:textId="77777777" w:rsidP="004B4C46" w:rsidR="00E7537A" w:rsidRDefault="00E7537A" w:rsidRPr="007F7259">
      <w:pPr>
        <w:jc w:val="both"/>
        <w:rPr>
          <w:lang w:val="fr-FR"/>
        </w:rPr>
      </w:pPr>
    </w:p>
    <w:p w14:paraId="22EC87A5" w14:textId="77777777" w:rsidP="004B4C46" w:rsidR="00C4312F" w:rsidRDefault="00C4312F" w:rsidRPr="007F7259">
      <w:pPr>
        <w:jc w:val="both"/>
        <w:rPr>
          <w:lang w:val="fr-FR"/>
        </w:rPr>
      </w:pPr>
    </w:p>
    <w:p w14:paraId="50039C3B" w14:textId="4162971F" w:rsidP="004B4C46" w:rsidR="004B4C46" w:rsidRDefault="004B4C46" w:rsidRPr="007F7259">
      <w:pPr>
        <w:jc w:val="both"/>
        <w:rPr>
          <w:b/>
          <w:lang w:val="fr-FR"/>
        </w:rPr>
      </w:pPr>
      <w:r w:rsidRPr="007F7259">
        <w:rPr>
          <w:b/>
          <w:lang w:val="fr-FR"/>
        </w:rPr>
        <w:t xml:space="preserve">Fait à </w:t>
      </w:r>
      <w:r w:rsidR="0020268C" w:rsidRPr="007F7259">
        <w:rPr>
          <w:b/>
          <w:lang w:val="fr-FR"/>
        </w:rPr>
        <w:t>SOCX</w:t>
      </w:r>
      <w:r w:rsidRPr="007F7259">
        <w:rPr>
          <w:b/>
          <w:lang w:val="fr-FR"/>
        </w:rPr>
        <w:t xml:space="preserve">, en </w:t>
      </w:r>
      <w:r w:rsidR="0079505E" w:rsidRPr="007F7259">
        <w:rPr>
          <w:b/>
          <w:lang w:val="fr-FR"/>
        </w:rPr>
        <w:t>7</w:t>
      </w:r>
      <w:r w:rsidRPr="007F7259">
        <w:rPr>
          <w:b/>
          <w:lang w:val="fr-FR"/>
        </w:rPr>
        <w:t xml:space="preserve"> exemplaires, le </w:t>
      </w:r>
      <w:r w:rsidR="00205308" w:rsidRPr="007F7259">
        <w:rPr>
          <w:b/>
          <w:lang w:val="fr-FR"/>
        </w:rPr>
        <w:t>12 janvier</w:t>
      </w:r>
      <w:r w:rsidR="0020268C" w:rsidRPr="007F7259">
        <w:rPr>
          <w:b/>
          <w:lang w:val="fr-FR"/>
        </w:rPr>
        <w:t xml:space="preserve"> 2022</w:t>
      </w:r>
      <w:r w:rsidR="00D25561" w:rsidRPr="007F7259">
        <w:rPr>
          <w:b/>
          <w:lang w:val="fr-FR"/>
        </w:rPr>
        <w:t xml:space="preserve"> </w:t>
      </w:r>
    </w:p>
    <w:p w14:paraId="487BD264" w14:textId="26B3F755" w:rsidP="004B4C46" w:rsidR="004B4C46" w:rsidRDefault="004B4C46">
      <w:pPr>
        <w:jc w:val="both"/>
        <w:rPr>
          <w:lang w:val="fr-FR"/>
        </w:rPr>
      </w:pPr>
    </w:p>
    <w:p w14:paraId="6124377E" w14:textId="77777777" w:rsidP="004B4C46" w:rsidR="00E7537A" w:rsidRDefault="00E7537A" w:rsidRPr="007F7259">
      <w:pPr>
        <w:jc w:val="both"/>
        <w:rPr>
          <w:lang w:val="fr-FR"/>
        </w:rPr>
      </w:pPr>
    </w:p>
    <w:p w14:paraId="51431899" w14:textId="5EFADE26" w:rsidP="004B4C46" w:rsidR="004B4C46" w:rsidRDefault="004B4C46" w:rsidRPr="007F7259">
      <w:pPr>
        <w:jc w:val="both"/>
        <w:rPr>
          <w:lang w:val="fr-FR"/>
        </w:rPr>
      </w:pPr>
      <w:r w:rsidRPr="007F7259">
        <w:rPr>
          <w:lang w:val="fr-FR"/>
        </w:rPr>
        <w:t xml:space="preserve">Pour </w:t>
      </w:r>
      <w:r w:rsidR="005F20B9" w:rsidRPr="007F7259">
        <w:rPr>
          <w:lang w:val="fr-FR"/>
        </w:rPr>
        <w:t>CCP</w:t>
      </w:r>
      <w:r w:rsidRPr="007F7259">
        <w:rPr>
          <w:lang w:val="fr-FR"/>
        </w:rPr>
        <w:t xml:space="preserve"> </w:t>
      </w:r>
      <w:r w:rsidRPr="007F7259">
        <w:rPr>
          <w:lang w:val="fr-FR"/>
        </w:rPr>
        <w:tab/>
      </w:r>
      <w:r w:rsidR="005F20B9" w:rsidRPr="007F7259">
        <w:rPr>
          <w:lang w:val="fr-FR"/>
        </w:rPr>
        <w:tab/>
      </w:r>
      <w:r w:rsidR="00254E22">
        <w:rPr>
          <w:spacing w:val="-1"/>
          <w:lang w:val="fr-FR"/>
        </w:rPr>
        <w:t>#### ####</w:t>
      </w:r>
    </w:p>
    <w:p w14:paraId="1613905C" w14:textId="41EC006D" w:rsidP="004B4C46" w:rsidR="004B4C46" w:rsidRDefault="004B4C46" w:rsidRPr="007F7259">
      <w:pPr>
        <w:jc w:val="both"/>
        <w:rPr>
          <w:lang w:val="fr-FR"/>
        </w:rPr>
      </w:pPr>
      <w:r w:rsidRPr="007F7259">
        <w:rPr>
          <w:lang w:val="fr-FR"/>
        </w:rPr>
        <w:tab/>
      </w:r>
      <w:r w:rsidRPr="007F7259">
        <w:rPr>
          <w:lang w:val="fr-FR"/>
        </w:rPr>
        <w:tab/>
      </w:r>
      <w:r w:rsidRPr="007F7259">
        <w:rPr>
          <w:lang w:val="fr-FR"/>
        </w:rPr>
        <w:tab/>
        <w:t xml:space="preserve">Directrice </w:t>
      </w:r>
      <w:r w:rsidR="005F20B9" w:rsidRPr="007F7259">
        <w:rPr>
          <w:lang w:val="fr-FR"/>
        </w:rPr>
        <w:t>d’usine</w:t>
      </w:r>
    </w:p>
    <w:p w14:paraId="0795C6AF" w14:textId="77777777" w:rsidP="004B4C46" w:rsidR="004B4C46" w:rsidRDefault="004B4C46" w:rsidRPr="007F7259">
      <w:pPr>
        <w:jc w:val="both"/>
        <w:rPr>
          <w:lang w:val="fr-FR"/>
        </w:rPr>
      </w:pPr>
    </w:p>
    <w:p w14:paraId="17F3CFF7" w14:textId="5624203C" w:rsidP="004B4C46" w:rsidR="004B4C46" w:rsidRDefault="004B4C46" w:rsidRPr="007F7259">
      <w:pPr>
        <w:jc w:val="both"/>
        <w:rPr>
          <w:lang w:val="fr-FR"/>
        </w:rPr>
      </w:pPr>
    </w:p>
    <w:p w14:paraId="42F57B3C" w14:textId="77777777" w:rsidP="004B4C46" w:rsidR="001604A6" w:rsidRDefault="001604A6" w:rsidRPr="007F7259">
      <w:pPr>
        <w:jc w:val="both"/>
        <w:rPr>
          <w:lang w:val="fr-FR"/>
        </w:rPr>
      </w:pPr>
    </w:p>
    <w:p w14:paraId="2847FCB8" w14:textId="77777777" w:rsidP="005F20B9" w:rsidR="005F20B9" w:rsidRDefault="005F20B9" w:rsidRPr="007F7259">
      <w:pPr>
        <w:jc w:val="both"/>
        <w:rPr>
          <w:lang w:val="fr-FR"/>
        </w:rPr>
      </w:pPr>
    </w:p>
    <w:p w14:paraId="3D06D203" w14:textId="77777777" w:rsidP="005F20B9" w:rsidR="005F20B9" w:rsidRDefault="005F20B9" w:rsidRPr="007F7259">
      <w:pPr>
        <w:jc w:val="both"/>
        <w:rPr>
          <w:lang w:val="fr-FR"/>
        </w:rPr>
      </w:pPr>
      <w:r w:rsidRPr="007F7259">
        <w:rPr>
          <w:lang w:val="fr-FR"/>
        </w:rPr>
        <w:t>Pour les organisations syndicales représentatives</w:t>
      </w:r>
      <w:r w:rsidRPr="007F7259">
        <w:rPr>
          <w:lang w:val="fr-FR"/>
        </w:rPr>
        <w:tab/>
      </w:r>
      <w:r w:rsidRPr="007F7259">
        <w:rPr>
          <w:lang w:val="fr-FR"/>
        </w:rPr>
        <w:tab/>
        <w:t>Pour la CFE-CGC</w:t>
      </w:r>
    </w:p>
    <w:p w14:paraId="536EB5F2" w14:textId="59294AAB" w:rsidP="005F20B9" w:rsidR="005F20B9" w:rsidRDefault="00254E22" w:rsidRPr="007F7259">
      <w:pPr>
        <w:ind w:firstLine="720" w:left="5040"/>
        <w:jc w:val="both"/>
        <w:rPr>
          <w:lang w:val="fr-FR"/>
        </w:rPr>
      </w:pPr>
      <w:r>
        <w:rPr>
          <w:spacing w:val="-1"/>
          <w:lang w:val="fr-FR"/>
        </w:rPr>
        <w:t>#### ####</w:t>
      </w:r>
    </w:p>
    <w:p w14:paraId="0D89330D" w14:textId="6378204F" w:rsidP="005F20B9" w:rsidR="005F20B9" w:rsidRDefault="005F20B9" w:rsidRPr="007F7259">
      <w:pPr>
        <w:ind w:firstLine="720" w:left="5040"/>
        <w:jc w:val="both"/>
        <w:rPr>
          <w:lang w:val="fr-FR"/>
        </w:rPr>
      </w:pPr>
    </w:p>
    <w:p w14:paraId="127C6572" w14:textId="4CA476AB" w:rsidP="005F20B9" w:rsidR="005F20B9" w:rsidRDefault="005F20B9" w:rsidRPr="007F7259">
      <w:pPr>
        <w:ind w:firstLine="720" w:left="5040"/>
        <w:jc w:val="both"/>
        <w:rPr>
          <w:lang w:val="fr-FR"/>
        </w:rPr>
      </w:pPr>
    </w:p>
    <w:p w14:paraId="5C696E70" w14:textId="77777777" w:rsidP="005F20B9" w:rsidR="001604A6" w:rsidRDefault="001604A6" w:rsidRPr="007F7259">
      <w:pPr>
        <w:ind w:firstLine="720" w:left="5040"/>
        <w:jc w:val="both"/>
        <w:rPr>
          <w:lang w:val="fr-FR"/>
        </w:rPr>
      </w:pPr>
    </w:p>
    <w:p w14:paraId="41856183" w14:textId="77777777" w:rsidP="00254E22" w:rsidR="00254E22" w:rsidRDefault="005F20B9">
      <w:pPr>
        <w:ind w:firstLine="720" w:left="5040"/>
        <w:jc w:val="both"/>
        <w:rPr>
          <w:lang w:val="fr-FR"/>
        </w:rPr>
      </w:pPr>
      <w:r w:rsidRPr="007F7259">
        <w:rPr>
          <w:lang w:val="fr-FR"/>
        </w:rPr>
        <w:t xml:space="preserve">Pour la CGT </w:t>
      </w:r>
    </w:p>
    <w:p w14:paraId="4E8A1E21" w14:textId="22E836A7" w:rsidP="00254E22" w:rsidR="005F20B9" w:rsidRDefault="00254E22" w:rsidRPr="007F7259">
      <w:pPr>
        <w:ind w:firstLine="720" w:left="5040"/>
        <w:jc w:val="both"/>
        <w:rPr>
          <w:lang w:val="fr-FR"/>
        </w:rPr>
      </w:pPr>
      <w:r>
        <w:rPr>
          <w:spacing w:val="-1"/>
          <w:lang w:val="fr-FR"/>
        </w:rPr>
        <w:t>#### ####</w:t>
      </w:r>
      <w:r>
        <w:rPr>
          <w:spacing w:val="-1"/>
          <w:lang w:val="fr-FR"/>
        </w:rPr>
        <w:tab/>
      </w:r>
    </w:p>
    <w:p w14:paraId="1B458DB4" w14:textId="639FAE88" w:rsidP="005F20B9" w:rsidR="005F20B9" w:rsidRDefault="005F20B9" w:rsidRPr="007F7259">
      <w:pPr>
        <w:jc w:val="both"/>
        <w:rPr>
          <w:lang w:val="fr-FR"/>
        </w:rPr>
      </w:pPr>
    </w:p>
    <w:p w14:paraId="7FF79129" w14:textId="77777777" w:rsidP="005F20B9" w:rsidR="0096068E" w:rsidRDefault="0096068E" w:rsidRPr="007F7259">
      <w:pPr>
        <w:jc w:val="both"/>
        <w:rPr>
          <w:lang w:val="fr-FR"/>
        </w:rPr>
      </w:pPr>
    </w:p>
    <w:p w14:paraId="10515108" w14:textId="77777777" w:rsidP="00254E22" w:rsidR="00254E22" w:rsidRDefault="0096068E">
      <w:pPr>
        <w:ind w:firstLine="720" w:left="5040"/>
        <w:jc w:val="both"/>
        <w:rPr>
          <w:lang w:val="fr-FR"/>
        </w:rPr>
      </w:pPr>
      <w:r w:rsidRPr="00D2702F">
        <w:rPr>
          <w:lang w:val="fr-FR"/>
        </w:rPr>
        <w:t>Pour FO</w:t>
      </w:r>
    </w:p>
    <w:p w14:paraId="65EA8D89" w14:textId="496705AB" w:rsidP="00254E22" w:rsidR="00F71A46" w:rsidRDefault="00254E22" w:rsidRPr="007F7259">
      <w:pPr>
        <w:ind w:firstLine="720" w:left="5040"/>
        <w:jc w:val="both"/>
        <w:rPr>
          <w:lang w:val="fr-FR"/>
        </w:rPr>
      </w:pPr>
      <w:r>
        <w:rPr>
          <w:spacing w:val="-1"/>
          <w:lang w:val="fr-FR"/>
        </w:rPr>
        <w:t>#### ####</w:t>
      </w:r>
    </w:p>
    <w:p w14:paraId="08A35CA5" w14:textId="44CE4089" w:rsidR="00AC1454" w:rsidRDefault="00AC1454" w:rsidRPr="00D2702F">
      <w:pPr>
        <w:rPr>
          <w:lang w:val="fr-FR"/>
        </w:rPr>
      </w:pPr>
      <w:r w:rsidRPr="00D2702F">
        <w:rPr>
          <w:lang w:val="fr-FR"/>
        </w:rPr>
        <w:br w:type="page"/>
      </w:r>
    </w:p>
    <w:p w14:paraId="378EA3EF" w14:textId="0D95C05D" w:rsidP="00AC1454" w:rsidR="008D1A7C" w:rsidRDefault="00AC1454" w:rsidRPr="00B8725A">
      <w:pPr>
        <w:jc w:val="center"/>
        <w:rPr>
          <w:lang w:val="fr-FR"/>
        </w:rPr>
      </w:pPr>
      <w:r w:rsidRPr="00B8725A">
        <w:rPr>
          <w:lang w:val="fr-FR"/>
        </w:rPr>
        <w:lastRenderedPageBreak/>
        <w:t xml:space="preserve">ANNEXE </w:t>
      </w:r>
      <w:r w:rsidR="00DC6B46" w:rsidRPr="00B8725A">
        <w:rPr>
          <w:lang w:val="fr-FR"/>
        </w:rPr>
        <w:t xml:space="preserve">: </w:t>
      </w:r>
      <w:r w:rsidR="00A55071" w:rsidRPr="00B8725A">
        <w:rPr>
          <w:lang w:val="fr-FR"/>
        </w:rPr>
        <w:t>Fourchettes</w:t>
      </w:r>
      <w:r w:rsidR="00DC6B46" w:rsidRPr="00B8725A">
        <w:rPr>
          <w:lang w:val="fr-FR"/>
        </w:rPr>
        <w:t xml:space="preserve"> de salaires au 1er janvier 2022</w:t>
      </w:r>
      <w:r w:rsidR="00A55071" w:rsidRPr="00B8725A">
        <w:rPr>
          <w:lang w:val="fr-FR"/>
        </w:rPr>
        <w:t xml:space="preserve"> </w:t>
      </w:r>
    </w:p>
    <w:p w14:paraId="296D894C" w14:textId="7BEB5366" w:rsidP="00AC1454" w:rsidR="00A55071" w:rsidRDefault="00A55071" w:rsidRPr="00B8725A">
      <w:pPr>
        <w:jc w:val="center"/>
        <w:rPr>
          <w:lang w:val="fr-FR"/>
        </w:rPr>
      </w:pPr>
    </w:p>
    <w:p w14:paraId="0DEB768E" w14:textId="77777777" w:rsidP="00AC1454" w:rsidR="00A55071" w:rsidRDefault="00A55071" w:rsidRPr="00B8725A">
      <w:pPr>
        <w:jc w:val="center"/>
        <w:rPr>
          <w:lang w:val="fr-FR"/>
        </w:rPr>
      </w:pPr>
    </w:p>
    <w:tbl>
      <w:tblPr>
        <w:tblW w:type="dxa" w:w="6794"/>
        <w:jc w:val="center"/>
        <w:tblLayout w:type="fixed"/>
        <w:tblCellMar>
          <w:left w:type="dxa" w:w="0"/>
          <w:right w:type="dxa" w:w="0"/>
        </w:tblCellMar>
        <w:tblLook w:firstColumn="0" w:firstRow="0" w:lastColumn="0" w:lastRow="0" w:noHBand="1" w:noVBand="1" w:val="0600"/>
      </w:tblPr>
      <w:tblGrid>
        <w:gridCol w:w="4066"/>
        <w:gridCol w:w="1453"/>
        <w:gridCol w:w="1275"/>
      </w:tblGrid>
      <w:tr w14:paraId="6F8E174B" w14:textId="77777777" w:rsidR="00A55071" w:rsidRPr="00A55071" w:rsidTr="00A55071">
        <w:trPr>
          <w:trHeight w:val="780"/>
          <w:jc w:val="center"/>
        </w:trPr>
        <w:tc>
          <w:tcPr>
            <w:tcW w:type="dxa" w:w="4066"/>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hideMark/>
          </w:tcPr>
          <w:p w14:paraId="733315D3" w14:textId="77777777" w:rsidP="00A55071" w:rsidR="00A55071" w:rsidRDefault="00A55071">
            <w:pPr>
              <w:jc w:val="center"/>
              <w:rPr>
                <w:lang w:val="fr-FR"/>
              </w:rPr>
            </w:pPr>
          </w:p>
          <w:p w14:paraId="7A7E07D0" w14:textId="25F9976E" w:rsidP="00A55071" w:rsidR="00A55071" w:rsidRDefault="00A55071" w:rsidRPr="00A55071">
            <w:pPr>
              <w:jc w:val="center"/>
              <w:rPr>
                <w:lang w:val="fr-FR"/>
              </w:rPr>
            </w:pPr>
            <w:r w:rsidRPr="00A55071">
              <w:rPr>
                <w:lang w:val="fr-FR"/>
              </w:rPr>
              <w:t>OETAM</w:t>
            </w:r>
          </w:p>
        </w:tc>
        <w:tc>
          <w:tcPr>
            <w:tcW w:type="dxa" w:w="1453"/>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4FFEBFE8" w14:textId="77777777" w:rsidP="00A55071" w:rsidR="00A55071" w:rsidRDefault="00A55071" w:rsidRPr="00A55071">
            <w:pPr>
              <w:jc w:val="center"/>
              <w:rPr>
                <w:lang w:val="fr-FR"/>
              </w:rPr>
            </w:pPr>
            <w:r w:rsidRPr="00A55071">
              <w:rPr>
                <w:lang w:val="fr-FR"/>
              </w:rPr>
              <w:t>Fourchette entrée 2021</w:t>
            </w:r>
          </w:p>
        </w:tc>
        <w:tc>
          <w:tcPr>
            <w:tcW w:type="dxa" w:w="1275"/>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7B14FF2B" w14:textId="77777777" w:rsidP="00A55071" w:rsidR="00A55071" w:rsidRDefault="00A55071" w:rsidRPr="00A55071">
            <w:pPr>
              <w:jc w:val="center"/>
              <w:rPr>
                <w:lang w:val="fr-FR"/>
              </w:rPr>
            </w:pPr>
            <w:r w:rsidRPr="00A55071">
              <w:rPr>
                <w:lang w:val="fr-FR"/>
              </w:rPr>
              <w:t>Fourchette maxi 2021</w:t>
            </w:r>
          </w:p>
        </w:tc>
      </w:tr>
      <w:tr w14:paraId="72966106" w14:textId="77777777" w:rsidR="00A55071" w:rsidRPr="00A55071" w:rsidTr="00A55071">
        <w:trPr>
          <w:trHeight w:val="260"/>
          <w:jc w:val="center"/>
        </w:trPr>
        <w:tc>
          <w:tcPr>
            <w:tcW w:type="dxa" w:w="4066"/>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hideMark/>
          </w:tcPr>
          <w:p w14:paraId="3920900F" w14:textId="77777777" w:rsidP="00A55071" w:rsidR="00A55071" w:rsidRDefault="00A55071" w:rsidRPr="00A55071">
            <w:pPr>
              <w:jc w:val="center"/>
              <w:rPr>
                <w:lang w:val="fr-FR"/>
              </w:rPr>
            </w:pPr>
            <w:r w:rsidRPr="00A55071">
              <w:rPr>
                <w:lang w:val="fr-FR"/>
              </w:rPr>
              <w:t>Cariste</w:t>
            </w:r>
          </w:p>
        </w:tc>
        <w:tc>
          <w:tcPr>
            <w:tcW w:type="dxa" w:w="1453"/>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31435403" w14:textId="77777777" w:rsidP="00A55071" w:rsidR="00A55071" w:rsidRDefault="00A55071" w:rsidRPr="00A55071">
            <w:pPr>
              <w:jc w:val="center"/>
              <w:rPr>
                <w:lang w:val="fr-FR"/>
              </w:rPr>
            </w:pPr>
            <w:r w:rsidRPr="00A55071">
              <w:rPr>
                <w:lang w:val="fr-FR"/>
              </w:rPr>
              <w:t>23500</w:t>
            </w:r>
          </w:p>
        </w:tc>
        <w:tc>
          <w:tcPr>
            <w:tcW w:type="dxa" w:w="1275"/>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7EFAB248" w14:textId="77777777" w:rsidP="00A55071" w:rsidR="00A55071" w:rsidRDefault="00A55071" w:rsidRPr="00A55071">
            <w:pPr>
              <w:jc w:val="center"/>
              <w:rPr>
                <w:lang w:val="fr-FR"/>
              </w:rPr>
            </w:pPr>
            <w:r w:rsidRPr="00A55071">
              <w:rPr>
                <w:lang w:val="fr-FR"/>
              </w:rPr>
              <w:t>32000</w:t>
            </w:r>
          </w:p>
        </w:tc>
      </w:tr>
      <w:tr w14:paraId="52F3FEB3" w14:textId="77777777" w:rsidR="00A55071" w:rsidRPr="00A55071" w:rsidTr="00A55071">
        <w:trPr>
          <w:trHeight w:val="260"/>
          <w:jc w:val="center"/>
        </w:trPr>
        <w:tc>
          <w:tcPr>
            <w:tcW w:type="dxa" w:w="4066"/>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hideMark/>
          </w:tcPr>
          <w:p w14:paraId="0E15208A" w14:textId="77777777" w:rsidP="00A55071" w:rsidR="00A55071" w:rsidRDefault="00A55071" w:rsidRPr="00A55071">
            <w:pPr>
              <w:jc w:val="center"/>
              <w:rPr>
                <w:lang w:val="fr-FR"/>
              </w:rPr>
            </w:pPr>
            <w:r w:rsidRPr="00A55071">
              <w:rPr>
                <w:lang w:val="fr-FR"/>
              </w:rPr>
              <w:t>Operateur</w:t>
            </w:r>
          </w:p>
        </w:tc>
        <w:tc>
          <w:tcPr>
            <w:tcW w:type="dxa" w:w="1453"/>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5B8DFD43" w14:textId="77777777" w:rsidP="00A55071" w:rsidR="00A55071" w:rsidRDefault="00A55071" w:rsidRPr="00A55071">
            <w:pPr>
              <w:jc w:val="center"/>
              <w:rPr>
                <w:lang w:val="fr-FR"/>
              </w:rPr>
            </w:pPr>
            <w:r w:rsidRPr="00A55071">
              <w:rPr>
                <w:lang w:val="fr-FR"/>
              </w:rPr>
              <w:t>23500</w:t>
            </w:r>
          </w:p>
        </w:tc>
        <w:tc>
          <w:tcPr>
            <w:tcW w:type="dxa" w:w="1275"/>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7139D6D8" w14:textId="77777777" w:rsidP="00A55071" w:rsidR="00A55071" w:rsidRDefault="00A55071" w:rsidRPr="00A55071">
            <w:pPr>
              <w:jc w:val="center"/>
              <w:rPr>
                <w:lang w:val="fr-FR"/>
              </w:rPr>
            </w:pPr>
            <w:r w:rsidRPr="00A55071">
              <w:rPr>
                <w:lang w:val="fr-FR"/>
              </w:rPr>
              <w:t>32000</w:t>
            </w:r>
          </w:p>
        </w:tc>
      </w:tr>
      <w:tr w14:paraId="44AA7777" w14:textId="77777777" w:rsidR="00A55071" w:rsidRPr="00A55071" w:rsidTr="00A55071">
        <w:trPr>
          <w:trHeight w:val="260"/>
          <w:jc w:val="center"/>
        </w:trPr>
        <w:tc>
          <w:tcPr>
            <w:tcW w:type="dxa" w:w="4066"/>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hideMark/>
          </w:tcPr>
          <w:p w14:paraId="757EF7F5" w14:textId="77777777" w:rsidP="00A55071" w:rsidR="00A55071" w:rsidRDefault="00A55071" w:rsidRPr="00A55071">
            <w:pPr>
              <w:jc w:val="center"/>
              <w:rPr>
                <w:lang w:val="fr-FR"/>
              </w:rPr>
            </w:pPr>
            <w:r w:rsidRPr="00A55071">
              <w:rPr>
                <w:lang w:val="fr-FR"/>
              </w:rPr>
              <w:t>Lab Analyst/Microbiologist</w:t>
            </w:r>
          </w:p>
        </w:tc>
        <w:tc>
          <w:tcPr>
            <w:tcW w:type="dxa" w:w="1453"/>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22FB7787" w14:textId="77777777" w:rsidP="00A55071" w:rsidR="00A55071" w:rsidRDefault="00A55071" w:rsidRPr="00A55071">
            <w:pPr>
              <w:jc w:val="center"/>
              <w:rPr>
                <w:lang w:val="fr-FR"/>
              </w:rPr>
            </w:pPr>
            <w:r w:rsidRPr="00A55071">
              <w:rPr>
                <w:lang w:val="fr-FR"/>
              </w:rPr>
              <w:t>25000</w:t>
            </w:r>
          </w:p>
        </w:tc>
        <w:tc>
          <w:tcPr>
            <w:tcW w:type="dxa" w:w="1275"/>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242543E5" w14:textId="77777777" w:rsidP="00A55071" w:rsidR="00A55071" w:rsidRDefault="00A55071" w:rsidRPr="00A55071">
            <w:pPr>
              <w:jc w:val="center"/>
              <w:rPr>
                <w:lang w:val="fr-FR"/>
              </w:rPr>
            </w:pPr>
            <w:r w:rsidRPr="00A55071">
              <w:rPr>
                <w:lang w:val="fr-FR"/>
              </w:rPr>
              <w:t>35000</w:t>
            </w:r>
          </w:p>
        </w:tc>
      </w:tr>
      <w:tr w14:paraId="28431034" w14:textId="77777777" w:rsidR="00A55071" w:rsidRPr="00A55071" w:rsidTr="00A55071">
        <w:trPr>
          <w:trHeight w:val="260"/>
          <w:jc w:val="center"/>
        </w:trPr>
        <w:tc>
          <w:tcPr>
            <w:tcW w:type="dxa" w:w="4066"/>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hideMark/>
          </w:tcPr>
          <w:p w14:paraId="5AB5F0D0" w14:textId="77777777" w:rsidP="00A55071" w:rsidR="00A55071" w:rsidRDefault="00A55071" w:rsidRPr="00A55071">
            <w:pPr>
              <w:jc w:val="center"/>
              <w:rPr>
                <w:lang w:val="fr-FR"/>
              </w:rPr>
            </w:pPr>
            <w:r w:rsidRPr="00A55071">
              <w:rPr>
                <w:lang w:val="fr-FR"/>
              </w:rPr>
              <w:t>Operateur support de ligne</w:t>
            </w:r>
          </w:p>
        </w:tc>
        <w:tc>
          <w:tcPr>
            <w:tcW w:type="dxa" w:w="1453"/>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10E43A93" w14:textId="77777777" w:rsidP="00A55071" w:rsidR="00A55071" w:rsidRDefault="00A55071" w:rsidRPr="00A55071">
            <w:pPr>
              <w:jc w:val="center"/>
              <w:rPr>
                <w:lang w:val="fr-FR"/>
              </w:rPr>
            </w:pPr>
            <w:r w:rsidRPr="00A55071">
              <w:rPr>
                <w:lang w:val="fr-FR"/>
              </w:rPr>
              <w:t>25000</w:t>
            </w:r>
          </w:p>
        </w:tc>
        <w:tc>
          <w:tcPr>
            <w:tcW w:type="dxa" w:w="1275"/>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1EA7D92B" w14:textId="77777777" w:rsidP="00A55071" w:rsidR="00A55071" w:rsidRDefault="00A55071" w:rsidRPr="00A55071">
            <w:pPr>
              <w:jc w:val="center"/>
              <w:rPr>
                <w:lang w:val="fr-FR"/>
              </w:rPr>
            </w:pPr>
            <w:r w:rsidRPr="00A55071">
              <w:rPr>
                <w:lang w:val="fr-FR"/>
              </w:rPr>
              <w:t>35000</w:t>
            </w:r>
          </w:p>
        </w:tc>
      </w:tr>
      <w:tr w14:paraId="3C9AB9F6" w14:textId="77777777" w:rsidR="00A55071" w:rsidRPr="00A55071" w:rsidTr="00A55071">
        <w:trPr>
          <w:trHeight w:val="260"/>
          <w:jc w:val="center"/>
        </w:trPr>
        <w:tc>
          <w:tcPr>
            <w:tcW w:type="dxa" w:w="4066"/>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hideMark/>
          </w:tcPr>
          <w:p w14:paraId="2FD15C9B" w14:textId="77777777" w:rsidP="00A55071" w:rsidR="00A55071" w:rsidRDefault="00A55071" w:rsidRPr="00A55071">
            <w:pPr>
              <w:jc w:val="center"/>
              <w:rPr>
                <w:lang w:val="fr-FR"/>
              </w:rPr>
            </w:pPr>
            <w:r w:rsidRPr="00A55071">
              <w:rPr>
                <w:lang w:val="fr-FR"/>
              </w:rPr>
              <w:t>Magasinier</w:t>
            </w:r>
          </w:p>
        </w:tc>
        <w:tc>
          <w:tcPr>
            <w:tcW w:type="dxa" w:w="1453"/>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0DDA6540" w14:textId="77777777" w:rsidP="00A55071" w:rsidR="00A55071" w:rsidRDefault="00A55071" w:rsidRPr="00A55071">
            <w:pPr>
              <w:jc w:val="center"/>
              <w:rPr>
                <w:lang w:val="fr-FR"/>
              </w:rPr>
            </w:pPr>
            <w:r w:rsidRPr="00A55071">
              <w:rPr>
                <w:lang w:val="fr-FR"/>
              </w:rPr>
              <w:t>25000</w:t>
            </w:r>
          </w:p>
        </w:tc>
        <w:tc>
          <w:tcPr>
            <w:tcW w:type="dxa" w:w="1275"/>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0E6B11E8" w14:textId="77777777" w:rsidP="00A55071" w:rsidR="00A55071" w:rsidRDefault="00A55071" w:rsidRPr="00A55071">
            <w:pPr>
              <w:jc w:val="center"/>
              <w:rPr>
                <w:lang w:val="fr-FR"/>
              </w:rPr>
            </w:pPr>
            <w:r w:rsidRPr="00A55071">
              <w:rPr>
                <w:lang w:val="fr-FR"/>
              </w:rPr>
              <w:t>35000</w:t>
            </w:r>
          </w:p>
        </w:tc>
      </w:tr>
      <w:tr w14:paraId="4FECF481" w14:textId="77777777" w:rsidR="00A55071" w:rsidRPr="00A55071" w:rsidTr="00A55071">
        <w:trPr>
          <w:trHeight w:val="260"/>
          <w:jc w:val="center"/>
        </w:trPr>
        <w:tc>
          <w:tcPr>
            <w:tcW w:type="dxa" w:w="4066"/>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hideMark/>
          </w:tcPr>
          <w:p w14:paraId="16DCF38D" w14:textId="77777777" w:rsidP="00A55071" w:rsidR="00A55071" w:rsidRDefault="00A55071" w:rsidRPr="00A55071">
            <w:pPr>
              <w:jc w:val="center"/>
              <w:rPr>
                <w:lang w:val="fr-FR"/>
              </w:rPr>
            </w:pPr>
            <w:r w:rsidRPr="00A55071">
              <w:rPr>
                <w:lang w:val="fr-FR"/>
              </w:rPr>
              <w:t>Soutireur Aseptique</w:t>
            </w:r>
          </w:p>
        </w:tc>
        <w:tc>
          <w:tcPr>
            <w:tcW w:type="dxa" w:w="1453"/>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35783241" w14:textId="77777777" w:rsidP="00A55071" w:rsidR="00A55071" w:rsidRDefault="00A55071" w:rsidRPr="00A55071">
            <w:pPr>
              <w:jc w:val="center"/>
              <w:rPr>
                <w:lang w:val="fr-FR"/>
              </w:rPr>
            </w:pPr>
            <w:r w:rsidRPr="00A55071">
              <w:rPr>
                <w:lang w:val="fr-FR"/>
              </w:rPr>
              <w:t>25000</w:t>
            </w:r>
          </w:p>
        </w:tc>
        <w:tc>
          <w:tcPr>
            <w:tcW w:type="dxa" w:w="1275"/>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5F2CACC5" w14:textId="77777777" w:rsidP="00A55071" w:rsidR="00A55071" w:rsidRDefault="00A55071" w:rsidRPr="00A55071">
            <w:pPr>
              <w:jc w:val="center"/>
              <w:rPr>
                <w:lang w:val="fr-FR"/>
              </w:rPr>
            </w:pPr>
            <w:r w:rsidRPr="00A55071">
              <w:rPr>
                <w:lang w:val="fr-FR"/>
              </w:rPr>
              <w:t>35000</w:t>
            </w:r>
          </w:p>
        </w:tc>
      </w:tr>
      <w:tr w14:paraId="3A741B4B" w14:textId="77777777" w:rsidR="00A55071" w:rsidRPr="00A55071" w:rsidTr="00A55071">
        <w:trPr>
          <w:trHeight w:val="260"/>
          <w:jc w:val="center"/>
        </w:trPr>
        <w:tc>
          <w:tcPr>
            <w:tcW w:type="dxa" w:w="4066"/>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hideMark/>
          </w:tcPr>
          <w:p w14:paraId="506CEB21" w14:textId="77777777" w:rsidP="00A55071" w:rsidR="00A55071" w:rsidRDefault="00A55071" w:rsidRPr="00A55071">
            <w:pPr>
              <w:jc w:val="center"/>
              <w:rPr>
                <w:lang w:val="fr-FR"/>
              </w:rPr>
            </w:pPr>
            <w:r w:rsidRPr="00A55071">
              <w:rPr>
                <w:lang w:val="fr-FR"/>
              </w:rPr>
              <w:t>Siropier</w:t>
            </w:r>
          </w:p>
        </w:tc>
        <w:tc>
          <w:tcPr>
            <w:tcW w:type="dxa" w:w="1453"/>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7D852AE6" w14:textId="77777777" w:rsidP="00A55071" w:rsidR="00A55071" w:rsidRDefault="00A55071" w:rsidRPr="00A55071">
            <w:pPr>
              <w:jc w:val="center"/>
              <w:rPr>
                <w:lang w:val="fr-FR"/>
              </w:rPr>
            </w:pPr>
            <w:r w:rsidRPr="00A55071">
              <w:rPr>
                <w:lang w:val="fr-FR"/>
              </w:rPr>
              <w:t>25000</w:t>
            </w:r>
          </w:p>
        </w:tc>
        <w:tc>
          <w:tcPr>
            <w:tcW w:type="dxa" w:w="1275"/>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78CBB88E" w14:textId="77777777" w:rsidP="00A55071" w:rsidR="00A55071" w:rsidRDefault="00A55071" w:rsidRPr="00A55071">
            <w:pPr>
              <w:jc w:val="center"/>
              <w:rPr>
                <w:lang w:val="fr-FR"/>
              </w:rPr>
            </w:pPr>
            <w:r w:rsidRPr="00A55071">
              <w:rPr>
                <w:lang w:val="fr-FR"/>
              </w:rPr>
              <w:t>35000</w:t>
            </w:r>
          </w:p>
        </w:tc>
      </w:tr>
      <w:tr w14:paraId="55C65EAD" w14:textId="77777777" w:rsidR="00A55071" w:rsidRPr="00A55071" w:rsidTr="00A55071">
        <w:trPr>
          <w:trHeight w:val="260"/>
          <w:jc w:val="center"/>
        </w:trPr>
        <w:tc>
          <w:tcPr>
            <w:tcW w:type="dxa" w:w="4066"/>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hideMark/>
          </w:tcPr>
          <w:p w14:paraId="1347E1E4" w14:textId="77777777" w:rsidP="00A55071" w:rsidR="00A55071" w:rsidRDefault="00A55071" w:rsidRPr="00A55071">
            <w:pPr>
              <w:jc w:val="center"/>
              <w:rPr>
                <w:lang w:val="fr-FR"/>
              </w:rPr>
            </w:pPr>
            <w:r w:rsidRPr="00A55071">
              <w:rPr>
                <w:lang w:val="fr-FR"/>
              </w:rPr>
              <w:t>Operateur Zone Qualite</w:t>
            </w:r>
          </w:p>
        </w:tc>
        <w:tc>
          <w:tcPr>
            <w:tcW w:type="dxa" w:w="1453"/>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47B1B2E8" w14:textId="77777777" w:rsidP="00A55071" w:rsidR="00A55071" w:rsidRDefault="00A55071" w:rsidRPr="00A55071">
            <w:pPr>
              <w:jc w:val="center"/>
              <w:rPr>
                <w:lang w:val="fr-FR"/>
              </w:rPr>
            </w:pPr>
            <w:r w:rsidRPr="00A55071">
              <w:rPr>
                <w:lang w:val="fr-FR"/>
              </w:rPr>
              <w:t>25000</w:t>
            </w:r>
          </w:p>
        </w:tc>
        <w:tc>
          <w:tcPr>
            <w:tcW w:type="dxa" w:w="1275"/>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07294846" w14:textId="77777777" w:rsidP="00A55071" w:rsidR="00A55071" w:rsidRDefault="00A55071" w:rsidRPr="00A55071">
            <w:pPr>
              <w:jc w:val="center"/>
              <w:rPr>
                <w:lang w:val="fr-FR"/>
              </w:rPr>
            </w:pPr>
            <w:r w:rsidRPr="00A55071">
              <w:rPr>
                <w:lang w:val="fr-FR"/>
              </w:rPr>
              <w:t>35000</w:t>
            </w:r>
          </w:p>
        </w:tc>
      </w:tr>
      <w:tr w14:paraId="44690384" w14:textId="77777777" w:rsidR="00A55071" w:rsidRPr="00A55071" w:rsidTr="00A55071">
        <w:trPr>
          <w:trHeight w:val="260"/>
          <w:jc w:val="center"/>
        </w:trPr>
        <w:tc>
          <w:tcPr>
            <w:tcW w:type="dxa" w:w="4066"/>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hideMark/>
          </w:tcPr>
          <w:p w14:paraId="362AE3FF" w14:textId="77777777" w:rsidP="00A55071" w:rsidR="00A55071" w:rsidRDefault="00A55071" w:rsidRPr="00A55071">
            <w:pPr>
              <w:jc w:val="center"/>
              <w:rPr>
                <w:lang w:val="fr-FR"/>
              </w:rPr>
            </w:pPr>
            <w:r w:rsidRPr="00A55071">
              <w:rPr>
                <w:lang w:val="fr-FR"/>
              </w:rPr>
              <w:t>Operateur support de ligne pilote</w:t>
            </w:r>
          </w:p>
        </w:tc>
        <w:tc>
          <w:tcPr>
            <w:tcW w:type="dxa" w:w="1453"/>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26797C9D" w14:textId="77777777" w:rsidP="00A55071" w:rsidR="00A55071" w:rsidRDefault="00A55071" w:rsidRPr="00A55071">
            <w:pPr>
              <w:jc w:val="center"/>
              <w:rPr>
                <w:lang w:val="fr-FR"/>
              </w:rPr>
            </w:pPr>
            <w:r w:rsidRPr="00A55071">
              <w:rPr>
                <w:lang w:val="fr-FR"/>
              </w:rPr>
              <w:t>28500</w:t>
            </w:r>
          </w:p>
        </w:tc>
        <w:tc>
          <w:tcPr>
            <w:tcW w:type="dxa" w:w="1275"/>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1DAE57BF" w14:textId="77777777" w:rsidP="00A55071" w:rsidR="00A55071" w:rsidRDefault="00A55071" w:rsidRPr="00A55071">
            <w:pPr>
              <w:jc w:val="center"/>
              <w:rPr>
                <w:lang w:val="fr-FR"/>
              </w:rPr>
            </w:pPr>
            <w:r w:rsidRPr="00A55071">
              <w:rPr>
                <w:lang w:val="fr-FR"/>
              </w:rPr>
              <w:t>38000</w:t>
            </w:r>
          </w:p>
        </w:tc>
      </w:tr>
      <w:tr w14:paraId="0F658CC4" w14:textId="77777777" w:rsidR="00A55071" w:rsidRPr="00A55071" w:rsidTr="00A55071">
        <w:trPr>
          <w:trHeight w:val="260"/>
          <w:jc w:val="center"/>
        </w:trPr>
        <w:tc>
          <w:tcPr>
            <w:tcW w:type="dxa" w:w="4066"/>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hideMark/>
          </w:tcPr>
          <w:p w14:paraId="0BB8C396" w14:textId="77777777" w:rsidP="00A55071" w:rsidR="00A55071" w:rsidRDefault="00A55071" w:rsidRPr="00A55071">
            <w:pPr>
              <w:jc w:val="center"/>
              <w:rPr>
                <w:lang w:val="fr-FR"/>
              </w:rPr>
            </w:pPr>
            <w:r w:rsidRPr="00A55071">
              <w:rPr>
                <w:lang w:val="fr-FR"/>
              </w:rPr>
              <w:t>Coordinateur magasin</w:t>
            </w:r>
          </w:p>
        </w:tc>
        <w:tc>
          <w:tcPr>
            <w:tcW w:type="dxa" w:w="1453"/>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4A3402CB" w14:textId="77777777" w:rsidP="00A55071" w:rsidR="00A55071" w:rsidRDefault="00A55071" w:rsidRPr="00A55071">
            <w:pPr>
              <w:jc w:val="center"/>
              <w:rPr>
                <w:lang w:val="fr-FR"/>
              </w:rPr>
            </w:pPr>
            <w:r w:rsidRPr="00A55071">
              <w:rPr>
                <w:lang w:val="fr-FR"/>
              </w:rPr>
              <w:t>28500</w:t>
            </w:r>
          </w:p>
        </w:tc>
        <w:tc>
          <w:tcPr>
            <w:tcW w:type="dxa" w:w="1275"/>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485C1384" w14:textId="77777777" w:rsidP="00A55071" w:rsidR="00A55071" w:rsidRDefault="00A55071" w:rsidRPr="00A55071">
            <w:pPr>
              <w:jc w:val="center"/>
              <w:rPr>
                <w:lang w:val="fr-FR"/>
              </w:rPr>
            </w:pPr>
            <w:r w:rsidRPr="00A55071">
              <w:rPr>
                <w:lang w:val="fr-FR"/>
              </w:rPr>
              <w:t>38000</w:t>
            </w:r>
          </w:p>
        </w:tc>
      </w:tr>
      <w:tr w14:paraId="726F3FFB" w14:textId="77777777" w:rsidR="00A55071" w:rsidRPr="00A55071" w:rsidTr="00A55071">
        <w:trPr>
          <w:trHeight w:val="260"/>
          <w:jc w:val="center"/>
        </w:trPr>
        <w:tc>
          <w:tcPr>
            <w:tcW w:type="dxa" w:w="4066"/>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hideMark/>
          </w:tcPr>
          <w:p w14:paraId="45D5FE90" w14:textId="77777777" w:rsidP="00A55071" w:rsidR="00A55071" w:rsidRDefault="00A55071" w:rsidRPr="00A55071">
            <w:pPr>
              <w:jc w:val="center"/>
              <w:rPr>
                <w:lang w:val="fr-FR"/>
              </w:rPr>
            </w:pPr>
            <w:r w:rsidRPr="00A55071">
              <w:rPr>
                <w:lang w:val="fr-FR"/>
              </w:rPr>
              <w:t>Gestionnaire systeme documentaire</w:t>
            </w:r>
          </w:p>
        </w:tc>
        <w:tc>
          <w:tcPr>
            <w:tcW w:type="dxa" w:w="1453"/>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3D93BF77" w14:textId="77777777" w:rsidP="00A55071" w:rsidR="00A55071" w:rsidRDefault="00A55071" w:rsidRPr="00A55071">
            <w:pPr>
              <w:jc w:val="center"/>
              <w:rPr>
                <w:lang w:val="fr-FR"/>
              </w:rPr>
            </w:pPr>
            <w:r w:rsidRPr="00A55071">
              <w:rPr>
                <w:lang w:val="fr-FR"/>
              </w:rPr>
              <w:t>28500</w:t>
            </w:r>
          </w:p>
        </w:tc>
        <w:tc>
          <w:tcPr>
            <w:tcW w:type="dxa" w:w="1275"/>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68251A4F" w14:textId="77777777" w:rsidP="00A55071" w:rsidR="00A55071" w:rsidRDefault="00A55071" w:rsidRPr="00A55071">
            <w:pPr>
              <w:jc w:val="center"/>
              <w:rPr>
                <w:lang w:val="fr-FR"/>
              </w:rPr>
            </w:pPr>
            <w:r w:rsidRPr="00A55071">
              <w:rPr>
                <w:lang w:val="fr-FR"/>
              </w:rPr>
              <w:t>38000</w:t>
            </w:r>
          </w:p>
        </w:tc>
      </w:tr>
      <w:tr w14:paraId="6566116A" w14:textId="77777777" w:rsidR="00A55071" w:rsidRPr="00A55071" w:rsidTr="00A55071">
        <w:trPr>
          <w:trHeight w:val="260"/>
          <w:jc w:val="center"/>
        </w:trPr>
        <w:tc>
          <w:tcPr>
            <w:tcW w:type="dxa" w:w="4066"/>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hideMark/>
          </w:tcPr>
          <w:p w14:paraId="30F686FB" w14:textId="77777777" w:rsidP="00A55071" w:rsidR="00A55071" w:rsidRDefault="00A55071" w:rsidRPr="00A55071">
            <w:pPr>
              <w:jc w:val="center"/>
              <w:rPr>
                <w:lang w:val="fr-FR"/>
              </w:rPr>
            </w:pPr>
            <w:r w:rsidRPr="00A55071">
              <w:rPr>
                <w:lang w:val="fr-FR"/>
              </w:rPr>
              <w:t xml:space="preserve">Technicien de Maintenance </w:t>
            </w:r>
          </w:p>
        </w:tc>
        <w:tc>
          <w:tcPr>
            <w:tcW w:type="dxa" w:w="1453"/>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7CA51C54" w14:textId="77777777" w:rsidP="00A55071" w:rsidR="00A55071" w:rsidRDefault="00A55071" w:rsidRPr="00A55071">
            <w:pPr>
              <w:jc w:val="center"/>
              <w:rPr>
                <w:lang w:val="fr-FR"/>
              </w:rPr>
            </w:pPr>
            <w:r w:rsidRPr="00A55071">
              <w:rPr>
                <w:lang w:val="fr-FR"/>
              </w:rPr>
              <w:t>28500</w:t>
            </w:r>
          </w:p>
        </w:tc>
        <w:tc>
          <w:tcPr>
            <w:tcW w:type="dxa" w:w="1275"/>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653CB7DA" w14:textId="77777777" w:rsidP="00A55071" w:rsidR="00A55071" w:rsidRDefault="00A55071" w:rsidRPr="00A55071">
            <w:pPr>
              <w:jc w:val="center"/>
              <w:rPr>
                <w:lang w:val="fr-FR"/>
              </w:rPr>
            </w:pPr>
            <w:r w:rsidRPr="00A55071">
              <w:rPr>
                <w:lang w:val="fr-FR"/>
              </w:rPr>
              <w:t>38000</w:t>
            </w:r>
          </w:p>
        </w:tc>
      </w:tr>
      <w:tr w14:paraId="520122A7" w14:textId="77777777" w:rsidR="00A55071" w:rsidRPr="00A55071" w:rsidTr="00A55071">
        <w:trPr>
          <w:trHeight w:val="260"/>
          <w:jc w:val="center"/>
        </w:trPr>
        <w:tc>
          <w:tcPr>
            <w:tcW w:type="dxa" w:w="4066"/>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hideMark/>
          </w:tcPr>
          <w:p w14:paraId="17B70CF1" w14:textId="77777777" w:rsidP="00A55071" w:rsidR="00A55071" w:rsidRDefault="00A55071" w:rsidRPr="00A55071">
            <w:pPr>
              <w:jc w:val="center"/>
              <w:rPr>
                <w:lang w:val="fr-FR"/>
              </w:rPr>
            </w:pPr>
            <w:r w:rsidRPr="00A55071">
              <w:rPr>
                <w:lang w:val="fr-FR"/>
              </w:rPr>
              <w:t>Technicien planification ordonnancement</w:t>
            </w:r>
          </w:p>
        </w:tc>
        <w:tc>
          <w:tcPr>
            <w:tcW w:type="dxa" w:w="1453"/>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64782F92" w14:textId="77777777" w:rsidP="00A55071" w:rsidR="00A55071" w:rsidRDefault="00A55071" w:rsidRPr="00A55071">
            <w:pPr>
              <w:jc w:val="center"/>
              <w:rPr>
                <w:lang w:val="fr-FR"/>
              </w:rPr>
            </w:pPr>
            <w:r w:rsidRPr="00A55071">
              <w:rPr>
                <w:lang w:val="fr-FR"/>
              </w:rPr>
              <w:t>28500</w:t>
            </w:r>
          </w:p>
        </w:tc>
        <w:tc>
          <w:tcPr>
            <w:tcW w:type="dxa" w:w="1275"/>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71C5F2D1" w14:textId="77777777" w:rsidP="00A55071" w:rsidR="00A55071" w:rsidRDefault="00A55071" w:rsidRPr="00A55071">
            <w:pPr>
              <w:jc w:val="center"/>
              <w:rPr>
                <w:lang w:val="fr-FR"/>
              </w:rPr>
            </w:pPr>
            <w:r w:rsidRPr="00A55071">
              <w:rPr>
                <w:lang w:val="fr-FR"/>
              </w:rPr>
              <w:t>38000</w:t>
            </w:r>
          </w:p>
        </w:tc>
      </w:tr>
      <w:tr w14:paraId="74D5F361" w14:textId="77777777" w:rsidR="00A55071" w:rsidRPr="00A55071" w:rsidTr="00A55071">
        <w:trPr>
          <w:trHeight w:val="260"/>
          <w:jc w:val="center"/>
        </w:trPr>
        <w:tc>
          <w:tcPr>
            <w:tcW w:type="dxa" w:w="4066"/>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hideMark/>
          </w:tcPr>
          <w:p w14:paraId="109B3BB6" w14:textId="77777777" w:rsidP="00A55071" w:rsidR="00A55071" w:rsidRDefault="00A55071" w:rsidRPr="00A55071">
            <w:pPr>
              <w:jc w:val="center"/>
              <w:rPr>
                <w:lang w:val="fr-FR"/>
              </w:rPr>
            </w:pPr>
            <w:r w:rsidRPr="00A55071">
              <w:rPr>
                <w:lang w:val="fr-FR"/>
              </w:rPr>
              <w:t>Technicien logistique</w:t>
            </w:r>
          </w:p>
        </w:tc>
        <w:tc>
          <w:tcPr>
            <w:tcW w:type="dxa" w:w="1453"/>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2E4E5CD5" w14:textId="77777777" w:rsidP="00A55071" w:rsidR="00A55071" w:rsidRDefault="00A55071" w:rsidRPr="00A55071">
            <w:pPr>
              <w:jc w:val="center"/>
              <w:rPr>
                <w:lang w:val="fr-FR"/>
              </w:rPr>
            </w:pPr>
            <w:r w:rsidRPr="00A55071">
              <w:rPr>
                <w:lang w:val="fr-FR"/>
              </w:rPr>
              <w:t>28500</w:t>
            </w:r>
          </w:p>
        </w:tc>
        <w:tc>
          <w:tcPr>
            <w:tcW w:type="dxa" w:w="1275"/>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0F4C1533" w14:textId="77777777" w:rsidP="00A55071" w:rsidR="00A55071" w:rsidRDefault="00A55071" w:rsidRPr="00A55071">
            <w:pPr>
              <w:jc w:val="center"/>
              <w:rPr>
                <w:lang w:val="fr-FR"/>
              </w:rPr>
            </w:pPr>
            <w:r w:rsidRPr="00A55071">
              <w:rPr>
                <w:lang w:val="fr-FR"/>
              </w:rPr>
              <w:t>38000</w:t>
            </w:r>
          </w:p>
        </w:tc>
      </w:tr>
      <w:tr w14:paraId="4FFB50BB" w14:textId="77777777" w:rsidR="00A55071" w:rsidRPr="00A55071" w:rsidTr="00A55071">
        <w:trPr>
          <w:trHeight w:val="260"/>
          <w:jc w:val="center"/>
        </w:trPr>
        <w:tc>
          <w:tcPr>
            <w:tcW w:type="dxa" w:w="4066"/>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hideMark/>
          </w:tcPr>
          <w:p w14:paraId="4EE6D6BC" w14:textId="77777777" w:rsidP="00A55071" w:rsidR="00A55071" w:rsidRDefault="00A55071" w:rsidRPr="00A55071">
            <w:pPr>
              <w:jc w:val="center"/>
              <w:rPr>
                <w:lang w:val="fr-FR"/>
              </w:rPr>
            </w:pPr>
            <w:r w:rsidRPr="00A55071">
              <w:rPr>
                <w:lang w:val="fr-FR"/>
              </w:rPr>
              <w:t>Technicien Services Generaux</w:t>
            </w:r>
          </w:p>
        </w:tc>
        <w:tc>
          <w:tcPr>
            <w:tcW w:type="dxa" w:w="1453"/>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08C8C5F0" w14:textId="77777777" w:rsidP="00A55071" w:rsidR="00A55071" w:rsidRDefault="00A55071" w:rsidRPr="00A55071">
            <w:pPr>
              <w:jc w:val="center"/>
              <w:rPr>
                <w:lang w:val="fr-FR"/>
              </w:rPr>
            </w:pPr>
            <w:r w:rsidRPr="00A55071">
              <w:rPr>
                <w:lang w:val="fr-FR"/>
              </w:rPr>
              <w:t>28500</w:t>
            </w:r>
          </w:p>
        </w:tc>
        <w:tc>
          <w:tcPr>
            <w:tcW w:type="dxa" w:w="1275"/>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195E4149" w14:textId="77777777" w:rsidP="00A55071" w:rsidR="00A55071" w:rsidRDefault="00A55071" w:rsidRPr="00A55071">
            <w:pPr>
              <w:jc w:val="center"/>
              <w:rPr>
                <w:lang w:val="fr-FR"/>
              </w:rPr>
            </w:pPr>
            <w:r w:rsidRPr="00A55071">
              <w:rPr>
                <w:lang w:val="fr-FR"/>
              </w:rPr>
              <w:t>38000</w:t>
            </w:r>
          </w:p>
        </w:tc>
      </w:tr>
      <w:tr w14:paraId="7AEE833D" w14:textId="77777777" w:rsidR="00A55071" w:rsidRPr="00A55071" w:rsidTr="00A55071">
        <w:trPr>
          <w:trHeight w:val="260"/>
          <w:jc w:val="center"/>
        </w:trPr>
        <w:tc>
          <w:tcPr>
            <w:tcW w:type="dxa" w:w="4066"/>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hideMark/>
          </w:tcPr>
          <w:p w14:paraId="7754ED26" w14:textId="77777777" w:rsidP="00A55071" w:rsidR="00A55071" w:rsidRDefault="00A55071" w:rsidRPr="00A55071">
            <w:pPr>
              <w:jc w:val="center"/>
              <w:rPr>
                <w:lang w:val="fr-FR"/>
              </w:rPr>
            </w:pPr>
            <w:r w:rsidRPr="00A55071">
              <w:rPr>
                <w:lang w:val="fr-FR"/>
              </w:rPr>
              <w:t>Technicien Planification Equipes</w:t>
            </w:r>
          </w:p>
        </w:tc>
        <w:tc>
          <w:tcPr>
            <w:tcW w:type="dxa" w:w="1453"/>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101AB522" w14:textId="77777777" w:rsidP="00A55071" w:rsidR="00A55071" w:rsidRDefault="00A55071" w:rsidRPr="00A55071">
            <w:pPr>
              <w:jc w:val="center"/>
              <w:rPr>
                <w:lang w:val="fr-FR"/>
              </w:rPr>
            </w:pPr>
            <w:r w:rsidRPr="00A55071">
              <w:rPr>
                <w:lang w:val="fr-FR"/>
              </w:rPr>
              <w:t>28500</w:t>
            </w:r>
          </w:p>
        </w:tc>
        <w:tc>
          <w:tcPr>
            <w:tcW w:type="dxa" w:w="1275"/>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6BA3833C" w14:textId="77777777" w:rsidP="00A55071" w:rsidR="00A55071" w:rsidRDefault="00A55071" w:rsidRPr="00A55071">
            <w:pPr>
              <w:jc w:val="center"/>
              <w:rPr>
                <w:lang w:val="fr-FR"/>
              </w:rPr>
            </w:pPr>
            <w:r w:rsidRPr="00A55071">
              <w:rPr>
                <w:lang w:val="fr-FR"/>
              </w:rPr>
              <w:t>38000</w:t>
            </w:r>
          </w:p>
        </w:tc>
      </w:tr>
      <w:tr w14:paraId="6D069B8A" w14:textId="77777777" w:rsidR="00A55071" w:rsidRPr="00A55071" w:rsidTr="00A55071">
        <w:trPr>
          <w:trHeight w:val="260"/>
          <w:jc w:val="center"/>
        </w:trPr>
        <w:tc>
          <w:tcPr>
            <w:tcW w:type="dxa" w:w="4066"/>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hideMark/>
          </w:tcPr>
          <w:p w14:paraId="2B2DB179" w14:textId="77777777" w:rsidP="00A55071" w:rsidR="00A55071" w:rsidRDefault="00A55071" w:rsidRPr="00A55071">
            <w:pPr>
              <w:jc w:val="center"/>
              <w:rPr>
                <w:lang w:val="fr-FR"/>
              </w:rPr>
            </w:pPr>
            <w:r w:rsidRPr="00A55071">
              <w:rPr>
                <w:lang w:val="fr-FR"/>
              </w:rPr>
              <w:t>Cariste coordinateur</w:t>
            </w:r>
          </w:p>
        </w:tc>
        <w:tc>
          <w:tcPr>
            <w:tcW w:type="dxa" w:w="1453"/>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12FE419B" w14:textId="77777777" w:rsidP="00A55071" w:rsidR="00A55071" w:rsidRDefault="00A55071" w:rsidRPr="00A55071">
            <w:pPr>
              <w:jc w:val="center"/>
              <w:rPr>
                <w:lang w:val="fr-FR"/>
              </w:rPr>
            </w:pPr>
            <w:r w:rsidRPr="00A55071">
              <w:rPr>
                <w:lang w:val="fr-FR"/>
              </w:rPr>
              <w:t>28500</w:t>
            </w:r>
          </w:p>
        </w:tc>
        <w:tc>
          <w:tcPr>
            <w:tcW w:type="dxa" w:w="1275"/>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3F279832" w14:textId="77777777" w:rsidP="00A55071" w:rsidR="00A55071" w:rsidRDefault="00A55071" w:rsidRPr="00A55071">
            <w:pPr>
              <w:jc w:val="center"/>
              <w:rPr>
                <w:lang w:val="fr-FR"/>
              </w:rPr>
            </w:pPr>
            <w:r w:rsidRPr="00A55071">
              <w:rPr>
                <w:lang w:val="fr-FR"/>
              </w:rPr>
              <w:t>38000</w:t>
            </w:r>
          </w:p>
        </w:tc>
      </w:tr>
      <w:tr w14:paraId="5C01D557" w14:textId="77777777" w:rsidR="00A55071" w:rsidRPr="00A55071" w:rsidTr="00A55071">
        <w:trPr>
          <w:trHeight w:val="260"/>
          <w:jc w:val="center"/>
        </w:trPr>
        <w:tc>
          <w:tcPr>
            <w:tcW w:type="dxa" w:w="4066"/>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hideMark/>
          </w:tcPr>
          <w:p w14:paraId="3189F41F" w14:textId="77777777" w:rsidP="00A55071" w:rsidR="00A55071" w:rsidRDefault="00A55071" w:rsidRPr="00A55071">
            <w:pPr>
              <w:jc w:val="center"/>
              <w:rPr>
                <w:lang w:val="fr-FR"/>
              </w:rPr>
            </w:pPr>
            <w:r w:rsidRPr="00A55071">
              <w:rPr>
                <w:lang w:val="fr-FR"/>
              </w:rPr>
              <w:t>Technicien Automatisme</w:t>
            </w:r>
          </w:p>
        </w:tc>
        <w:tc>
          <w:tcPr>
            <w:tcW w:type="dxa" w:w="1453"/>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14670DD3" w14:textId="77777777" w:rsidP="00A55071" w:rsidR="00A55071" w:rsidRDefault="00A55071" w:rsidRPr="00A55071">
            <w:pPr>
              <w:jc w:val="center"/>
              <w:rPr>
                <w:lang w:val="fr-FR"/>
              </w:rPr>
            </w:pPr>
            <w:r w:rsidRPr="00A55071">
              <w:rPr>
                <w:lang w:val="fr-FR"/>
              </w:rPr>
              <w:t>30000</w:t>
            </w:r>
          </w:p>
        </w:tc>
        <w:tc>
          <w:tcPr>
            <w:tcW w:type="dxa" w:w="1275"/>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508A12D8" w14:textId="77777777" w:rsidP="00A55071" w:rsidR="00A55071" w:rsidRDefault="00A55071" w:rsidRPr="00A55071">
            <w:pPr>
              <w:jc w:val="center"/>
              <w:rPr>
                <w:lang w:val="fr-FR"/>
              </w:rPr>
            </w:pPr>
            <w:r w:rsidRPr="00A55071">
              <w:rPr>
                <w:lang w:val="fr-FR"/>
              </w:rPr>
              <w:t>41000</w:t>
            </w:r>
          </w:p>
        </w:tc>
      </w:tr>
      <w:tr w14:paraId="5FE769EB" w14:textId="77777777" w:rsidR="00A55071" w:rsidRPr="00A55071" w:rsidTr="00A55071">
        <w:trPr>
          <w:trHeight w:val="260"/>
          <w:jc w:val="center"/>
        </w:trPr>
        <w:tc>
          <w:tcPr>
            <w:tcW w:type="dxa" w:w="4066"/>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hideMark/>
          </w:tcPr>
          <w:p w14:paraId="4D624186" w14:textId="77777777" w:rsidP="00A55071" w:rsidR="00A55071" w:rsidRDefault="00A55071" w:rsidRPr="00A55071">
            <w:pPr>
              <w:jc w:val="center"/>
              <w:rPr>
                <w:lang w:val="fr-FR"/>
              </w:rPr>
            </w:pPr>
            <w:r w:rsidRPr="00A55071">
              <w:rPr>
                <w:lang w:val="fr-FR"/>
              </w:rPr>
              <w:t>Planificateur Maintenance</w:t>
            </w:r>
          </w:p>
        </w:tc>
        <w:tc>
          <w:tcPr>
            <w:tcW w:type="dxa" w:w="1453"/>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4D788021" w14:textId="77777777" w:rsidP="00A55071" w:rsidR="00A55071" w:rsidRDefault="00A55071" w:rsidRPr="00A55071">
            <w:pPr>
              <w:jc w:val="center"/>
              <w:rPr>
                <w:lang w:val="fr-FR"/>
              </w:rPr>
            </w:pPr>
            <w:r w:rsidRPr="00A55071">
              <w:rPr>
                <w:lang w:val="fr-FR"/>
              </w:rPr>
              <w:t>30000</w:t>
            </w:r>
          </w:p>
        </w:tc>
        <w:tc>
          <w:tcPr>
            <w:tcW w:type="dxa" w:w="1275"/>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22D852A6" w14:textId="77777777" w:rsidP="00A55071" w:rsidR="00A55071" w:rsidRDefault="00A55071" w:rsidRPr="00A55071">
            <w:pPr>
              <w:jc w:val="center"/>
              <w:rPr>
                <w:lang w:val="fr-FR"/>
              </w:rPr>
            </w:pPr>
            <w:r w:rsidRPr="00A55071">
              <w:rPr>
                <w:lang w:val="fr-FR"/>
              </w:rPr>
              <w:t>41000</w:t>
            </w:r>
          </w:p>
        </w:tc>
      </w:tr>
      <w:tr w14:paraId="11BBA0C2" w14:textId="77777777" w:rsidR="00A55071" w:rsidRPr="00A55071" w:rsidTr="00A55071">
        <w:trPr>
          <w:trHeight w:val="260"/>
          <w:jc w:val="center"/>
        </w:trPr>
        <w:tc>
          <w:tcPr>
            <w:tcW w:type="dxa" w:w="4066"/>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hideMark/>
          </w:tcPr>
          <w:p w14:paraId="4BD73E60" w14:textId="77777777" w:rsidP="00A55071" w:rsidR="00A55071" w:rsidRDefault="00A55071" w:rsidRPr="00A55071">
            <w:pPr>
              <w:jc w:val="center"/>
              <w:rPr>
                <w:lang w:val="fr-FR"/>
              </w:rPr>
            </w:pPr>
            <w:r w:rsidRPr="00A55071">
              <w:rPr>
                <w:lang w:val="fr-FR"/>
              </w:rPr>
              <w:t>Infirmier(ière)</w:t>
            </w:r>
          </w:p>
        </w:tc>
        <w:tc>
          <w:tcPr>
            <w:tcW w:type="dxa" w:w="1453"/>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1B80D932" w14:textId="77777777" w:rsidP="00A55071" w:rsidR="00A55071" w:rsidRDefault="00A55071" w:rsidRPr="00A55071">
            <w:pPr>
              <w:jc w:val="center"/>
              <w:rPr>
                <w:lang w:val="fr-FR"/>
              </w:rPr>
            </w:pPr>
            <w:r w:rsidRPr="00A55071">
              <w:rPr>
                <w:lang w:val="fr-FR"/>
              </w:rPr>
              <w:t>30000</w:t>
            </w:r>
          </w:p>
        </w:tc>
        <w:tc>
          <w:tcPr>
            <w:tcW w:type="dxa" w:w="1275"/>
            <w:tcBorders>
              <w:top w:color="FFFFFF" w:space="0" w:sz="8" w:val="single"/>
              <w:left w:color="FFFFFF" w:space="0" w:sz="8" w:val="single"/>
              <w:bottom w:color="FFFFFF" w:space="0" w:sz="8" w:val="single"/>
              <w:right w:color="FFFFFF" w:space="0" w:sz="8" w:val="single"/>
            </w:tcBorders>
            <w:shd w:color="auto" w:fill="E9E7E9" w:val="clear"/>
            <w:tcMar>
              <w:top w:type="dxa" w:w="10"/>
              <w:left w:type="dxa" w:w="10"/>
              <w:bottom w:type="dxa" w:w="0"/>
              <w:right w:type="dxa" w:w="10"/>
            </w:tcMar>
            <w:vAlign w:val="bottom"/>
            <w:hideMark/>
          </w:tcPr>
          <w:p w14:paraId="3919115B" w14:textId="77777777" w:rsidP="00A55071" w:rsidR="00A55071" w:rsidRDefault="00A55071" w:rsidRPr="00A55071">
            <w:pPr>
              <w:jc w:val="center"/>
              <w:rPr>
                <w:lang w:val="fr-FR"/>
              </w:rPr>
            </w:pPr>
            <w:r w:rsidRPr="00A55071">
              <w:rPr>
                <w:lang w:val="fr-FR"/>
              </w:rPr>
              <w:t>41000</w:t>
            </w:r>
          </w:p>
        </w:tc>
      </w:tr>
    </w:tbl>
    <w:p w14:paraId="27EC09C7" w14:textId="77777777" w:rsidP="00AC1454" w:rsidR="00A55071" w:rsidRDefault="00A55071" w:rsidRPr="007F7259">
      <w:pPr>
        <w:jc w:val="center"/>
        <w:rPr>
          <w:lang w:val="de-DE"/>
        </w:rPr>
      </w:pPr>
    </w:p>
    <w:sectPr w:rsidR="00A55071" w:rsidRPr="007F7259" w:rsidSect="002D5420">
      <w:footerReference r:id="rId8" w:type="even"/>
      <w:footerReference r:id="rId9" w:type="default"/>
      <w:pgSz w:h="15840" w:w="12240"/>
      <w:pgMar w:bottom="1135" w:footer="709" w:gutter="0" w:header="709" w:left="1134" w:right="1134" w:top="127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AFE90" w14:textId="77777777" w:rsidR="00117380" w:rsidRDefault="00117380">
      <w:r>
        <w:separator/>
      </w:r>
    </w:p>
  </w:endnote>
  <w:endnote w:type="continuationSeparator" w:id="0">
    <w:p w14:paraId="1B438F9A" w14:textId="77777777" w:rsidR="00117380" w:rsidRDefault="00117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r –¾’©">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4C6132FA" w14:textId="77777777" w:rsidP="004122CB" w:rsidR="008D1A7C" w:rsidRDefault="008D1A7C">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p w14:paraId="47ED6D2C" w14:textId="77777777" w:rsidP="0029103E" w:rsidR="008D1A7C" w:rsidRDefault="008D1A7C">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6A6D2C3E" w14:textId="021E2FB5" w:rsidR="008D1A7C" w:rsidRDefault="008D1A7C">
    <w:pPr>
      <w:pStyle w:val="Pieddepage"/>
      <w:jc w:val="right"/>
    </w:pPr>
    <w:r>
      <w:rPr>
        <w:noProof/>
      </w:rPr>
      <mc:AlternateContent>
        <mc:Choice Requires="wps">
          <w:drawing>
            <wp:anchor allowOverlap="1" behindDoc="0" distB="0" distL="114300" distR="114300" distT="0" layoutInCell="0" locked="0" relativeHeight="251659264" simplePos="0" wp14:anchorId="5B18F67D" wp14:editId="2150EFE7">
              <wp:simplePos x="0" y="0"/>
              <wp:positionH relativeFrom="page">
                <wp:posOffset>0</wp:posOffset>
              </wp:positionH>
              <wp:positionV relativeFrom="page">
                <wp:posOffset>9594215</wp:posOffset>
              </wp:positionV>
              <wp:extent cx="7772400" cy="273050"/>
              <wp:effectExtent b="12700" l="0" r="0" t="0"/>
              <wp:wrapNone/>
              <wp:docPr descr="{&quot;HashCode&quot;:1455167957,&quot;Height&quot;:792.0,&quot;Width&quot;:612.0,&quot;Placement&quot;:&quot;Footer&quot;,&quot;Index&quot;:&quot;Primary&quot;,&quot;Section&quot;:1,&quot;Top&quot;:0.0,&quot;Left&quot;:0.0}" id="1" name="MSIPCMdb8844a3862b02533959e0aa"/>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87C9B3" w14:textId="2730AC27" w:rsidP="00053E72" w:rsidR="008D1A7C" w:rsidRDefault="008D1A7C" w:rsidRPr="00053E72">
                          <w:pPr>
                            <w:jc w:val="center"/>
                            <w:rPr>
                              <w:rFonts w:ascii="Calibri" w:cs="Calibri" w:hAnsi="Calibri"/>
                              <w:color w:val="000000"/>
                              <w:sz w:val="20"/>
                            </w:rPr>
                          </w:pPr>
                          <w:r w:rsidRPr="00053E72">
                            <w:rPr>
                              <w:rFonts w:ascii="Calibri" w:cs="Calibri" w:hAnsi="Calibri"/>
                              <w:color w:val="000000"/>
                              <w:sz w:val="20"/>
                            </w:rPr>
                            <w:t>Classification - Internal</w:t>
                          </w:r>
                        </w:p>
                      </w:txbxContent>
                    </wps:txbx>
                    <wps:bodyPr anchor="b" anchorCtr="0" bIns="0" compatLnSpc="1" forceAA="0" fromWordArt="0" horzOverflow="overflow" lIns="91440" numCol="1" rIns="91440" rot="0" rtlCol="0" spcCol="0" spcFirstLastPara="0" tIns="0" vert="horz" vertOverflow="overflow" wrap="square">
                      <a:prstTxWarp prst="textNoShape">
                        <a:avLst/>
                      </a:prstTxWarp>
                      <a:noAutofit/>
                    </wps:bodyPr>
                  </wps:wsp>
                </a:graphicData>
              </a:graphic>
            </wp:anchor>
          </w:drawing>
        </mc:Choice>
        <mc:Fallback>
          <w:pict>
            <v:shapetype coordsize="21600,21600" id="_x0000_t202" o:spt="202" path="m,l,21600r21600,l21600,xe" w14:anchorId="5B18F67D">
              <v:stroke joinstyle="miter"/>
              <v:path gradientshapeok="t" o:connecttype="rect"/>
            </v:shapetype>
            <v:shape alt="{&quot;HashCode&quot;:1455167957,&quot;Height&quot;:792.0,&quot;Width&quot;:612.0,&quot;Placement&quot;:&quot;Footer&quot;,&quot;Index&quot;:&quot;Primary&quot;,&quot;Section&quot;:1,&quot;Top&quot;:0.0,&quot;Left&quot;:0.0}" filled="f" id="MSIPCMdb8844a3862b02533959e0aa"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RxFbrQIAAEYFAAAOAAAAZHJzL2Uyb0RvYy54bWysVEtv2zAMvg/YfxB02GmLnacTr06RpchW IG0DpEPPiizHBmxRlZTa2bD/PspW0sd2GnaxKX4UHx9JXVw2VUmehDYFyIT2eyElQnJIC7lP6Pf7 1acpJcYymbISpEjoURh6OX//7qJWsRhADmUqNEEn0sS1SmhurYqDwPBcVMz0QAmJYAa6YhaPeh+k mtXovSqDQRhOghp0qjRwYQxqrzqQzlv/WSa4vcsyIywpE4q52far2+/OfYP5BYv3mqm84D4N9g9Z VKyQGPTs6opZRg66+MNVVXANBjLb41AFkGUFF20NWE0/fFPNNmdKtLUgOUadaTL/zy2/fdpoUqTY O0okq7BFN9vrzfIm3U2noxEbTieDXTgYD4ez8UyEjFGSCsORwZ8fHg9gP39jJl9CKrpT3B+Nx/1J NBtHHz0uin1uPRrNBr3QAw9FanOvn/Sf9ZuScVEJebrTmawArNCd7B1cy1Q03kH32+iiYvr4ymqL I4Cz6e36/u49KK8JzwmtRXaKicpfbjRqZWJkaKuQI9t8gcbR5PUGla7jTaYr98deEsRxyI7nwRKN JRyVURQNRiFCHLFBNAzH7eQFz7eVNvargIo4IaEas27niT2tjcWIaHoyccEkrIqybIe3lKRO6GSI Ll8heKOUeNHV0OXqJNvsGl/ADtIj1qWhWwqj+KrA4Gtm7IZp3ALMFzfb3uEnKwGDgJcoyUH/+Jve 2eNwIkpJjVuVUPN4YFpQUl5LHNtZfzRya9geUNAvtbuTVh6qJeDC4khiVq3obG15EjMN1QMu/sJF Q4hJjjETujuJS4snBPDh4GKxaGVcOMXsWm4Vd64dWY7S++aBaeV5t9ixWzjtHYvf0N/ZdjQvDhay ou2NI7Zj0/ONy9q2zD8s7jV4eW6tnp+/+W8AAAD//wMAUEsDBBQABgAIAAAAIQD7pgnR3gAAAAsB AAAPAAAAZHJzL2Rvd25yZXYueG1sTI/NTsMwEITvSLyDtUjcqNPQIhLiVAjEBQmhFsTZiTc/TbyO YrdN3p7NCY77zWh2JttNthdnHH3rSMF6FYFAKp1pqVbw/fV29wjCB01G945QwYwedvn1VaZT4y60 x/Mh1IJDyKdaQRPCkErpywat9is3ILFWudHqwOdYSzPqC4fbXsZR9CCtbok/NHrAlwbL7nCyCjaf SVHJY2ePH/P7PLdd9fNaVErd3kzPTyACTuHPDEt9rg45dyrciYwXvQIeEphu11ECYtHjeMOsWNj2 PgGZZ/L/hvwXAAD//wMAUEsBAi0AFAAGAAgAAAAhALaDOJL+AAAA4QEAABMAAAAAAAAAAAAAAAAA AAAAAFtDb250ZW50X1R5cGVzXS54bWxQSwECLQAUAAYACAAAACEAOP0h/9YAAACUAQAACwAAAAAA AAAAAAAAAAAvAQAAX3JlbHMvLnJlbHNQSwECLQAUAAYACAAAACEAwkcRW60CAABGBQAADgAAAAAA AAAAAAAAAAAuAgAAZHJzL2Uyb0RvYy54bWxQSwECLQAUAAYACAAAACEA+6YJ0d4AAAALAQAADwAA AAAAAAAAAAAAAAAHBQAAZHJzL2Rvd25yZXYueG1sUEsFBgAAAAAEAAQA8wAAABIGAAAAAA== " o:spid="_x0000_s1026" stroked="f" strokeweight=".5pt" style="position:absolute;left:0;text-align:left;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type="#_x0000_t202">
              <v:textbox inset=",0,,0">
                <w:txbxContent>
                  <w:p w14:paraId="5087C9B3" w14:textId="2730AC27" w:rsidP="00053E72" w:rsidR="008D1A7C" w:rsidRDefault="008D1A7C" w:rsidRPr="00053E72">
                    <w:pPr>
                      <w:jc w:val="center"/>
                      <w:rPr>
                        <w:rFonts w:ascii="Calibri" w:cs="Calibri" w:hAnsi="Calibri"/>
                        <w:color w:val="000000"/>
                        <w:sz w:val="20"/>
                      </w:rPr>
                    </w:pPr>
                    <w:r w:rsidRPr="00053E72">
                      <w:rPr>
                        <w:rFonts w:ascii="Calibri" w:cs="Calibri" w:hAnsi="Calibri"/>
                        <w:color w:val="000000"/>
                        <w:sz w:val="20"/>
                      </w:rPr>
                      <w:t>Classification - Internal</w:t>
                    </w:r>
                  </w:p>
                </w:txbxContent>
              </v:textbox>
              <w10:wrap anchorx="page" anchory="page"/>
            </v:shape>
          </w:pict>
        </mc:Fallback>
      </mc:AlternateContent>
    </w:r>
    <w:sdt>
      <w:sdtPr>
        <w:id w:val="-1117604268"/>
        <w:docPartObj>
          <w:docPartGallery w:val="Page Numbers (Bottom of Page)"/>
          <w:docPartUnique/>
        </w:docPartObj>
      </w:sdtPr>
      <w:sdtEndPr/>
      <w:sdtContent>
        <w:r>
          <w:fldChar w:fldCharType="begin"/>
        </w:r>
        <w:r>
          <w:instrText>PAGE   \* MERGEFORMAT</w:instrText>
        </w:r>
        <w:r>
          <w:fldChar w:fldCharType="separate"/>
        </w:r>
        <w:r w:rsidRPr="004B607C">
          <w:rPr>
            <w:noProof/>
            <w:lang w:val="fr-FR"/>
          </w:rPr>
          <w:t>8</w:t>
        </w:r>
        <w:r>
          <w:fldChar w:fldCharType="end"/>
        </w:r>
      </w:sdtContent>
    </w:sdt>
  </w:p>
  <w:p w14:paraId="7947447A" w14:textId="77777777" w:rsidR="008D1A7C" w:rsidRDefault="008D1A7C" w:rsidRPr="00356ADA">
    <w:pPr>
      <w:pStyle w:val="Pieddepage"/>
      <w:pBdr>
        <w:top w:color="622423" w:space="1" w:sz="24" w:themeColor="accent2" w:themeShade="7F" w:val="thinThickSmallGap"/>
      </w:pBdr>
      <w:rPr>
        <w:rFonts w:asciiTheme="majorHAnsi" w:hAnsiTheme="majorHAnsi"/>
        <w:sz w:val="22"/>
        <w:lang w:val="fr-FR"/>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4D2A2E04" w14:textId="77777777" w:rsidR="00117380" w:rsidRDefault="00117380">
      <w:r>
        <w:separator/>
      </w:r>
    </w:p>
  </w:footnote>
  <w:footnote w:id="0" w:type="continuationSeparator">
    <w:p w14:paraId="7D798D60" w14:textId="77777777" w:rsidR="00117380" w:rsidRDefault="00117380">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0502494"/>
    <w:multiLevelType w:val="hybridMultilevel"/>
    <w:tmpl w:val="0F4C5C1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1A70CAD"/>
    <w:multiLevelType w:val="hybridMultilevel"/>
    <w:tmpl w:val="780CD33A"/>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
    <w:nsid w:val="0AD950A1"/>
    <w:multiLevelType w:val="hybridMultilevel"/>
    <w:tmpl w:val="E210FC62"/>
    <w:lvl w:ilvl="0" w:tplc="04090001">
      <w:start w:val="1"/>
      <w:numFmt w:val="bullet"/>
      <w:lvlText w:val=""/>
      <w:lvlJc w:val="left"/>
      <w:pPr>
        <w:tabs>
          <w:tab w:pos="1440" w:val="num"/>
        </w:tabs>
        <w:ind w:hanging="360" w:left="1440"/>
      </w:pPr>
      <w:rPr>
        <w:rFonts w:ascii="Symbol" w:hAnsi="Symbol" w:hint="default"/>
      </w:rPr>
    </w:lvl>
    <w:lvl w:ilvl="1" w:tentative="1" w:tplc="04090003">
      <w:start w:val="1"/>
      <w:numFmt w:val="bullet"/>
      <w:lvlText w:val="o"/>
      <w:lvlJc w:val="left"/>
      <w:pPr>
        <w:tabs>
          <w:tab w:pos="2160" w:val="num"/>
        </w:tabs>
        <w:ind w:hanging="360" w:left="2160"/>
      </w:pPr>
      <w:rPr>
        <w:rFonts w:ascii="Courier New" w:cs="Courier New" w:hAnsi="Courier New" w:hint="default"/>
      </w:rPr>
    </w:lvl>
    <w:lvl w:ilvl="2" w:tentative="1" w:tplc="04090005">
      <w:start w:val="1"/>
      <w:numFmt w:val="bullet"/>
      <w:lvlText w:val=""/>
      <w:lvlJc w:val="left"/>
      <w:pPr>
        <w:tabs>
          <w:tab w:pos="2880" w:val="num"/>
        </w:tabs>
        <w:ind w:hanging="360" w:left="2880"/>
      </w:pPr>
      <w:rPr>
        <w:rFonts w:ascii="Wingdings" w:hAnsi="Wingdings" w:hint="default"/>
      </w:rPr>
    </w:lvl>
    <w:lvl w:ilvl="3" w:tentative="1" w:tplc="04090001">
      <w:start w:val="1"/>
      <w:numFmt w:val="bullet"/>
      <w:lvlText w:val=""/>
      <w:lvlJc w:val="left"/>
      <w:pPr>
        <w:tabs>
          <w:tab w:pos="3600" w:val="num"/>
        </w:tabs>
        <w:ind w:hanging="360" w:left="3600"/>
      </w:pPr>
      <w:rPr>
        <w:rFonts w:ascii="Symbol" w:hAnsi="Symbol" w:hint="default"/>
      </w:rPr>
    </w:lvl>
    <w:lvl w:ilvl="4" w:tentative="1" w:tplc="04090003">
      <w:start w:val="1"/>
      <w:numFmt w:val="bullet"/>
      <w:lvlText w:val="o"/>
      <w:lvlJc w:val="left"/>
      <w:pPr>
        <w:tabs>
          <w:tab w:pos="4320" w:val="num"/>
        </w:tabs>
        <w:ind w:hanging="360" w:left="4320"/>
      </w:pPr>
      <w:rPr>
        <w:rFonts w:ascii="Courier New" w:cs="Courier New" w:hAnsi="Courier New" w:hint="default"/>
      </w:rPr>
    </w:lvl>
    <w:lvl w:ilvl="5" w:tentative="1" w:tplc="04090005">
      <w:start w:val="1"/>
      <w:numFmt w:val="bullet"/>
      <w:lvlText w:val=""/>
      <w:lvlJc w:val="left"/>
      <w:pPr>
        <w:tabs>
          <w:tab w:pos="5040" w:val="num"/>
        </w:tabs>
        <w:ind w:hanging="360" w:left="5040"/>
      </w:pPr>
      <w:rPr>
        <w:rFonts w:ascii="Wingdings" w:hAnsi="Wingdings" w:hint="default"/>
      </w:rPr>
    </w:lvl>
    <w:lvl w:ilvl="6" w:tentative="1" w:tplc="04090001">
      <w:start w:val="1"/>
      <w:numFmt w:val="bullet"/>
      <w:lvlText w:val=""/>
      <w:lvlJc w:val="left"/>
      <w:pPr>
        <w:tabs>
          <w:tab w:pos="5760" w:val="num"/>
        </w:tabs>
        <w:ind w:hanging="360" w:left="5760"/>
      </w:pPr>
      <w:rPr>
        <w:rFonts w:ascii="Symbol" w:hAnsi="Symbol" w:hint="default"/>
      </w:rPr>
    </w:lvl>
    <w:lvl w:ilvl="7" w:tentative="1" w:tplc="04090003">
      <w:start w:val="1"/>
      <w:numFmt w:val="bullet"/>
      <w:lvlText w:val="o"/>
      <w:lvlJc w:val="left"/>
      <w:pPr>
        <w:tabs>
          <w:tab w:pos="6480" w:val="num"/>
        </w:tabs>
        <w:ind w:hanging="360" w:left="6480"/>
      </w:pPr>
      <w:rPr>
        <w:rFonts w:ascii="Courier New" w:cs="Courier New" w:hAnsi="Courier New" w:hint="default"/>
      </w:rPr>
    </w:lvl>
    <w:lvl w:ilvl="8" w:tentative="1" w:tplc="04090005">
      <w:start w:val="1"/>
      <w:numFmt w:val="bullet"/>
      <w:lvlText w:val=""/>
      <w:lvlJc w:val="left"/>
      <w:pPr>
        <w:tabs>
          <w:tab w:pos="7200" w:val="num"/>
        </w:tabs>
        <w:ind w:hanging="360" w:left="7200"/>
      </w:pPr>
      <w:rPr>
        <w:rFonts w:ascii="Wingdings" w:hAnsi="Wingdings" w:hint="default"/>
      </w:rPr>
    </w:lvl>
  </w:abstractNum>
  <w:abstractNum w15:restartNumberingAfterBreak="0" w:abstractNumId="3">
    <w:nsid w:val="10327D63"/>
    <w:multiLevelType w:val="singleLevel"/>
    <w:tmpl w:val="00DC786A"/>
    <w:lvl w:ilvl="0">
      <w:numFmt w:val="bullet"/>
      <w:lvlText w:val=""/>
      <w:lvlJc w:val="left"/>
      <w:pPr>
        <w:tabs>
          <w:tab w:pos="360" w:val="num"/>
        </w:tabs>
        <w:ind w:hanging="360" w:left="360"/>
      </w:pPr>
      <w:rPr>
        <w:rFonts w:ascii="Symbol" w:hAnsi="Symbol" w:hint="default"/>
      </w:rPr>
    </w:lvl>
  </w:abstractNum>
  <w:abstractNum w15:restartNumberingAfterBreak="0" w:abstractNumId="4">
    <w:nsid w:val="128C38BF"/>
    <w:multiLevelType w:val="hybridMultilevel"/>
    <w:tmpl w:val="BA3893C6"/>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190B03AC"/>
    <w:multiLevelType w:val="hybridMultilevel"/>
    <w:tmpl w:val="22CC64D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9F8624B"/>
    <w:multiLevelType w:val="hybridMultilevel"/>
    <w:tmpl w:val="639CE092"/>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1E6B31F2"/>
    <w:multiLevelType w:val="hybridMultilevel"/>
    <w:tmpl w:val="839801E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02A2CCD"/>
    <w:multiLevelType w:val="hybridMultilevel"/>
    <w:tmpl w:val="CC14D8EA"/>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277E4F0B"/>
    <w:multiLevelType w:val="hybridMultilevel"/>
    <w:tmpl w:val="5A6664D2"/>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27CC766E"/>
    <w:multiLevelType w:val="hybridMultilevel"/>
    <w:tmpl w:val="4DECA9D2"/>
    <w:lvl w:ilvl="0" w:tplc="D6DA1FB4">
      <w:numFmt w:val="bullet"/>
      <w:lvlText w:val=""/>
      <w:lvlJc w:val="left"/>
      <w:pPr>
        <w:tabs>
          <w:tab w:pos="720" w:val="num"/>
        </w:tabs>
        <w:ind w:hanging="360" w:left="720"/>
      </w:pPr>
      <w:rPr>
        <w:rFonts w:ascii="Wingdings" w:cs="‚l‚r –¾’©" w:eastAsia="Calibri" w:hAnsi="Wingdings"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2B2B494E"/>
    <w:multiLevelType w:val="hybridMultilevel"/>
    <w:tmpl w:val="48C06BC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2">
    <w:nsid w:val="2CA331EA"/>
    <w:multiLevelType w:val="hybridMultilevel"/>
    <w:tmpl w:val="ECE0DB28"/>
    <w:lvl w:ilvl="0" w:tplc="0409000F">
      <w:start w:val="1"/>
      <w:numFmt w:val="decimal"/>
      <w:lvlText w:val="%1."/>
      <w:lvlJc w:val="left"/>
      <w:pPr>
        <w:tabs>
          <w:tab w:pos="720" w:val="num"/>
        </w:tabs>
        <w:ind w:hanging="360" w:left="720"/>
      </w:pPr>
      <w:rPr>
        <w:rFonts w:hint="default"/>
      </w:rPr>
    </w:lvl>
    <w:lvl w:ilvl="1" w:tplc="04090005">
      <w:start w:val="1"/>
      <w:numFmt w:val="bullet"/>
      <w:lvlText w:val=""/>
      <w:lvlJc w:val="left"/>
      <w:pPr>
        <w:tabs>
          <w:tab w:pos="1440" w:val="num"/>
        </w:tabs>
        <w:ind w:hanging="360" w:left="1440"/>
      </w:pPr>
      <w:rPr>
        <w:rFonts w:ascii="Wingdings" w:hAnsi="Wingdings" w:hint="default"/>
      </w:r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3">
    <w:nsid w:val="2E44186A"/>
    <w:multiLevelType w:val="hybridMultilevel"/>
    <w:tmpl w:val="8BE66FE6"/>
    <w:lvl w:ilvl="0" w:tplc="04090005">
      <w:start w:val="1"/>
      <w:numFmt w:val="bullet"/>
      <w:lvlText w:val=""/>
      <w:lvlJc w:val="left"/>
      <w:pPr>
        <w:tabs>
          <w:tab w:pos="720" w:val="num"/>
        </w:tabs>
        <w:ind w:hanging="360" w:left="720"/>
      </w:pPr>
      <w:rPr>
        <w:rFonts w:ascii="Wingdings" w:hAnsi="Wingdings"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31583A04"/>
    <w:multiLevelType w:val="hybridMultilevel"/>
    <w:tmpl w:val="F42A716A"/>
    <w:lvl w:ilvl="0" w:tplc="4AE23E42">
      <w:numFmt w:val="bullet"/>
      <w:lvlText w:val="-"/>
      <w:lvlJc w:val="left"/>
      <w:pPr>
        <w:tabs>
          <w:tab w:pos="720" w:val="num"/>
        </w:tabs>
        <w:ind w:hanging="360" w:left="720"/>
      </w:pPr>
      <w:rPr>
        <w:rFonts w:ascii="Times New Roman" w:cs="Times New Roman" w:eastAsia="MS Mincho" w:hAnsi="Times New Roman"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315E20A5"/>
    <w:multiLevelType w:val="hybridMultilevel"/>
    <w:tmpl w:val="38EAB31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32337F9C"/>
    <w:multiLevelType w:val="hybridMultilevel"/>
    <w:tmpl w:val="99F24A9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32D01181"/>
    <w:multiLevelType w:val="hybridMultilevel"/>
    <w:tmpl w:val="1F069AA0"/>
    <w:lvl w:ilvl="0" w:tplc="DBC010F8">
      <w:numFmt w:val="bullet"/>
      <w:lvlText w:val="-"/>
      <w:lvlJc w:val="left"/>
      <w:pPr>
        <w:ind w:hanging="360" w:left="1080"/>
      </w:pPr>
      <w:rPr>
        <w:rFonts w:ascii="Times New Roman" w:cs="Times New Roman" w:eastAsia="MS Mincho" w:hAnsi="Times New Roman"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8">
    <w:nsid w:val="35757DD5"/>
    <w:multiLevelType w:val="hybridMultilevel"/>
    <w:tmpl w:val="DB5005CE"/>
    <w:lvl w:ilvl="0" w:tplc="04090001">
      <w:start w:val="1"/>
      <w:numFmt w:val="bullet"/>
      <w:lvlText w:val=""/>
      <w:lvlJc w:val="left"/>
      <w:pPr>
        <w:tabs>
          <w:tab w:pos="360" w:val="num"/>
        </w:tabs>
        <w:ind w:hanging="360" w:left="360"/>
      </w:pPr>
      <w:rPr>
        <w:rFonts w:ascii="Symbol" w:hAnsi="Symbol" w:hint="default"/>
      </w:rPr>
    </w:lvl>
    <w:lvl w:ilvl="1" w:tplc="04090003">
      <w:start w:val="1"/>
      <w:numFmt w:val="bullet"/>
      <w:lvlText w:val="o"/>
      <w:lvlJc w:val="left"/>
      <w:pPr>
        <w:tabs>
          <w:tab w:pos="1080" w:val="num"/>
        </w:tabs>
        <w:ind w:hanging="360" w:left="1080"/>
      </w:pPr>
      <w:rPr>
        <w:rFonts w:ascii="Courier New" w:cs="Courier New" w:hAnsi="Courier New" w:hint="default"/>
      </w:rPr>
    </w:lvl>
    <w:lvl w:ilvl="2" w:tentative="1" w:tplc="04090005">
      <w:start w:val="1"/>
      <w:numFmt w:val="bullet"/>
      <w:lvlText w:val=""/>
      <w:lvlJc w:val="left"/>
      <w:pPr>
        <w:tabs>
          <w:tab w:pos="1800" w:val="num"/>
        </w:tabs>
        <w:ind w:hanging="360" w:left="1800"/>
      </w:pPr>
      <w:rPr>
        <w:rFonts w:ascii="Wingdings" w:hAnsi="Wingdings" w:hint="default"/>
      </w:rPr>
    </w:lvl>
    <w:lvl w:ilvl="3" w:tentative="1" w:tplc="04090001">
      <w:start w:val="1"/>
      <w:numFmt w:val="bullet"/>
      <w:lvlText w:val=""/>
      <w:lvlJc w:val="left"/>
      <w:pPr>
        <w:tabs>
          <w:tab w:pos="2520" w:val="num"/>
        </w:tabs>
        <w:ind w:hanging="360" w:left="2520"/>
      </w:pPr>
      <w:rPr>
        <w:rFonts w:ascii="Symbol" w:hAnsi="Symbol" w:hint="default"/>
      </w:rPr>
    </w:lvl>
    <w:lvl w:ilvl="4" w:tentative="1" w:tplc="04090003">
      <w:start w:val="1"/>
      <w:numFmt w:val="bullet"/>
      <w:lvlText w:val="o"/>
      <w:lvlJc w:val="left"/>
      <w:pPr>
        <w:tabs>
          <w:tab w:pos="3240" w:val="num"/>
        </w:tabs>
        <w:ind w:hanging="360" w:left="3240"/>
      </w:pPr>
      <w:rPr>
        <w:rFonts w:ascii="Courier New" w:cs="Courier New" w:hAnsi="Courier New" w:hint="default"/>
      </w:rPr>
    </w:lvl>
    <w:lvl w:ilvl="5" w:tentative="1" w:tplc="04090005">
      <w:start w:val="1"/>
      <w:numFmt w:val="bullet"/>
      <w:lvlText w:val=""/>
      <w:lvlJc w:val="left"/>
      <w:pPr>
        <w:tabs>
          <w:tab w:pos="3960" w:val="num"/>
        </w:tabs>
        <w:ind w:hanging="360" w:left="3960"/>
      </w:pPr>
      <w:rPr>
        <w:rFonts w:ascii="Wingdings" w:hAnsi="Wingdings" w:hint="default"/>
      </w:rPr>
    </w:lvl>
    <w:lvl w:ilvl="6" w:tentative="1" w:tplc="04090001">
      <w:start w:val="1"/>
      <w:numFmt w:val="bullet"/>
      <w:lvlText w:val=""/>
      <w:lvlJc w:val="left"/>
      <w:pPr>
        <w:tabs>
          <w:tab w:pos="4680" w:val="num"/>
        </w:tabs>
        <w:ind w:hanging="360" w:left="4680"/>
      </w:pPr>
      <w:rPr>
        <w:rFonts w:ascii="Symbol" w:hAnsi="Symbol" w:hint="default"/>
      </w:rPr>
    </w:lvl>
    <w:lvl w:ilvl="7" w:tentative="1" w:tplc="04090003">
      <w:start w:val="1"/>
      <w:numFmt w:val="bullet"/>
      <w:lvlText w:val="o"/>
      <w:lvlJc w:val="left"/>
      <w:pPr>
        <w:tabs>
          <w:tab w:pos="5400" w:val="num"/>
        </w:tabs>
        <w:ind w:hanging="360" w:left="5400"/>
      </w:pPr>
      <w:rPr>
        <w:rFonts w:ascii="Courier New" w:cs="Courier New" w:hAnsi="Courier New" w:hint="default"/>
      </w:rPr>
    </w:lvl>
    <w:lvl w:ilvl="8" w:tentative="1" w:tplc="04090005">
      <w:start w:val="1"/>
      <w:numFmt w:val="bullet"/>
      <w:lvlText w:val=""/>
      <w:lvlJc w:val="left"/>
      <w:pPr>
        <w:tabs>
          <w:tab w:pos="6120" w:val="num"/>
        </w:tabs>
        <w:ind w:hanging="360" w:left="6120"/>
      </w:pPr>
      <w:rPr>
        <w:rFonts w:ascii="Wingdings" w:hAnsi="Wingdings" w:hint="default"/>
      </w:rPr>
    </w:lvl>
  </w:abstractNum>
  <w:abstractNum w15:restartNumberingAfterBreak="0" w:abstractNumId="19">
    <w:nsid w:val="374A4A79"/>
    <w:multiLevelType w:val="hybridMultilevel"/>
    <w:tmpl w:val="7D4AF64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3B24187E"/>
    <w:multiLevelType w:val="hybridMultilevel"/>
    <w:tmpl w:val="87F8CA6C"/>
    <w:lvl w:ilvl="0" w:tplc="0B10C5AA">
      <w:start w:val="1"/>
      <w:numFmt w:val="bullet"/>
      <w:lvlText w:val=""/>
      <w:lvlJc w:val="left"/>
      <w:pPr>
        <w:tabs>
          <w:tab w:pos="720" w:val="num"/>
        </w:tabs>
        <w:ind w:hanging="360" w:left="720"/>
      </w:pPr>
      <w:rPr>
        <w:rFonts w:ascii="Symbol" w:hAnsi="Symbol" w:hint="default"/>
      </w:rPr>
    </w:lvl>
    <w:lvl w:ilvl="1" w:tentative="1" w:tplc="C6EE343E">
      <w:start w:val="1"/>
      <w:numFmt w:val="bullet"/>
      <w:lvlText w:val=""/>
      <w:lvlJc w:val="left"/>
      <w:pPr>
        <w:tabs>
          <w:tab w:pos="1440" w:val="num"/>
        </w:tabs>
        <w:ind w:hanging="360" w:left="1440"/>
      </w:pPr>
      <w:rPr>
        <w:rFonts w:ascii="Symbol" w:hAnsi="Symbol" w:hint="default"/>
      </w:rPr>
    </w:lvl>
    <w:lvl w:ilvl="2" w:tentative="1" w:tplc="B2DC3028">
      <w:start w:val="1"/>
      <w:numFmt w:val="bullet"/>
      <w:lvlText w:val=""/>
      <w:lvlJc w:val="left"/>
      <w:pPr>
        <w:tabs>
          <w:tab w:pos="2160" w:val="num"/>
        </w:tabs>
        <w:ind w:hanging="360" w:left="2160"/>
      </w:pPr>
      <w:rPr>
        <w:rFonts w:ascii="Symbol" w:hAnsi="Symbol" w:hint="default"/>
      </w:rPr>
    </w:lvl>
    <w:lvl w:ilvl="3" w:tentative="1" w:tplc="DF2C2E82">
      <w:start w:val="1"/>
      <w:numFmt w:val="bullet"/>
      <w:lvlText w:val=""/>
      <w:lvlJc w:val="left"/>
      <w:pPr>
        <w:tabs>
          <w:tab w:pos="2880" w:val="num"/>
        </w:tabs>
        <w:ind w:hanging="360" w:left="2880"/>
      </w:pPr>
      <w:rPr>
        <w:rFonts w:ascii="Symbol" w:hAnsi="Symbol" w:hint="default"/>
      </w:rPr>
    </w:lvl>
    <w:lvl w:ilvl="4" w:tentative="1" w:tplc="9788A85C">
      <w:start w:val="1"/>
      <w:numFmt w:val="bullet"/>
      <w:lvlText w:val=""/>
      <w:lvlJc w:val="left"/>
      <w:pPr>
        <w:tabs>
          <w:tab w:pos="3600" w:val="num"/>
        </w:tabs>
        <w:ind w:hanging="360" w:left="3600"/>
      </w:pPr>
      <w:rPr>
        <w:rFonts w:ascii="Symbol" w:hAnsi="Symbol" w:hint="default"/>
      </w:rPr>
    </w:lvl>
    <w:lvl w:ilvl="5" w:tentative="1" w:tplc="7B62D596">
      <w:start w:val="1"/>
      <w:numFmt w:val="bullet"/>
      <w:lvlText w:val=""/>
      <w:lvlJc w:val="left"/>
      <w:pPr>
        <w:tabs>
          <w:tab w:pos="4320" w:val="num"/>
        </w:tabs>
        <w:ind w:hanging="360" w:left="4320"/>
      </w:pPr>
      <w:rPr>
        <w:rFonts w:ascii="Symbol" w:hAnsi="Symbol" w:hint="default"/>
      </w:rPr>
    </w:lvl>
    <w:lvl w:ilvl="6" w:tentative="1" w:tplc="56149E06">
      <w:start w:val="1"/>
      <w:numFmt w:val="bullet"/>
      <w:lvlText w:val=""/>
      <w:lvlJc w:val="left"/>
      <w:pPr>
        <w:tabs>
          <w:tab w:pos="5040" w:val="num"/>
        </w:tabs>
        <w:ind w:hanging="360" w:left="5040"/>
      </w:pPr>
      <w:rPr>
        <w:rFonts w:ascii="Symbol" w:hAnsi="Symbol" w:hint="default"/>
      </w:rPr>
    </w:lvl>
    <w:lvl w:ilvl="7" w:tentative="1" w:tplc="FB60378C">
      <w:start w:val="1"/>
      <w:numFmt w:val="bullet"/>
      <w:lvlText w:val=""/>
      <w:lvlJc w:val="left"/>
      <w:pPr>
        <w:tabs>
          <w:tab w:pos="5760" w:val="num"/>
        </w:tabs>
        <w:ind w:hanging="360" w:left="5760"/>
      </w:pPr>
      <w:rPr>
        <w:rFonts w:ascii="Symbol" w:hAnsi="Symbol" w:hint="default"/>
      </w:rPr>
    </w:lvl>
    <w:lvl w:ilvl="8" w:tentative="1" w:tplc="4306925C">
      <w:start w:val="1"/>
      <w:numFmt w:val="bullet"/>
      <w:lvlText w:val=""/>
      <w:lvlJc w:val="left"/>
      <w:pPr>
        <w:tabs>
          <w:tab w:pos="6480" w:val="num"/>
        </w:tabs>
        <w:ind w:hanging="360" w:left="6480"/>
      </w:pPr>
      <w:rPr>
        <w:rFonts w:ascii="Symbol" w:hAnsi="Symbol" w:hint="default"/>
      </w:rPr>
    </w:lvl>
  </w:abstractNum>
  <w:abstractNum w15:restartNumberingAfterBreak="0" w:abstractNumId="21">
    <w:nsid w:val="3CE55C3F"/>
    <w:multiLevelType w:val="hybridMultilevel"/>
    <w:tmpl w:val="54546BCA"/>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40B776A5"/>
    <w:multiLevelType w:val="hybridMultilevel"/>
    <w:tmpl w:val="EE4EDE3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0ED7945"/>
    <w:multiLevelType w:val="hybridMultilevel"/>
    <w:tmpl w:val="516C2CF0"/>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4">
    <w:nsid w:val="448A1EAB"/>
    <w:multiLevelType w:val="hybridMultilevel"/>
    <w:tmpl w:val="17DCDC74"/>
    <w:lvl w:ilvl="0" w:tplc="FF4A6C4C">
      <w:numFmt w:val="bullet"/>
      <w:lvlText w:val="-"/>
      <w:lvlJc w:val="left"/>
      <w:pPr>
        <w:ind w:hanging="360" w:left="720"/>
      </w:pPr>
      <w:rPr>
        <w:rFonts w:ascii="Times New Roman" w:cs="Times New Roman" w:eastAsia="MS Mincho"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488D0413"/>
    <w:multiLevelType w:val="hybridMultilevel"/>
    <w:tmpl w:val="39BC456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498F3C18"/>
    <w:multiLevelType w:val="hybridMultilevel"/>
    <w:tmpl w:val="675A63C8"/>
    <w:lvl w:ilvl="0" w:tplc="040C0015">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7">
    <w:nsid w:val="4CB173A6"/>
    <w:multiLevelType w:val="hybridMultilevel"/>
    <w:tmpl w:val="168A0866"/>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28">
    <w:nsid w:val="4DD76C81"/>
    <w:multiLevelType w:val="hybridMultilevel"/>
    <w:tmpl w:val="C37606B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52862E1A"/>
    <w:multiLevelType w:val="multilevel"/>
    <w:tmpl w:val="F42A716A"/>
    <w:lvl w:ilvl="0">
      <w:numFmt w:val="bullet"/>
      <w:lvlText w:val="-"/>
      <w:lvlJc w:val="left"/>
      <w:pPr>
        <w:tabs>
          <w:tab w:pos="720" w:val="num"/>
        </w:tabs>
        <w:ind w:hanging="360" w:left="720"/>
      </w:pPr>
      <w:rPr>
        <w:rFonts w:ascii="Times New Roman" w:cs="Times New Roman" w:eastAsia="MS Mincho" w:hAnsi="Times New Roman"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30">
    <w:nsid w:val="54A172F6"/>
    <w:multiLevelType w:val="hybridMultilevel"/>
    <w:tmpl w:val="397CD568"/>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31">
    <w:nsid w:val="56F24FA8"/>
    <w:multiLevelType w:val="hybridMultilevel"/>
    <w:tmpl w:val="E7EA7F2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5A39191F"/>
    <w:multiLevelType w:val="hybridMultilevel"/>
    <w:tmpl w:val="69623C98"/>
    <w:lvl w:ilvl="0" w:tplc="7E96D7FE">
      <w:start w:val="1"/>
      <w:numFmt w:val="bullet"/>
      <w:lvlText w:val="•"/>
      <w:lvlJc w:val="left"/>
      <w:pPr>
        <w:tabs>
          <w:tab w:pos="720" w:val="num"/>
        </w:tabs>
        <w:ind w:hanging="360" w:left="720"/>
      </w:pPr>
      <w:rPr>
        <w:rFonts w:ascii="Arial" w:hAnsi="Arial" w:hint="default"/>
      </w:rPr>
    </w:lvl>
    <w:lvl w:ilvl="1" w:tplc="B7526E9C">
      <w:start w:val="239"/>
      <w:numFmt w:val="bullet"/>
      <w:lvlText w:val="•"/>
      <w:lvlJc w:val="left"/>
      <w:pPr>
        <w:tabs>
          <w:tab w:pos="1440" w:val="num"/>
        </w:tabs>
        <w:ind w:hanging="360" w:left="1440"/>
      </w:pPr>
      <w:rPr>
        <w:rFonts w:ascii="Arial" w:hAnsi="Arial" w:hint="default"/>
      </w:rPr>
    </w:lvl>
    <w:lvl w:ilvl="2" w:tplc="D67A8A12">
      <w:start w:val="1"/>
      <w:numFmt w:val="bullet"/>
      <w:lvlText w:val="•"/>
      <w:lvlJc w:val="left"/>
      <w:pPr>
        <w:tabs>
          <w:tab w:pos="2160" w:val="num"/>
        </w:tabs>
        <w:ind w:hanging="360" w:left="2160"/>
      </w:pPr>
      <w:rPr>
        <w:rFonts w:ascii="Arial" w:hAnsi="Arial" w:hint="default"/>
      </w:rPr>
    </w:lvl>
    <w:lvl w:ilvl="3" w:tentative="1" w:tplc="539E3500">
      <w:start w:val="1"/>
      <w:numFmt w:val="bullet"/>
      <w:lvlText w:val="•"/>
      <w:lvlJc w:val="left"/>
      <w:pPr>
        <w:tabs>
          <w:tab w:pos="2880" w:val="num"/>
        </w:tabs>
        <w:ind w:hanging="360" w:left="2880"/>
      </w:pPr>
      <w:rPr>
        <w:rFonts w:ascii="Arial" w:hAnsi="Arial" w:hint="default"/>
      </w:rPr>
    </w:lvl>
    <w:lvl w:ilvl="4" w:tentative="1" w:tplc="BAF4A90E">
      <w:start w:val="1"/>
      <w:numFmt w:val="bullet"/>
      <w:lvlText w:val="•"/>
      <w:lvlJc w:val="left"/>
      <w:pPr>
        <w:tabs>
          <w:tab w:pos="3600" w:val="num"/>
        </w:tabs>
        <w:ind w:hanging="360" w:left="3600"/>
      </w:pPr>
      <w:rPr>
        <w:rFonts w:ascii="Arial" w:hAnsi="Arial" w:hint="default"/>
      </w:rPr>
    </w:lvl>
    <w:lvl w:ilvl="5" w:tentative="1" w:tplc="03BA63A6">
      <w:start w:val="1"/>
      <w:numFmt w:val="bullet"/>
      <w:lvlText w:val="•"/>
      <w:lvlJc w:val="left"/>
      <w:pPr>
        <w:tabs>
          <w:tab w:pos="4320" w:val="num"/>
        </w:tabs>
        <w:ind w:hanging="360" w:left="4320"/>
      </w:pPr>
      <w:rPr>
        <w:rFonts w:ascii="Arial" w:hAnsi="Arial" w:hint="default"/>
      </w:rPr>
    </w:lvl>
    <w:lvl w:ilvl="6" w:tentative="1" w:tplc="6EAAC9FC">
      <w:start w:val="1"/>
      <w:numFmt w:val="bullet"/>
      <w:lvlText w:val="•"/>
      <w:lvlJc w:val="left"/>
      <w:pPr>
        <w:tabs>
          <w:tab w:pos="5040" w:val="num"/>
        </w:tabs>
        <w:ind w:hanging="360" w:left="5040"/>
      </w:pPr>
      <w:rPr>
        <w:rFonts w:ascii="Arial" w:hAnsi="Arial" w:hint="default"/>
      </w:rPr>
    </w:lvl>
    <w:lvl w:ilvl="7" w:tentative="1" w:tplc="496411E2">
      <w:start w:val="1"/>
      <w:numFmt w:val="bullet"/>
      <w:lvlText w:val="•"/>
      <w:lvlJc w:val="left"/>
      <w:pPr>
        <w:tabs>
          <w:tab w:pos="5760" w:val="num"/>
        </w:tabs>
        <w:ind w:hanging="360" w:left="5760"/>
      </w:pPr>
      <w:rPr>
        <w:rFonts w:ascii="Arial" w:hAnsi="Arial" w:hint="default"/>
      </w:rPr>
    </w:lvl>
    <w:lvl w:ilvl="8" w:tentative="1" w:tplc="82DC9324">
      <w:start w:val="1"/>
      <w:numFmt w:val="bullet"/>
      <w:lvlText w:val="•"/>
      <w:lvlJc w:val="left"/>
      <w:pPr>
        <w:tabs>
          <w:tab w:pos="6480" w:val="num"/>
        </w:tabs>
        <w:ind w:hanging="360" w:left="6480"/>
      </w:pPr>
      <w:rPr>
        <w:rFonts w:ascii="Arial" w:hAnsi="Arial" w:hint="default"/>
      </w:rPr>
    </w:lvl>
  </w:abstractNum>
  <w:abstractNum w15:restartNumberingAfterBreak="0" w:abstractNumId="33">
    <w:nsid w:val="5BE34B98"/>
    <w:multiLevelType w:val="hybridMultilevel"/>
    <w:tmpl w:val="9656CAA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606D112C"/>
    <w:multiLevelType w:val="hybridMultilevel"/>
    <w:tmpl w:val="DCECD414"/>
    <w:lvl w:ilvl="0" w:tplc="04090005">
      <w:start w:val="1"/>
      <w:numFmt w:val="bullet"/>
      <w:lvlText w:val=""/>
      <w:lvlJc w:val="left"/>
      <w:pPr>
        <w:tabs>
          <w:tab w:pos="720" w:val="num"/>
        </w:tabs>
        <w:ind w:hanging="360" w:left="720"/>
      </w:pPr>
      <w:rPr>
        <w:rFonts w:ascii="Wingdings" w:hAnsi="Wingdings"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35">
    <w:nsid w:val="60722EB1"/>
    <w:multiLevelType w:val="hybridMultilevel"/>
    <w:tmpl w:val="03E24D56"/>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36">
    <w:nsid w:val="651E71E6"/>
    <w:multiLevelType w:val="hybridMultilevel"/>
    <w:tmpl w:val="9D100310"/>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37">
    <w:nsid w:val="6E712759"/>
    <w:multiLevelType w:val="hybridMultilevel"/>
    <w:tmpl w:val="F598825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8">
    <w:nsid w:val="6E993155"/>
    <w:multiLevelType w:val="hybridMultilevel"/>
    <w:tmpl w:val="FAA4F7B4"/>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39">
    <w:nsid w:val="706E0212"/>
    <w:multiLevelType w:val="hybridMultilevel"/>
    <w:tmpl w:val="3470393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0">
    <w:nsid w:val="719235F0"/>
    <w:multiLevelType w:val="hybridMultilevel"/>
    <w:tmpl w:val="DD1AF30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1">
    <w:nsid w:val="7302565B"/>
    <w:multiLevelType w:val="hybridMultilevel"/>
    <w:tmpl w:val="C202649E"/>
    <w:lvl w:ilvl="0" w:tplc="ABDC8E04">
      <w:numFmt w:val="bullet"/>
      <w:lvlText w:val="-"/>
      <w:lvlJc w:val="left"/>
      <w:pPr>
        <w:ind w:hanging="360" w:left="720"/>
      </w:pPr>
      <w:rPr>
        <w:rFonts w:ascii="Times New Roman" w:cs="Times New Roman" w:eastAsia="MS Mincho"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2">
    <w:nsid w:val="751B5691"/>
    <w:multiLevelType w:val="hybridMultilevel"/>
    <w:tmpl w:val="6BAE568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8"/>
  </w:num>
  <w:num w:numId="2">
    <w:abstractNumId w:val="2"/>
  </w:num>
  <w:num w:numId="3">
    <w:abstractNumId w:val="8"/>
  </w:num>
  <w:num w:numId="4">
    <w:abstractNumId w:val="9"/>
  </w:num>
  <w:num w:numId="5">
    <w:abstractNumId w:val="38"/>
  </w:num>
  <w:num w:numId="6">
    <w:abstractNumId w:val="6"/>
  </w:num>
  <w:num w:numId="7">
    <w:abstractNumId w:val="4"/>
  </w:num>
  <w:num w:numId="8">
    <w:abstractNumId w:val="12"/>
  </w:num>
  <w:num w:numId="9">
    <w:abstractNumId w:val="3"/>
  </w:num>
  <w:num w:numId="10">
    <w:abstractNumId w:val="10"/>
  </w:num>
  <w:num w:numId="11">
    <w:abstractNumId w:val="14"/>
  </w:num>
  <w:num w:numId="12">
    <w:abstractNumId w:val="29"/>
  </w:num>
  <w:num w:numId="13">
    <w:abstractNumId w:val="34"/>
  </w:num>
  <w:num w:numId="14">
    <w:abstractNumId w:val="13"/>
  </w:num>
  <w:num w:numId="15">
    <w:abstractNumId w:val="30"/>
  </w:num>
  <w:num w:numId="16">
    <w:abstractNumId w:val="23"/>
  </w:num>
  <w:num w:numId="17">
    <w:abstractNumId w:val="27"/>
  </w:num>
  <w:num w:numId="18">
    <w:abstractNumId w:val="16"/>
  </w:num>
  <w:num w:numId="19">
    <w:abstractNumId w:val="22"/>
  </w:num>
  <w:num w:numId="20">
    <w:abstractNumId w:val="24"/>
  </w:num>
  <w:num w:numId="21">
    <w:abstractNumId w:val="25"/>
  </w:num>
  <w:num w:numId="22">
    <w:abstractNumId w:val="7"/>
  </w:num>
  <w:num w:numId="23">
    <w:abstractNumId w:val="15"/>
  </w:num>
  <w:num w:numId="24">
    <w:abstractNumId w:val="35"/>
  </w:num>
  <w:num w:numId="25">
    <w:abstractNumId w:val="33"/>
  </w:num>
  <w:num w:numId="26">
    <w:abstractNumId w:val="39"/>
  </w:num>
  <w:num w:numId="27">
    <w:abstractNumId w:val="21"/>
  </w:num>
  <w:num w:numId="28">
    <w:abstractNumId w:val="32"/>
  </w:num>
  <w:num w:numId="29">
    <w:abstractNumId w:val="36"/>
  </w:num>
  <w:num w:numId="30">
    <w:abstractNumId w:val="42"/>
  </w:num>
  <w:num w:numId="31">
    <w:abstractNumId w:val="19"/>
  </w:num>
  <w:num w:numId="32">
    <w:abstractNumId w:val="40"/>
  </w:num>
  <w:num w:numId="33">
    <w:abstractNumId w:val="0"/>
  </w:num>
  <w:num w:numId="34">
    <w:abstractNumId w:val="37"/>
  </w:num>
  <w:num w:numId="35">
    <w:abstractNumId w:val="31"/>
  </w:num>
  <w:num w:numId="36">
    <w:abstractNumId w:val="41"/>
  </w:num>
  <w:num w:numId="37">
    <w:abstractNumId w:val="28"/>
  </w:num>
  <w:num w:numId="38">
    <w:abstractNumId w:val="20"/>
  </w:num>
  <w:num w:numId="39">
    <w:abstractNumId w:val="1"/>
  </w:num>
  <w:num w:numId="40">
    <w:abstractNumId w:val="11"/>
  </w:num>
  <w:num w:numId="41">
    <w:abstractNumId w:val="5"/>
  </w:num>
  <w:num w:numId="42">
    <w:abstractNumId w:val="37"/>
  </w:num>
  <w:num w:numId="43">
    <w:abstractNumId w:val="17"/>
  </w:num>
  <w:num w:numId="44">
    <w:abstractNumId w:val="2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hyphenationZone w:val="425"/>
  <w:characterSpacingControl w:val="doNotCompress"/>
  <w:hdrShapeDefaults>
    <o:shapedefaults spidmax="4097" v:ext="edi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8136C3BF-F3A7-4E0C-98E9-991639C15C14}"/>
    <w:docVar w:name="dgnword-eventsink" w:val="11100512"/>
  </w:docVars>
  <w:rsids>
    <w:rsidRoot w:val="003851F6"/>
    <w:rsid w:val="000042B4"/>
    <w:rsid w:val="000074A5"/>
    <w:rsid w:val="000120D8"/>
    <w:rsid w:val="00013A96"/>
    <w:rsid w:val="00014AC9"/>
    <w:rsid w:val="00015CE9"/>
    <w:rsid w:val="00016051"/>
    <w:rsid w:val="00016178"/>
    <w:rsid w:val="00017278"/>
    <w:rsid w:val="00017D04"/>
    <w:rsid w:val="00020239"/>
    <w:rsid w:val="00020EA3"/>
    <w:rsid w:val="00021A0A"/>
    <w:rsid w:val="00022E0A"/>
    <w:rsid w:val="00025CBD"/>
    <w:rsid w:val="00026106"/>
    <w:rsid w:val="000275FE"/>
    <w:rsid w:val="000343CA"/>
    <w:rsid w:val="000450DC"/>
    <w:rsid w:val="0004651D"/>
    <w:rsid w:val="00053C89"/>
    <w:rsid w:val="00053D8A"/>
    <w:rsid w:val="00053E72"/>
    <w:rsid w:val="000554FE"/>
    <w:rsid w:val="000609D1"/>
    <w:rsid w:val="00060EE7"/>
    <w:rsid w:val="000640D4"/>
    <w:rsid w:val="000666A8"/>
    <w:rsid w:val="00066F79"/>
    <w:rsid w:val="00067D2B"/>
    <w:rsid w:val="00067E71"/>
    <w:rsid w:val="0007015F"/>
    <w:rsid w:val="000702BF"/>
    <w:rsid w:val="0007404D"/>
    <w:rsid w:val="000758AC"/>
    <w:rsid w:val="000765B3"/>
    <w:rsid w:val="000777A0"/>
    <w:rsid w:val="00077809"/>
    <w:rsid w:val="000779FA"/>
    <w:rsid w:val="00081D97"/>
    <w:rsid w:val="00082B0E"/>
    <w:rsid w:val="00085143"/>
    <w:rsid w:val="000858C8"/>
    <w:rsid w:val="000861A7"/>
    <w:rsid w:val="00093A23"/>
    <w:rsid w:val="00094A5E"/>
    <w:rsid w:val="00095E2C"/>
    <w:rsid w:val="00097A4A"/>
    <w:rsid w:val="000A02AE"/>
    <w:rsid w:val="000A3A43"/>
    <w:rsid w:val="000A74D9"/>
    <w:rsid w:val="000B32ED"/>
    <w:rsid w:val="000B40F9"/>
    <w:rsid w:val="000C0187"/>
    <w:rsid w:val="000C1842"/>
    <w:rsid w:val="000C1D92"/>
    <w:rsid w:val="000C55BF"/>
    <w:rsid w:val="000C58D2"/>
    <w:rsid w:val="000C77F6"/>
    <w:rsid w:val="000C7C1C"/>
    <w:rsid w:val="000D0C6A"/>
    <w:rsid w:val="000D1D28"/>
    <w:rsid w:val="000D2E22"/>
    <w:rsid w:val="000D76BB"/>
    <w:rsid w:val="000D7F61"/>
    <w:rsid w:val="000E21C9"/>
    <w:rsid w:val="000E6408"/>
    <w:rsid w:val="000F2973"/>
    <w:rsid w:val="000F3322"/>
    <w:rsid w:val="000F46FA"/>
    <w:rsid w:val="00100E19"/>
    <w:rsid w:val="00101124"/>
    <w:rsid w:val="0010690A"/>
    <w:rsid w:val="00107189"/>
    <w:rsid w:val="001125D0"/>
    <w:rsid w:val="00112AB5"/>
    <w:rsid w:val="00113A32"/>
    <w:rsid w:val="001144D8"/>
    <w:rsid w:val="0011495A"/>
    <w:rsid w:val="00116E6E"/>
    <w:rsid w:val="0011716F"/>
    <w:rsid w:val="00117380"/>
    <w:rsid w:val="00117DB4"/>
    <w:rsid w:val="0012239E"/>
    <w:rsid w:val="00122485"/>
    <w:rsid w:val="001237E1"/>
    <w:rsid w:val="00124113"/>
    <w:rsid w:val="00126740"/>
    <w:rsid w:val="0012680A"/>
    <w:rsid w:val="00131334"/>
    <w:rsid w:val="00134297"/>
    <w:rsid w:val="00136734"/>
    <w:rsid w:val="00137E3D"/>
    <w:rsid w:val="0014178E"/>
    <w:rsid w:val="00144D78"/>
    <w:rsid w:val="00145556"/>
    <w:rsid w:val="001507AB"/>
    <w:rsid w:val="00150DD9"/>
    <w:rsid w:val="00153821"/>
    <w:rsid w:val="00153FAA"/>
    <w:rsid w:val="00156294"/>
    <w:rsid w:val="001563BB"/>
    <w:rsid w:val="001565C6"/>
    <w:rsid w:val="001602B9"/>
    <w:rsid w:val="001604A6"/>
    <w:rsid w:val="00162112"/>
    <w:rsid w:val="00163324"/>
    <w:rsid w:val="00163B94"/>
    <w:rsid w:val="00166753"/>
    <w:rsid w:val="0016715E"/>
    <w:rsid w:val="001679A8"/>
    <w:rsid w:val="001751F1"/>
    <w:rsid w:val="001829EC"/>
    <w:rsid w:val="001842E8"/>
    <w:rsid w:val="00184A2B"/>
    <w:rsid w:val="00185A4A"/>
    <w:rsid w:val="00190ACF"/>
    <w:rsid w:val="0019284B"/>
    <w:rsid w:val="00193CF8"/>
    <w:rsid w:val="001941BF"/>
    <w:rsid w:val="001969EF"/>
    <w:rsid w:val="001A0102"/>
    <w:rsid w:val="001A1E71"/>
    <w:rsid w:val="001A2D89"/>
    <w:rsid w:val="001A596B"/>
    <w:rsid w:val="001A75E8"/>
    <w:rsid w:val="001A7820"/>
    <w:rsid w:val="001A7D37"/>
    <w:rsid w:val="001A7FDB"/>
    <w:rsid w:val="001C0608"/>
    <w:rsid w:val="001C4D8E"/>
    <w:rsid w:val="001C5121"/>
    <w:rsid w:val="001D0C50"/>
    <w:rsid w:val="001D44D5"/>
    <w:rsid w:val="001D4BC5"/>
    <w:rsid w:val="001E590D"/>
    <w:rsid w:val="001E6D2E"/>
    <w:rsid w:val="001E78D1"/>
    <w:rsid w:val="001F0604"/>
    <w:rsid w:val="001F0E16"/>
    <w:rsid w:val="001F36AA"/>
    <w:rsid w:val="001F3888"/>
    <w:rsid w:val="001F3CC9"/>
    <w:rsid w:val="001F5910"/>
    <w:rsid w:val="001F62E1"/>
    <w:rsid w:val="001F6A03"/>
    <w:rsid w:val="00200BE1"/>
    <w:rsid w:val="00200EF4"/>
    <w:rsid w:val="0020268C"/>
    <w:rsid w:val="00203774"/>
    <w:rsid w:val="00203F58"/>
    <w:rsid w:val="00205308"/>
    <w:rsid w:val="00205826"/>
    <w:rsid w:val="00207066"/>
    <w:rsid w:val="00207077"/>
    <w:rsid w:val="00207941"/>
    <w:rsid w:val="00210EF9"/>
    <w:rsid w:val="0021139E"/>
    <w:rsid w:val="00212748"/>
    <w:rsid w:val="00212A18"/>
    <w:rsid w:val="00212B08"/>
    <w:rsid w:val="00212B83"/>
    <w:rsid w:val="002148C8"/>
    <w:rsid w:val="002152CB"/>
    <w:rsid w:val="002160B8"/>
    <w:rsid w:val="002161DB"/>
    <w:rsid w:val="0021700B"/>
    <w:rsid w:val="0022046B"/>
    <w:rsid w:val="002212E8"/>
    <w:rsid w:val="0022337C"/>
    <w:rsid w:val="00224962"/>
    <w:rsid w:val="00224B58"/>
    <w:rsid w:val="002254B6"/>
    <w:rsid w:val="00225C3C"/>
    <w:rsid w:val="00225DB9"/>
    <w:rsid w:val="00227DAE"/>
    <w:rsid w:val="00231167"/>
    <w:rsid w:val="00231B9B"/>
    <w:rsid w:val="00233939"/>
    <w:rsid w:val="0023660C"/>
    <w:rsid w:val="0024179B"/>
    <w:rsid w:val="002420B6"/>
    <w:rsid w:val="00242A9C"/>
    <w:rsid w:val="00244F81"/>
    <w:rsid w:val="00245291"/>
    <w:rsid w:val="002524A1"/>
    <w:rsid w:val="002528EA"/>
    <w:rsid w:val="00253B84"/>
    <w:rsid w:val="00254E22"/>
    <w:rsid w:val="00256134"/>
    <w:rsid w:val="002601EB"/>
    <w:rsid w:val="002613E9"/>
    <w:rsid w:val="00261984"/>
    <w:rsid w:val="0026370A"/>
    <w:rsid w:val="00264188"/>
    <w:rsid w:val="00264E8B"/>
    <w:rsid w:val="002704C8"/>
    <w:rsid w:val="00273241"/>
    <w:rsid w:val="002734F9"/>
    <w:rsid w:val="00273CFA"/>
    <w:rsid w:val="002746B0"/>
    <w:rsid w:val="00277C28"/>
    <w:rsid w:val="00282D34"/>
    <w:rsid w:val="002847D7"/>
    <w:rsid w:val="00284C43"/>
    <w:rsid w:val="00290468"/>
    <w:rsid w:val="00290CFB"/>
    <w:rsid w:val="0029103E"/>
    <w:rsid w:val="002925D6"/>
    <w:rsid w:val="00292F0E"/>
    <w:rsid w:val="0029302D"/>
    <w:rsid w:val="002966C2"/>
    <w:rsid w:val="00297A65"/>
    <w:rsid w:val="002A700D"/>
    <w:rsid w:val="002A7E25"/>
    <w:rsid w:val="002B079B"/>
    <w:rsid w:val="002B13AD"/>
    <w:rsid w:val="002B1AF4"/>
    <w:rsid w:val="002B49CE"/>
    <w:rsid w:val="002B50ED"/>
    <w:rsid w:val="002C11F7"/>
    <w:rsid w:val="002C4B7D"/>
    <w:rsid w:val="002C6960"/>
    <w:rsid w:val="002D076B"/>
    <w:rsid w:val="002D1F5A"/>
    <w:rsid w:val="002D4A44"/>
    <w:rsid w:val="002D4F3B"/>
    <w:rsid w:val="002D5420"/>
    <w:rsid w:val="002D6632"/>
    <w:rsid w:val="002E2CEA"/>
    <w:rsid w:val="002E4291"/>
    <w:rsid w:val="002E6928"/>
    <w:rsid w:val="002F1EE8"/>
    <w:rsid w:val="002F2D41"/>
    <w:rsid w:val="002F6A96"/>
    <w:rsid w:val="002F7F1E"/>
    <w:rsid w:val="00300607"/>
    <w:rsid w:val="00300DA0"/>
    <w:rsid w:val="003014C3"/>
    <w:rsid w:val="00304D24"/>
    <w:rsid w:val="00305984"/>
    <w:rsid w:val="003070D4"/>
    <w:rsid w:val="00313009"/>
    <w:rsid w:val="00313F72"/>
    <w:rsid w:val="0031527D"/>
    <w:rsid w:val="00315915"/>
    <w:rsid w:val="00317E4C"/>
    <w:rsid w:val="00321D09"/>
    <w:rsid w:val="00324B28"/>
    <w:rsid w:val="003277F0"/>
    <w:rsid w:val="00332431"/>
    <w:rsid w:val="0033316F"/>
    <w:rsid w:val="00337160"/>
    <w:rsid w:val="00340136"/>
    <w:rsid w:val="003404F8"/>
    <w:rsid w:val="00341923"/>
    <w:rsid w:val="003445E9"/>
    <w:rsid w:val="003446F8"/>
    <w:rsid w:val="00345C98"/>
    <w:rsid w:val="00345E68"/>
    <w:rsid w:val="00350C2F"/>
    <w:rsid w:val="00355169"/>
    <w:rsid w:val="003553E1"/>
    <w:rsid w:val="00356ADA"/>
    <w:rsid w:val="00361FC5"/>
    <w:rsid w:val="00363F87"/>
    <w:rsid w:val="00365FBC"/>
    <w:rsid w:val="003662D9"/>
    <w:rsid w:val="00367569"/>
    <w:rsid w:val="00367D06"/>
    <w:rsid w:val="00367D4F"/>
    <w:rsid w:val="00373863"/>
    <w:rsid w:val="00373AF6"/>
    <w:rsid w:val="00374867"/>
    <w:rsid w:val="00375893"/>
    <w:rsid w:val="00380BED"/>
    <w:rsid w:val="00382B13"/>
    <w:rsid w:val="00383CC1"/>
    <w:rsid w:val="00384220"/>
    <w:rsid w:val="003851F6"/>
    <w:rsid w:val="00385BFD"/>
    <w:rsid w:val="0039165B"/>
    <w:rsid w:val="00393FCD"/>
    <w:rsid w:val="003948B1"/>
    <w:rsid w:val="00395A61"/>
    <w:rsid w:val="003A13BB"/>
    <w:rsid w:val="003A1CB2"/>
    <w:rsid w:val="003A3FD2"/>
    <w:rsid w:val="003A585E"/>
    <w:rsid w:val="003B5693"/>
    <w:rsid w:val="003B7FB6"/>
    <w:rsid w:val="003C10BE"/>
    <w:rsid w:val="003C288E"/>
    <w:rsid w:val="003C4396"/>
    <w:rsid w:val="003C461A"/>
    <w:rsid w:val="003C6337"/>
    <w:rsid w:val="003C782C"/>
    <w:rsid w:val="003C7A76"/>
    <w:rsid w:val="003D3E2F"/>
    <w:rsid w:val="003D4330"/>
    <w:rsid w:val="003D5CA0"/>
    <w:rsid w:val="003D7F46"/>
    <w:rsid w:val="003D7F71"/>
    <w:rsid w:val="003E25D0"/>
    <w:rsid w:val="003E2DE3"/>
    <w:rsid w:val="003E457E"/>
    <w:rsid w:val="003E5333"/>
    <w:rsid w:val="003E58A8"/>
    <w:rsid w:val="003E6488"/>
    <w:rsid w:val="003E79F3"/>
    <w:rsid w:val="003E7A15"/>
    <w:rsid w:val="003E7C38"/>
    <w:rsid w:val="003F086D"/>
    <w:rsid w:val="003F1EE9"/>
    <w:rsid w:val="003F23F6"/>
    <w:rsid w:val="003F27F4"/>
    <w:rsid w:val="003F645C"/>
    <w:rsid w:val="004028EA"/>
    <w:rsid w:val="004030F0"/>
    <w:rsid w:val="00403DF2"/>
    <w:rsid w:val="00404BDE"/>
    <w:rsid w:val="00405287"/>
    <w:rsid w:val="0040529C"/>
    <w:rsid w:val="0040558D"/>
    <w:rsid w:val="004122CB"/>
    <w:rsid w:val="00414A0B"/>
    <w:rsid w:val="00415447"/>
    <w:rsid w:val="0041705B"/>
    <w:rsid w:val="004173A8"/>
    <w:rsid w:val="00417EAD"/>
    <w:rsid w:val="0042260C"/>
    <w:rsid w:val="00423E9E"/>
    <w:rsid w:val="0042450A"/>
    <w:rsid w:val="00434BB5"/>
    <w:rsid w:val="00435A8F"/>
    <w:rsid w:val="00435F4B"/>
    <w:rsid w:val="00442C9A"/>
    <w:rsid w:val="00445795"/>
    <w:rsid w:val="00446617"/>
    <w:rsid w:val="004478E8"/>
    <w:rsid w:val="00453F11"/>
    <w:rsid w:val="00454B94"/>
    <w:rsid w:val="004551A8"/>
    <w:rsid w:val="004557D0"/>
    <w:rsid w:val="00466CAA"/>
    <w:rsid w:val="00472269"/>
    <w:rsid w:val="00475809"/>
    <w:rsid w:val="00475B14"/>
    <w:rsid w:val="004844D0"/>
    <w:rsid w:val="00485BDE"/>
    <w:rsid w:val="004908C8"/>
    <w:rsid w:val="00491A19"/>
    <w:rsid w:val="00492CE0"/>
    <w:rsid w:val="004950C3"/>
    <w:rsid w:val="004956CF"/>
    <w:rsid w:val="0049711C"/>
    <w:rsid w:val="004A084B"/>
    <w:rsid w:val="004A0985"/>
    <w:rsid w:val="004A2AFF"/>
    <w:rsid w:val="004A4B2D"/>
    <w:rsid w:val="004A7263"/>
    <w:rsid w:val="004A7D8D"/>
    <w:rsid w:val="004B0910"/>
    <w:rsid w:val="004B1837"/>
    <w:rsid w:val="004B4C46"/>
    <w:rsid w:val="004B4D21"/>
    <w:rsid w:val="004B4EE9"/>
    <w:rsid w:val="004B607C"/>
    <w:rsid w:val="004C49C9"/>
    <w:rsid w:val="004C4EC7"/>
    <w:rsid w:val="004C582E"/>
    <w:rsid w:val="004D5036"/>
    <w:rsid w:val="004D6A91"/>
    <w:rsid w:val="004E1FB7"/>
    <w:rsid w:val="004E3730"/>
    <w:rsid w:val="004E3802"/>
    <w:rsid w:val="004E4994"/>
    <w:rsid w:val="004F180D"/>
    <w:rsid w:val="004F321D"/>
    <w:rsid w:val="004F3E05"/>
    <w:rsid w:val="004F79C8"/>
    <w:rsid w:val="0050205F"/>
    <w:rsid w:val="00502A15"/>
    <w:rsid w:val="005105DB"/>
    <w:rsid w:val="00511020"/>
    <w:rsid w:val="00511229"/>
    <w:rsid w:val="00513F8B"/>
    <w:rsid w:val="0051466B"/>
    <w:rsid w:val="00516627"/>
    <w:rsid w:val="0052074F"/>
    <w:rsid w:val="005219B4"/>
    <w:rsid w:val="00521C5D"/>
    <w:rsid w:val="00521EE3"/>
    <w:rsid w:val="0052375F"/>
    <w:rsid w:val="005250C8"/>
    <w:rsid w:val="005258ED"/>
    <w:rsid w:val="00530747"/>
    <w:rsid w:val="00532E07"/>
    <w:rsid w:val="00534423"/>
    <w:rsid w:val="005358F9"/>
    <w:rsid w:val="005362E2"/>
    <w:rsid w:val="0054375E"/>
    <w:rsid w:val="0054395C"/>
    <w:rsid w:val="0054476B"/>
    <w:rsid w:val="00546A49"/>
    <w:rsid w:val="00552E9A"/>
    <w:rsid w:val="00553EC0"/>
    <w:rsid w:val="0055470D"/>
    <w:rsid w:val="00561B19"/>
    <w:rsid w:val="00564EB1"/>
    <w:rsid w:val="0056772D"/>
    <w:rsid w:val="005704C1"/>
    <w:rsid w:val="00572A7D"/>
    <w:rsid w:val="0057398D"/>
    <w:rsid w:val="00574FBD"/>
    <w:rsid w:val="00575A2A"/>
    <w:rsid w:val="00576BB3"/>
    <w:rsid w:val="005773AD"/>
    <w:rsid w:val="005808E9"/>
    <w:rsid w:val="00580B1A"/>
    <w:rsid w:val="00583F54"/>
    <w:rsid w:val="0058560A"/>
    <w:rsid w:val="005879EB"/>
    <w:rsid w:val="00593061"/>
    <w:rsid w:val="0059551F"/>
    <w:rsid w:val="005959C2"/>
    <w:rsid w:val="00597A5B"/>
    <w:rsid w:val="005A055E"/>
    <w:rsid w:val="005A2873"/>
    <w:rsid w:val="005A4589"/>
    <w:rsid w:val="005A51F0"/>
    <w:rsid w:val="005B5B1F"/>
    <w:rsid w:val="005B73C2"/>
    <w:rsid w:val="005C3054"/>
    <w:rsid w:val="005D3E17"/>
    <w:rsid w:val="005D4135"/>
    <w:rsid w:val="005D6804"/>
    <w:rsid w:val="005D7888"/>
    <w:rsid w:val="005E036E"/>
    <w:rsid w:val="005E3D70"/>
    <w:rsid w:val="005E3DDE"/>
    <w:rsid w:val="005E3E12"/>
    <w:rsid w:val="005E6420"/>
    <w:rsid w:val="005F0F1E"/>
    <w:rsid w:val="005F1588"/>
    <w:rsid w:val="005F20B9"/>
    <w:rsid w:val="005F3D10"/>
    <w:rsid w:val="005F43AC"/>
    <w:rsid w:val="005F5713"/>
    <w:rsid w:val="005F58B7"/>
    <w:rsid w:val="00603574"/>
    <w:rsid w:val="00606E03"/>
    <w:rsid w:val="00613CC1"/>
    <w:rsid w:val="00614F0E"/>
    <w:rsid w:val="00620D1D"/>
    <w:rsid w:val="00621A45"/>
    <w:rsid w:val="00625E19"/>
    <w:rsid w:val="0063023E"/>
    <w:rsid w:val="00632690"/>
    <w:rsid w:val="0063295B"/>
    <w:rsid w:val="00634C27"/>
    <w:rsid w:val="00634F1D"/>
    <w:rsid w:val="006363E6"/>
    <w:rsid w:val="00636A63"/>
    <w:rsid w:val="00636A82"/>
    <w:rsid w:val="00636E73"/>
    <w:rsid w:val="006372EE"/>
    <w:rsid w:val="00640515"/>
    <w:rsid w:val="00645EB8"/>
    <w:rsid w:val="00651448"/>
    <w:rsid w:val="00651E16"/>
    <w:rsid w:val="00652C5A"/>
    <w:rsid w:val="00654F69"/>
    <w:rsid w:val="00656D87"/>
    <w:rsid w:val="00660480"/>
    <w:rsid w:val="006629F0"/>
    <w:rsid w:val="00663A0F"/>
    <w:rsid w:val="006660DE"/>
    <w:rsid w:val="0066767C"/>
    <w:rsid w:val="00667BB0"/>
    <w:rsid w:val="00667E63"/>
    <w:rsid w:val="00672CA5"/>
    <w:rsid w:val="00673E1F"/>
    <w:rsid w:val="006752C5"/>
    <w:rsid w:val="006768E0"/>
    <w:rsid w:val="00676BFA"/>
    <w:rsid w:val="00676ED9"/>
    <w:rsid w:val="00680AF0"/>
    <w:rsid w:val="006818CB"/>
    <w:rsid w:val="00681E78"/>
    <w:rsid w:val="00683817"/>
    <w:rsid w:val="00684E9D"/>
    <w:rsid w:val="006879D3"/>
    <w:rsid w:val="006901A3"/>
    <w:rsid w:val="00690CB5"/>
    <w:rsid w:val="0069297C"/>
    <w:rsid w:val="0069544C"/>
    <w:rsid w:val="006954D7"/>
    <w:rsid w:val="00695680"/>
    <w:rsid w:val="00695689"/>
    <w:rsid w:val="00695A79"/>
    <w:rsid w:val="00696826"/>
    <w:rsid w:val="00696913"/>
    <w:rsid w:val="00697DBD"/>
    <w:rsid w:val="006A0820"/>
    <w:rsid w:val="006A107F"/>
    <w:rsid w:val="006A78CF"/>
    <w:rsid w:val="006B11FE"/>
    <w:rsid w:val="006B178B"/>
    <w:rsid w:val="006B1927"/>
    <w:rsid w:val="006B5FA8"/>
    <w:rsid w:val="006B67EB"/>
    <w:rsid w:val="006C385F"/>
    <w:rsid w:val="006C4F18"/>
    <w:rsid w:val="006C68B9"/>
    <w:rsid w:val="006C6935"/>
    <w:rsid w:val="006C7DCB"/>
    <w:rsid w:val="006D00C0"/>
    <w:rsid w:val="006D0F1C"/>
    <w:rsid w:val="006D131F"/>
    <w:rsid w:val="006D3923"/>
    <w:rsid w:val="006D3B48"/>
    <w:rsid w:val="006D4D29"/>
    <w:rsid w:val="006D56B1"/>
    <w:rsid w:val="006D56CC"/>
    <w:rsid w:val="006E1410"/>
    <w:rsid w:val="006E5F22"/>
    <w:rsid w:val="006F1A61"/>
    <w:rsid w:val="006F46BC"/>
    <w:rsid w:val="006F4A0E"/>
    <w:rsid w:val="006F4B9B"/>
    <w:rsid w:val="006F53D0"/>
    <w:rsid w:val="00701F78"/>
    <w:rsid w:val="00702817"/>
    <w:rsid w:val="00702C33"/>
    <w:rsid w:val="007040B2"/>
    <w:rsid w:val="00705AE5"/>
    <w:rsid w:val="007060B8"/>
    <w:rsid w:val="007073B2"/>
    <w:rsid w:val="00710DD9"/>
    <w:rsid w:val="007134F6"/>
    <w:rsid w:val="007137B3"/>
    <w:rsid w:val="007139E4"/>
    <w:rsid w:val="0071688B"/>
    <w:rsid w:val="007212C7"/>
    <w:rsid w:val="00724015"/>
    <w:rsid w:val="00724E5A"/>
    <w:rsid w:val="007273C8"/>
    <w:rsid w:val="007278FA"/>
    <w:rsid w:val="00730068"/>
    <w:rsid w:val="00732883"/>
    <w:rsid w:val="00734180"/>
    <w:rsid w:val="00736A73"/>
    <w:rsid w:val="007374CE"/>
    <w:rsid w:val="00740F60"/>
    <w:rsid w:val="007411B4"/>
    <w:rsid w:val="007430AD"/>
    <w:rsid w:val="00743CE1"/>
    <w:rsid w:val="00743EE5"/>
    <w:rsid w:val="007504AA"/>
    <w:rsid w:val="00751056"/>
    <w:rsid w:val="007517E4"/>
    <w:rsid w:val="00754997"/>
    <w:rsid w:val="00754C6A"/>
    <w:rsid w:val="00761BFA"/>
    <w:rsid w:val="00761CA0"/>
    <w:rsid w:val="00762812"/>
    <w:rsid w:val="00762848"/>
    <w:rsid w:val="00763CF3"/>
    <w:rsid w:val="00764E70"/>
    <w:rsid w:val="0076791D"/>
    <w:rsid w:val="00767BE6"/>
    <w:rsid w:val="0077298F"/>
    <w:rsid w:val="00772E13"/>
    <w:rsid w:val="00774874"/>
    <w:rsid w:val="0077526C"/>
    <w:rsid w:val="00775E2A"/>
    <w:rsid w:val="00777E33"/>
    <w:rsid w:val="00777FF7"/>
    <w:rsid w:val="007800CD"/>
    <w:rsid w:val="00780E9B"/>
    <w:rsid w:val="00783814"/>
    <w:rsid w:val="00785B93"/>
    <w:rsid w:val="007939CE"/>
    <w:rsid w:val="0079505E"/>
    <w:rsid w:val="00795595"/>
    <w:rsid w:val="00795D4D"/>
    <w:rsid w:val="007A2BAC"/>
    <w:rsid w:val="007A2DEB"/>
    <w:rsid w:val="007A2FC0"/>
    <w:rsid w:val="007A6E7D"/>
    <w:rsid w:val="007B2E87"/>
    <w:rsid w:val="007B61BD"/>
    <w:rsid w:val="007B7307"/>
    <w:rsid w:val="007B7B95"/>
    <w:rsid w:val="007C44DE"/>
    <w:rsid w:val="007C5F6E"/>
    <w:rsid w:val="007C7B6E"/>
    <w:rsid w:val="007D155C"/>
    <w:rsid w:val="007D213E"/>
    <w:rsid w:val="007D23B1"/>
    <w:rsid w:val="007D2AD4"/>
    <w:rsid w:val="007D38CE"/>
    <w:rsid w:val="007D3F99"/>
    <w:rsid w:val="007D5030"/>
    <w:rsid w:val="007D62C4"/>
    <w:rsid w:val="007E08D3"/>
    <w:rsid w:val="007E22FE"/>
    <w:rsid w:val="007E4039"/>
    <w:rsid w:val="007E769B"/>
    <w:rsid w:val="007F03AB"/>
    <w:rsid w:val="007F08D2"/>
    <w:rsid w:val="007F1EC2"/>
    <w:rsid w:val="007F6EDB"/>
    <w:rsid w:val="007F7259"/>
    <w:rsid w:val="00801DD5"/>
    <w:rsid w:val="00803B75"/>
    <w:rsid w:val="00803D0D"/>
    <w:rsid w:val="00804978"/>
    <w:rsid w:val="008051AA"/>
    <w:rsid w:val="0080551C"/>
    <w:rsid w:val="008058ED"/>
    <w:rsid w:val="00806BE1"/>
    <w:rsid w:val="00810BAF"/>
    <w:rsid w:val="00811100"/>
    <w:rsid w:val="00816BDC"/>
    <w:rsid w:val="00826181"/>
    <w:rsid w:val="008266D4"/>
    <w:rsid w:val="008319AC"/>
    <w:rsid w:val="00832E0D"/>
    <w:rsid w:val="0083422E"/>
    <w:rsid w:val="0083626D"/>
    <w:rsid w:val="008376BE"/>
    <w:rsid w:val="00841E73"/>
    <w:rsid w:val="00844772"/>
    <w:rsid w:val="00852D20"/>
    <w:rsid w:val="00855E90"/>
    <w:rsid w:val="00860399"/>
    <w:rsid w:val="00861B59"/>
    <w:rsid w:val="00861F9F"/>
    <w:rsid w:val="0086470F"/>
    <w:rsid w:val="00865395"/>
    <w:rsid w:val="00865DF2"/>
    <w:rsid w:val="00872566"/>
    <w:rsid w:val="00873A9C"/>
    <w:rsid w:val="00876A60"/>
    <w:rsid w:val="00876FE1"/>
    <w:rsid w:val="00886215"/>
    <w:rsid w:val="008868D6"/>
    <w:rsid w:val="00887D38"/>
    <w:rsid w:val="00892C9F"/>
    <w:rsid w:val="00895CF6"/>
    <w:rsid w:val="0089618B"/>
    <w:rsid w:val="008A005E"/>
    <w:rsid w:val="008A024C"/>
    <w:rsid w:val="008A0BB9"/>
    <w:rsid w:val="008A4628"/>
    <w:rsid w:val="008A4C1E"/>
    <w:rsid w:val="008A6274"/>
    <w:rsid w:val="008A7234"/>
    <w:rsid w:val="008B0E43"/>
    <w:rsid w:val="008B10EB"/>
    <w:rsid w:val="008B17BE"/>
    <w:rsid w:val="008B3EB9"/>
    <w:rsid w:val="008B75B2"/>
    <w:rsid w:val="008B79C5"/>
    <w:rsid w:val="008C1F23"/>
    <w:rsid w:val="008C33C9"/>
    <w:rsid w:val="008C33EA"/>
    <w:rsid w:val="008C363A"/>
    <w:rsid w:val="008D00E5"/>
    <w:rsid w:val="008D0AA3"/>
    <w:rsid w:val="008D1A7C"/>
    <w:rsid w:val="008D1E59"/>
    <w:rsid w:val="008D4709"/>
    <w:rsid w:val="008D64CA"/>
    <w:rsid w:val="008D798E"/>
    <w:rsid w:val="008E5AB1"/>
    <w:rsid w:val="008F07C3"/>
    <w:rsid w:val="008F1614"/>
    <w:rsid w:val="008F3ABC"/>
    <w:rsid w:val="008F3B3F"/>
    <w:rsid w:val="008F49B8"/>
    <w:rsid w:val="008F79CF"/>
    <w:rsid w:val="00901D83"/>
    <w:rsid w:val="009020B9"/>
    <w:rsid w:val="00902ABC"/>
    <w:rsid w:val="00904313"/>
    <w:rsid w:val="00904DBB"/>
    <w:rsid w:val="00907AD0"/>
    <w:rsid w:val="00907BB9"/>
    <w:rsid w:val="0091266B"/>
    <w:rsid w:val="00912AC5"/>
    <w:rsid w:val="009168FF"/>
    <w:rsid w:val="00917B5F"/>
    <w:rsid w:val="0092001E"/>
    <w:rsid w:val="00922CA9"/>
    <w:rsid w:val="00922FDF"/>
    <w:rsid w:val="009231CB"/>
    <w:rsid w:val="009233B3"/>
    <w:rsid w:val="009276F3"/>
    <w:rsid w:val="009303A1"/>
    <w:rsid w:val="0093369E"/>
    <w:rsid w:val="0093466F"/>
    <w:rsid w:val="00935046"/>
    <w:rsid w:val="009365BB"/>
    <w:rsid w:val="0093764B"/>
    <w:rsid w:val="009378CE"/>
    <w:rsid w:val="009406C1"/>
    <w:rsid w:val="0094290A"/>
    <w:rsid w:val="00943128"/>
    <w:rsid w:val="00943D53"/>
    <w:rsid w:val="00944155"/>
    <w:rsid w:val="009453D1"/>
    <w:rsid w:val="0094685B"/>
    <w:rsid w:val="00947FED"/>
    <w:rsid w:val="00950184"/>
    <w:rsid w:val="009509C2"/>
    <w:rsid w:val="00950AC0"/>
    <w:rsid w:val="00951EC0"/>
    <w:rsid w:val="00955357"/>
    <w:rsid w:val="009578A9"/>
    <w:rsid w:val="0096068E"/>
    <w:rsid w:val="0096156B"/>
    <w:rsid w:val="009619CD"/>
    <w:rsid w:val="00961A8B"/>
    <w:rsid w:val="00963029"/>
    <w:rsid w:val="00966E08"/>
    <w:rsid w:val="00967885"/>
    <w:rsid w:val="00970B4D"/>
    <w:rsid w:val="00972B91"/>
    <w:rsid w:val="0098033A"/>
    <w:rsid w:val="00981A2C"/>
    <w:rsid w:val="00983973"/>
    <w:rsid w:val="00985761"/>
    <w:rsid w:val="009870FA"/>
    <w:rsid w:val="00991191"/>
    <w:rsid w:val="00993ACB"/>
    <w:rsid w:val="009942B0"/>
    <w:rsid w:val="00994B40"/>
    <w:rsid w:val="00995C59"/>
    <w:rsid w:val="00997C9D"/>
    <w:rsid w:val="009A01EB"/>
    <w:rsid w:val="009A0D22"/>
    <w:rsid w:val="009A1F85"/>
    <w:rsid w:val="009A267B"/>
    <w:rsid w:val="009A31B9"/>
    <w:rsid w:val="009A519C"/>
    <w:rsid w:val="009A6F0E"/>
    <w:rsid w:val="009A781F"/>
    <w:rsid w:val="009B44E0"/>
    <w:rsid w:val="009B4968"/>
    <w:rsid w:val="009B5F35"/>
    <w:rsid w:val="009C2736"/>
    <w:rsid w:val="009C52DF"/>
    <w:rsid w:val="009C61CB"/>
    <w:rsid w:val="009D2879"/>
    <w:rsid w:val="009D2F9B"/>
    <w:rsid w:val="009D2FB6"/>
    <w:rsid w:val="009D3E84"/>
    <w:rsid w:val="009D415F"/>
    <w:rsid w:val="009D5199"/>
    <w:rsid w:val="009E0740"/>
    <w:rsid w:val="009E0848"/>
    <w:rsid w:val="009E35D5"/>
    <w:rsid w:val="009E3D0E"/>
    <w:rsid w:val="009E43A1"/>
    <w:rsid w:val="009E780C"/>
    <w:rsid w:val="009F7074"/>
    <w:rsid w:val="00A00885"/>
    <w:rsid w:val="00A032AC"/>
    <w:rsid w:val="00A07817"/>
    <w:rsid w:val="00A102AC"/>
    <w:rsid w:val="00A10B90"/>
    <w:rsid w:val="00A1314F"/>
    <w:rsid w:val="00A16E5A"/>
    <w:rsid w:val="00A2107F"/>
    <w:rsid w:val="00A22C77"/>
    <w:rsid w:val="00A2408B"/>
    <w:rsid w:val="00A34463"/>
    <w:rsid w:val="00A34D47"/>
    <w:rsid w:val="00A355F3"/>
    <w:rsid w:val="00A4485E"/>
    <w:rsid w:val="00A45F92"/>
    <w:rsid w:val="00A47A31"/>
    <w:rsid w:val="00A523C9"/>
    <w:rsid w:val="00A533BA"/>
    <w:rsid w:val="00A548CE"/>
    <w:rsid w:val="00A55071"/>
    <w:rsid w:val="00A56957"/>
    <w:rsid w:val="00A642B7"/>
    <w:rsid w:val="00A64478"/>
    <w:rsid w:val="00A71854"/>
    <w:rsid w:val="00A775DF"/>
    <w:rsid w:val="00A77747"/>
    <w:rsid w:val="00A7785E"/>
    <w:rsid w:val="00A77BFF"/>
    <w:rsid w:val="00A80605"/>
    <w:rsid w:val="00A82043"/>
    <w:rsid w:val="00A84FE3"/>
    <w:rsid w:val="00A85B73"/>
    <w:rsid w:val="00A9163B"/>
    <w:rsid w:val="00A921DB"/>
    <w:rsid w:val="00A92A5B"/>
    <w:rsid w:val="00A954E6"/>
    <w:rsid w:val="00A97D4F"/>
    <w:rsid w:val="00AA04BA"/>
    <w:rsid w:val="00AA127A"/>
    <w:rsid w:val="00AA2475"/>
    <w:rsid w:val="00AB07C1"/>
    <w:rsid w:val="00AB5768"/>
    <w:rsid w:val="00AB6B7D"/>
    <w:rsid w:val="00AB789E"/>
    <w:rsid w:val="00AC0C94"/>
    <w:rsid w:val="00AC1454"/>
    <w:rsid w:val="00AC1E8B"/>
    <w:rsid w:val="00AC3CD5"/>
    <w:rsid w:val="00AC46AD"/>
    <w:rsid w:val="00AC5F67"/>
    <w:rsid w:val="00AC6596"/>
    <w:rsid w:val="00AD0226"/>
    <w:rsid w:val="00AD11FD"/>
    <w:rsid w:val="00AD1B86"/>
    <w:rsid w:val="00AD214C"/>
    <w:rsid w:val="00AD274B"/>
    <w:rsid w:val="00AD2946"/>
    <w:rsid w:val="00AD3CDC"/>
    <w:rsid w:val="00AD77E7"/>
    <w:rsid w:val="00AE10B2"/>
    <w:rsid w:val="00AE756B"/>
    <w:rsid w:val="00AF0393"/>
    <w:rsid w:val="00AF4146"/>
    <w:rsid w:val="00AF4B61"/>
    <w:rsid w:val="00AF7E97"/>
    <w:rsid w:val="00B010C2"/>
    <w:rsid w:val="00B015AE"/>
    <w:rsid w:val="00B01605"/>
    <w:rsid w:val="00B024C8"/>
    <w:rsid w:val="00B02652"/>
    <w:rsid w:val="00B02891"/>
    <w:rsid w:val="00B04EDB"/>
    <w:rsid w:val="00B04EE2"/>
    <w:rsid w:val="00B067CE"/>
    <w:rsid w:val="00B07DA5"/>
    <w:rsid w:val="00B12668"/>
    <w:rsid w:val="00B12BA9"/>
    <w:rsid w:val="00B13282"/>
    <w:rsid w:val="00B142AB"/>
    <w:rsid w:val="00B14BCE"/>
    <w:rsid w:val="00B15741"/>
    <w:rsid w:val="00B355ED"/>
    <w:rsid w:val="00B405F2"/>
    <w:rsid w:val="00B419D3"/>
    <w:rsid w:val="00B42DC5"/>
    <w:rsid w:val="00B4303F"/>
    <w:rsid w:val="00B43B61"/>
    <w:rsid w:val="00B446B9"/>
    <w:rsid w:val="00B4517E"/>
    <w:rsid w:val="00B45199"/>
    <w:rsid w:val="00B45EF2"/>
    <w:rsid w:val="00B468AD"/>
    <w:rsid w:val="00B46A30"/>
    <w:rsid w:val="00B47A00"/>
    <w:rsid w:val="00B51ED1"/>
    <w:rsid w:val="00B56ED9"/>
    <w:rsid w:val="00B6136F"/>
    <w:rsid w:val="00B62475"/>
    <w:rsid w:val="00B64E59"/>
    <w:rsid w:val="00B6554F"/>
    <w:rsid w:val="00B6592E"/>
    <w:rsid w:val="00B67EB8"/>
    <w:rsid w:val="00B7023D"/>
    <w:rsid w:val="00B7117F"/>
    <w:rsid w:val="00B71270"/>
    <w:rsid w:val="00B7177E"/>
    <w:rsid w:val="00B725F8"/>
    <w:rsid w:val="00B76FF3"/>
    <w:rsid w:val="00B770DC"/>
    <w:rsid w:val="00B778DD"/>
    <w:rsid w:val="00B808A4"/>
    <w:rsid w:val="00B812C1"/>
    <w:rsid w:val="00B81326"/>
    <w:rsid w:val="00B81EF4"/>
    <w:rsid w:val="00B83E62"/>
    <w:rsid w:val="00B8725A"/>
    <w:rsid w:val="00B93AC7"/>
    <w:rsid w:val="00B93BD7"/>
    <w:rsid w:val="00BA2F17"/>
    <w:rsid w:val="00BA332B"/>
    <w:rsid w:val="00BA4195"/>
    <w:rsid w:val="00BA5336"/>
    <w:rsid w:val="00BA6AD0"/>
    <w:rsid w:val="00BB3842"/>
    <w:rsid w:val="00BB38CD"/>
    <w:rsid w:val="00BB4A9E"/>
    <w:rsid w:val="00BC2A0C"/>
    <w:rsid w:val="00BC38F1"/>
    <w:rsid w:val="00BC3C7E"/>
    <w:rsid w:val="00BC4F81"/>
    <w:rsid w:val="00BD07E4"/>
    <w:rsid w:val="00BD09B3"/>
    <w:rsid w:val="00BD26D9"/>
    <w:rsid w:val="00BD502A"/>
    <w:rsid w:val="00BD5BA2"/>
    <w:rsid w:val="00BD5C3A"/>
    <w:rsid w:val="00BD6B6C"/>
    <w:rsid w:val="00BE26CA"/>
    <w:rsid w:val="00BE2F0A"/>
    <w:rsid w:val="00BE317F"/>
    <w:rsid w:val="00BE4B22"/>
    <w:rsid w:val="00BE58C0"/>
    <w:rsid w:val="00BE64B3"/>
    <w:rsid w:val="00BE6A2D"/>
    <w:rsid w:val="00BE7C6A"/>
    <w:rsid w:val="00BF5184"/>
    <w:rsid w:val="00C009D4"/>
    <w:rsid w:val="00C018EC"/>
    <w:rsid w:val="00C06FB7"/>
    <w:rsid w:val="00C07E04"/>
    <w:rsid w:val="00C07E90"/>
    <w:rsid w:val="00C10D20"/>
    <w:rsid w:val="00C20572"/>
    <w:rsid w:val="00C24091"/>
    <w:rsid w:val="00C24D24"/>
    <w:rsid w:val="00C264DD"/>
    <w:rsid w:val="00C312E4"/>
    <w:rsid w:val="00C322C2"/>
    <w:rsid w:val="00C3442E"/>
    <w:rsid w:val="00C4312F"/>
    <w:rsid w:val="00C47C32"/>
    <w:rsid w:val="00C52FB6"/>
    <w:rsid w:val="00C54E2D"/>
    <w:rsid w:val="00C57456"/>
    <w:rsid w:val="00C60359"/>
    <w:rsid w:val="00C629E2"/>
    <w:rsid w:val="00C63E93"/>
    <w:rsid w:val="00C6646A"/>
    <w:rsid w:val="00C710BC"/>
    <w:rsid w:val="00C71A4B"/>
    <w:rsid w:val="00C7263A"/>
    <w:rsid w:val="00C772BA"/>
    <w:rsid w:val="00C7736A"/>
    <w:rsid w:val="00C8596D"/>
    <w:rsid w:val="00C86A8E"/>
    <w:rsid w:val="00C86B7B"/>
    <w:rsid w:val="00C86F99"/>
    <w:rsid w:val="00C875AD"/>
    <w:rsid w:val="00C90754"/>
    <w:rsid w:val="00C93805"/>
    <w:rsid w:val="00CA0964"/>
    <w:rsid w:val="00CA3722"/>
    <w:rsid w:val="00CA3F8F"/>
    <w:rsid w:val="00CA743A"/>
    <w:rsid w:val="00CA7ADF"/>
    <w:rsid w:val="00CB34A0"/>
    <w:rsid w:val="00CC084B"/>
    <w:rsid w:val="00CC29F7"/>
    <w:rsid w:val="00CC3427"/>
    <w:rsid w:val="00CC6568"/>
    <w:rsid w:val="00CC7FBA"/>
    <w:rsid w:val="00CD11F2"/>
    <w:rsid w:val="00CD3BDA"/>
    <w:rsid w:val="00CD3DBE"/>
    <w:rsid w:val="00CD5770"/>
    <w:rsid w:val="00CE01E2"/>
    <w:rsid w:val="00CE2E84"/>
    <w:rsid w:val="00CE3542"/>
    <w:rsid w:val="00CF1E98"/>
    <w:rsid w:val="00CF2462"/>
    <w:rsid w:val="00CF2B67"/>
    <w:rsid w:val="00CF4D14"/>
    <w:rsid w:val="00CF5EE6"/>
    <w:rsid w:val="00CF5F4C"/>
    <w:rsid w:val="00CF61B9"/>
    <w:rsid w:val="00D00BE3"/>
    <w:rsid w:val="00D02AA4"/>
    <w:rsid w:val="00D1128C"/>
    <w:rsid w:val="00D12461"/>
    <w:rsid w:val="00D129CF"/>
    <w:rsid w:val="00D1544A"/>
    <w:rsid w:val="00D16D0A"/>
    <w:rsid w:val="00D20FBF"/>
    <w:rsid w:val="00D24EA4"/>
    <w:rsid w:val="00D25561"/>
    <w:rsid w:val="00D2702F"/>
    <w:rsid w:val="00D27E73"/>
    <w:rsid w:val="00D34D81"/>
    <w:rsid w:val="00D36CF3"/>
    <w:rsid w:val="00D40EF2"/>
    <w:rsid w:val="00D4131F"/>
    <w:rsid w:val="00D41879"/>
    <w:rsid w:val="00D41D94"/>
    <w:rsid w:val="00D44225"/>
    <w:rsid w:val="00D44986"/>
    <w:rsid w:val="00D45FBE"/>
    <w:rsid w:val="00D4638C"/>
    <w:rsid w:val="00D51271"/>
    <w:rsid w:val="00D53C94"/>
    <w:rsid w:val="00D60110"/>
    <w:rsid w:val="00D6270D"/>
    <w:rsid w:val="00D7040F"/>
    <w:rsid w:val="00D704D7"/>
    <w:rsid w:val="00D7254B"/>
    <w:rsid w:val="00D77CC6"/>
    <w:rsid w:val="00D803AC"/>
    <w:rsid w:val="00D8056B"/>
    <w:rsid w:val="00D85880"/>
    <w:rsid w:val="00D905CA"/>
    <w:rsid w:val="00D90B94"/>
    <w:rsid w:val="00D917AD"/>
    <w:rsid w:val="00D937D6"/>
    <w:rsid w:val="00D95834"/>
    <w:rsid w:val="00D95A1C"/>
    <w:rsid w:val="00DA113C"/>
    <w:rsid w:val="00DA2202"/>
    <w:rsid w:val="00DA482E"/>
    <w:rsid w:val="00DA4A5C"/>
    <w:rsid w:val="00DA4FD7"/>
    <w:rsid w:val="00DA6B40"/>
    <w:rsid w:val="00DB03FE"/>
    <w:rsid w:val="00DB29DF"/>
    <w:rsid w:val="00DB3E24"/>
    <w:rsid w:val="00DB4EE4"/>
    <w:rsid w:val="00DB566C"/>
    <w:rsid w:val="00DC1775"/>
    <w:rsid w:val="00DC24DF"/>
    <w:rsid w:val="00DC26F8"/>
    <w:rsid w:val="00DC2935"/>
    <w:rsid w:val="00DC3743"/>
    <w:rsid w:val="00DC3F99"/>
    <w:rsid w:val="00DC6B46"/>
    <w:rsid w:val="00DC6F07"/>
    <w:rsid w:val="00DD22BF"/>
    <w:rsid w:val="00DD260B"/>
    <w:rsid w:val="00DD3784"/>
    <w:rsid w:val="00DD4A7D"/>
    <w:rsid w:val="00DD6416"/>
    <w:rsid w:val="00DD70DB"/>
    <w:rsid w:val="00DD740B"/>
    <w:rsid w:val="00DD7629"/>
    <w:rsid w:val="00DE1FDA"/>
    <w:rsid w:val="00DE2AC5"/>
    <w:rsid w:val="00DE2D6A"/>
    <w:rsid w:val="00DE32E5"/>
    <w:rsid w:val="00DE3B65"/>
    <w:rsid w:val="00DE4477"/>
    <w:rsid w:val="00DE4524"/>
    <w:rsid w:val="00DF0E79"/>
    <w:rsid w:val="00DF1F3E"/>
    <w:rsid w:val="00DF3B77"/>
    <w:rsid w:val="00DF400C"/>
    <w:rsid w:val="00DF42CA"/>
    <w:rsid w:val="00DF44A2"/>
    <w:rsid w:val="00DF54B9"/>
    <w:rsid w:val="00DF5B12"/>
    <w:rsid w:val="00E00886"/>
    <w:rsid w:val="00E01632"/>
    <w:rsid w:val="00E0394C"/>
    <w:rsid w:val="00E074EA"/>
    <w:rsid w:val="00E10DB0"/>
    <w:rsid w:val="00E115F6"/>
    <w:rsid w:val="00E14082"/>
    <w:rsid w:val="00E1696B"/>
    <w:rsid w:val="00E20777"/>
    <w:rsid w:val="00E2257F"/>
    <w:rsid w:val="00E226E3"/>
    <w:rsid w:val="00E2295D"/>
    <w:rsid w:val="00E2429E"/>
    <w:rsid w:val="00E24986"/>
    <w:rsid w:val="00E30373"/>
    <w:rsid w:val="00E320F4"/>
    <w:rsid w:val="00E33C5F"/>
    <w:rsid w:val="00E34E3D"/>
    <w:rsid w:val="00E356E2"/>
    <w:rsid w:val="00E37295"/>
    <w:rsid w:val="00E37531"/>
    <w:rsid w:val="00E454C5"/>
    <w:rsid w:val="00E458E9"/>
    <w:rsid w:val="00E45E94"/>
    <w:rsid w:val="00E4742E"/>
    <w:rsid w:val="00E5044B"/>
    <w:rsid w:val="00E518FC"/>
    <w:rsid w:val="00E53F94"/>
    <w:rsid w:val="00E55E42"/>
    <w:rsid w:val="00E5612C"/>
    <w:rsid w:val="00E56C94"/>
    <w:rsid w:val="00E60167"/>
    <w:rsid w:val="00E60B93"/>
    <w:rsid w:val="00E611C5"/>
    <w:rsid w:val="00E62C49"/>
    <w:rsid w:val="00E6380C"/>
    <w:rsid w:val="00E70185"/>
    <w:rsid w:val="00E7455B"/>
    <w:rsid w:val="00E7537A"/>
    <w:rsid w:val="00E75875"/>
    <w:rsid w:val="00E767C5"/>
    <w:rsid w:val="00E80F5E"/>
    <w:rsid w:val="00E816F2"/>
    <w:rsid w:val="00E8184D"/>
    <w:rsid w:val="00E8194C"/>
    <w:rsid w:val="00E82301"/>
    <w:rsid w:val="00E90EDB"/>
    <w:rsid w:val="00E91C93"/>
    <w:rsid w:val="00E923B0"/>
    <w:rsid w:val="00E9566F"/>
    <w:rsid w:val="00EA2B9D"/>
    <w:rsid w:val="00EB276D"/>
    <w:rsid w:val="00EB2D63"/>
    <w:rsid w:val="00EB4CF3"/>
    <w:rsid w:val="00EB6098"/>
    <w:rsid w:val="00EB6744"/>
    <w:rsid w:val="00EB7524"/>
    <w:rsid w:val="00ED0E27"/>
    <w:rsid w:val="00ED1B46"/>
    <w:rsid w:val="00ED2191"/>
    <w:rsid w:val="00ED3652"/>
    <w:rsid w:val="00ED658F"/>
    <w:rsid w:val="00EE3DC1"/>
    <w:rsid w:val="00EF151E"/>
    <w:rsid w:val="00EF20EE"/>
    <w:rsid w:val="00EF299B"/>
    <w:rsid w:val="00EF62C6"/>
    <w:rsid w:val="00EF6E45"/>
    <w:rsid w:val="00EF7546"/>
    <w:rsid w:val="00F02D49"/>
    <w:rsid w:val="00F033B5"/>
    <w:rsid w:val="00F04A19"/>
    <w:rsid w:val="00F05742"/>
    <w:rsid w:val="00F059CA"/>
    <w:rsid w:val="00F06A9A"/>
    <w:rsid w:val="00F06B15"/>
    <w:rsid w:val="00F10D33"/>
    <w:rsid w:val="00F11308"/>
    <w:rsid w:val="00F11F7D"/>
    <w:rsid w:val="00F12C2B"/>
    <w:rsid w:val="00F137A4"/>
    <w:rsid w:val="00F141E6"/>
    <w:rsid w:val="00F154F7"/>
    <w:rsid w:val="00F1590E"/>
    <w:rsid w:val="00F217D7"/>
    <w:rsid w:val="00F2376D"/>
    <w:rsid w:val="00F27C19"/>
    <w:rsid w:val="00F336F0"/>
    <w:rsid w:val="00F34B35"/>
    <w:rsid w:val="00F41448"/>
    <w:rsid w:val="00F423DC"/>
    <w:rsid w:val="00F4261D"/>
    <w:rsid w:val="00F45396"/>
    <w:rsid w:val="00F51466"/>
    <w:rsid w:val="00F529A2"/>
    <w:rsid w:val="00F542CE"/>
    <w:rsid w:val="00F55F82"/>
    <w:rsid w:val="00F563BA"/>
    <w:rsid w:val="00F56874"/>
    <w:rsid w:val="00F57F37"/>
    <w:rsid w:val="00F60EFF"/>
    <w:rsid w:val="00F6103A"/>
    <w:rsid w:val="00F6153C"/>
    <w:rsid w:val="00F619E7"/>
    <w:rsid w:val="00F61BA9"/>
    <w:rsid w:val="00F64D76"/>
    <w:rsid w:val="00F66846"/>
    <w:rsid w:val="00F67706"/>
    <w:rsid w:val="00F71A46"/>
    <w:rsid w:val="00F74545"/>
    <w:rsid w:val="00F7539E"/>
    <w:rsid w:val="00F75555"/>
    <w:rsid w:val="00F76742"/>
    <w:rsid w:val="00F778BE"/>
    <w:rsid w:val="00F80992"/>
    <w:rsid w:val="00F81C32"/>
    <w:rsid w:val="00F81EC7"/>
    <w:rsid w:val="00F82263"/>
    <w:rsid w:val="00F90A5F"/>
    <w:rsid w:val="00F93B82"/>
    <w:rsid w:val="00F94C55"/>
    <w:rsid w:val="00F97797"/>
    <w:rsid w:val="00FA121F"/>
    <w:rsid w:val="00FA3928"/>
    <w:rsid w:val="00FA3B35"/>
    <w:rsid w:val="00FA4962"/>
    <w:rsid w:val="00FA556E"/>
    <w:rsid w:val="00FA6D63"/>
    <w:rsid w:val="00FB4FFA"/>
    <w:rsid w:val="00FB5868"/>
    <w:rsid w:val="00FB5C21"/>
    <w:rsid w:val="00FB625B"/>
    <w:rsid w:val="00FC2DAD"/>
    <w:rsid w:val="00FC4139"/>
    <w:rsid w:val="00FC5FAC"/>
    <w:rsid w:val="00FC7BB5"/>
    <w:rsid w:val="00FD2100"/>
    <w:rsid w:val="00FD35B4"/>
    <w:rsid w:val="00FD3F8C"/>
    <w:rsid w:val="00FE14FB"/>
    <w:rsid w:val="00FE1FEF"/>
    <w:rsid w:val="00FE339E"/>
    <w:rsid w:val="00FE4409"/>
    <w:rsid w:val="00FE5E9C"/>
    <w:rsid w:val="00FE5EE0"/>
    <w:rsid w:val="00FE6246"/>
    <w:rsid w:val="00FF0702"/>
    <w:rsid w:val="00FF2056"/>
    <w:rsid w:val="00FF2801"/>
    <w:rsid w:val="00FF3291"/>
    <w:rsid w:val="00FF5E62"/>
    <w:rsid w:val="00FF78C4"/>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4097" v:ext="edit"/>
    <o:shapelayout v:ext="edit">
      <o:idmap data="1" v:ext="edit"/>
    </o:shapelayout>
  </w:shapeDefaults>
  <w:decimalSymbol w:val=","/>
  <w:listSeparator w:val=";"/>
  <w14:docId w14:val="27D7EFBC"/>
  <w15:docId w15:val="{6CEC4D92-E747-41E1-953A-D5294F0E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imes New Roman" w:cs="Times New Roman" w:eastAsia="MS Mincho"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uiPriority="22"/>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38F1"/>
    <w:rPr>
      <w:sz w:val="24"/>
      <w:szCs w:val="24"/>
      <w:lang w:eastAsia="ja-JP" w:val="en-US"/>
    </w:rPr>
  </w:style>
  <w:style w:styleId="Titre2" w:type="paragraph">
    <w:name w:val="heading 2"/>
    <w:basedOn w:val="Normal"/>
    <w:next w:val="Normal"/>
    <w:qFormat/>
    <w:rsid w:val="00702C33"/>
    <w:pPr>
      <w:keepNext/>
      <w:pBdr>
        <w:top w:color="auto" w:shadow="1" w:space="1" w:sz="4" w:val="single"/>
        <w:left w:color="auto" w:shadow="1" w:space="4" w:sz="4" w:val="single"/>
        <w:bottom w:color="auto" w:shadow="1" w:space="1" w:sz="4" w:val="single"/>
        <w:right w:color="auto" w:shadow="1" w:space="4" w:sz="4" w:val="single"/>
      </w:pBdr>
      <w:shd w:color="auto" w:fill="FFFFFF" w:val="pct12"/>
      <w:jc w:val="center"/>
      <w:outlineLvl w:val="1"/>
    </w:pPr>
    <w:rPr>
      <w:rFonts w:ascii="Comic Sans MS" w:eastAsia="Times New Roman" w:hAnsi="Comic Sans MS"/>
      <w:b/>
      <w:sz w:val="28"/>
      <w:szCs w:val="20"/>
      <w:lang w:eastAsia="en-US" w:val="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Grilledutableau" w:type="table">
    <w:name w:val="Table Grid"/>
    <w:basedOn w:val="TableauNormal"/>
    <w:uiPriority w:val="39"/>
    <w:rsid w:val="003851F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ieddepage" w:type="paragraph">
    <w:name w:val="footer"/>
    <w:basedOn w:val="Normal"/>
    <w:link w:val="PieddepageCar"/>
    <w:uiPriority w:val="99"/>
    <w:rsid w:val="0029103E"/>
    <w:pPr>
      <w:tabs>
        <w:tab w:pos="4320" w:val="center"/>
        <w:tab w:pos="8640" w:val="right"/>
      </w:tabs>
    </w:pPr>
  </w:style>
  <w:style w:styleId="Numrodepage" w:type="character">
    <w:name w:val="page number"/>
    <w:basedOn w:val="Policepardfaut"/>
    <w:rsid w:val="0029103E"/>
  </w:style>
  <w:style w:styleId="lev" w:type="character">
    <w:name w:val="Strong"/>
    <w:basedOn w:val="Policepardfaut"/>
    <w:uiPriority w:val="22"/>
    <w:qFormat/>
    <w:rsid w:val="003C782C"/>
    <w:rPr>
      <w:b/>
      <w:bCs/>
    </w:rPr>
  </w:style>
  <w:style w:styleId="En-tte" w:type="paragraph">
    <w:name w:val="header"/>
    <w:basedOn w:val="Normal"/>
    <w:link w:val="En-tteCar"/>
    <w:rsid w:val="00356ADA"/>
    <w:pPr>
      <w:tabs>
        <w:tab w:pos="4513" w:val="center"/>
        <w:tab w:pos="9026" w:val="right"/>
      </w:tabs>
    </w:pPr>
  </w:style>
  <w:style w:customStyle="1" w:styleId="En-tteCar" w:type="character">
    <w:name w:val="En-tête Car"/>
    <w:basedOn w:val="Policepardfaut"/>
    <w:link w:val="En-tte"/>
    <w:rsid w:val="00356ADA"/>
    <w:rPr>
      <w:sz w:val="24"/>
      <w:szCs w:val="24"/>
      <w:lang w:eastAsia="ja-JP" w:val="en-US"/>
    </w:rPr>
  </w:style>
  <w:style w:customStyle="1" w:styleId="PieddepageCar" w:type="character">
    <w:name w:val="Pied de page Car"/>
    <w:basedOn w:val="Policepardfaut"/>
    <w:link w:val="Pieddepage"/>
    <w:uiPriority w:val="99"/>
    <w:rsid w:val="00356ADA"/>
    <w:rPr>
      <w:sz w:val="24"/>
      <w:szCs w:val="24"/>
      <w:lang w:eastAsia="ja-JP" w:val="en-US"/>
    </w:rPr>
  </w:style>
  <w:style w:styleId="Textedebulles" w:type="paragraph">
    <w:name w:val="Balloon Text"/>
    <w:basedOn w:val="Normal"/>
    <w:link w:val="TextedebullesCar"/>
    <w:rsid w:val="00356ADA"/>
    <w:rPr>
      <w:rFonts w:ascii="Tahoma" w:cs="Tahoma" w:hAnsi="Tahoma"/>
      <w:sz w:val="16"/>
      <w:szCs w:val="16"/>
    </w:rPr>
  </w:style>
  <w:style w:customStyle="1" w:styleId="TextedebullesCar" w:type="character">
    <w:name w:val="Texte de bulles Car"/>
    <w:basedOn w:val="Policepardfaut"/>
    <w:link w:val="Textedebulles"/>
    <w:rsid w:val="00356ADA"/>
    <w:rPr>
      <w:rFonts w:ascii="Tahoma" w:cs="Tahoma" w:hAnsi="Tahoma"/>
      <w:sz w:val="16"/>
      <w:szCs w:val="16"/>
      <w:lang w:eastAsia="ja-JP" w:val="en-US"/>
    </w:rPr>
  </w:style>
  <w:style w:styleId="Paragraphedeliste" w:type="paragraph">
    <w:name w:val="List Paragraph"/>
    <w:basedOn w:val="Normal"/>
    <w:uiPriority w:val="34"/>
    <w:qFormat/>
    <w:rsid w:val="00356ADA"/>
    <w:pPr>
      <w:ind w:left="720"/>
      <w:contextualSpacing/>
    </w:pPr>
  </w:style>
  <w:style w:customStyle="1" w:styleId="Default" w:type="paragraph">
    <w:name w:val="Default"/>
    <w:rsid w:val="000C1D92"/>
    <w:pPr>
      <w:autoSpaceDE w:val="0"/>
      <w:autoSpaceDN w:val="0"/>
      <w:adjustRightInd w:val="0"/>
    </w:pPr>
    <w:rPr>
      <w:color w:val="000000"/>
      <w:sz w:val="24"/>
      <w:szCs w:val="24"/>
    </w:rPr>
  </w:style>
  <w:style w:styleId="Marquedecommentaire" w:type="character">
    <w:name w:val="annotation reference"/>
    <w:basedOn w:val="Policepardfaut"/>
    <w:rsid w:val="00BE6A2D"/>
    <w:rPr>
      <w:sz w:val="16"/>
      <w:szCs w:val="16"/>
    </w:rPr>
  </w:style>
  <w:style w:styleId="Commentaire" w:type="paragraph">
    <w:name w:val="annotation text"/>
    <w:basedOn w:val="Normal"/>
    <w:link w:val="CommentaireCar"/>
    <w:rsid w:val="00BE6A2D"/>
    <w:rPr>
      <w:sz w:val="20"/>
      <w:szCs w:val="20"/>
    </w:rPr>
  </w:style>
  <w:style w:customStyle="1" w:styleId="CommentaireCar" w:type="character">
    <w:name w:val="Commentaire Car"/>
    <w:basedOn w:val="Policepardfaut"/>
    <w:link w:val="Commentaire"/>
    <w:rsid w:val="00BE6A2D"/>
    <w:rPr>
      <w:lang w:eastAsia="ja-JP" w:val="en-US"/>
    </w:rPr>
  </w:style>
  <w:style w:styleId="Objetducommentaire" w:type="paragraph">
    <w:name w:val="annotation subject"/>
    <w:basedOn w:val="Commentaire"/>
    <w:next w:val="Commentaire"/>
    <w:link w:val="ObjetducommentaireCar"/>
    <w:rsid w:val="00BE6A2D"/>
    <w:rPr>
      <w:b/>
      <w:bCs/>
    </w:rPr>
  </w:style>
  <w:style w:customStyle="1" w:styleId="ObjetducommentaireCar" w:type="character">
    <w:name w:val="Objet du commentaire Car"/>
    <w:basedOn w:val="CommentaireCar"/>
    <w:link w:val="Objetducommentaire"/>
    <w:rsid w:val="00BE6A2D"/>
    <w:rPr>
      <w:b/>
      <w:bCs/>
      <w:lang w:eastAsia="ja-JP" w:val="en-US"/>
    </w:rPr>
  </w:style>
  <w:style w:styleId="Accentuation" w:type="character">
    <w:name w:val="Emphasis"/>
    <w:basedOn w:val="Policepardfaut"/>
    <w:qFormat/>
    <w:rsid w:val="00107189"/>
    <w:rPr>
      <w:i/>
      <w:iCs/>
    </w:rPr>
  </w:style>
  <w:style w:customStyle="1" w:styleId="txtexp" w:type="character">
    <w:name w:val="txtexp"/>
    <w:basedOn w:val="Policepardfaut"/>
    <w:rsid w:val="004A2AFF"/>
  </w:style>
  <w:style w:customStyle="1" w:styleId="txtexpbold" w:type="character">
    <w:name w:val="txtexpbold"/>
    <w:basedOn w:val="Policepardfaut"/>
    <w:rsid w:val="004A2AFF"/>
  </w:style>
  <w:style w:styleId="Lienhypertexte" w:type="character">
    <w:name w:val="Hyperlink"/>
    <w:basedOn w:val="Policepardfaut"/>
    <w:uiPriority w:val="99"/>
    <w:semiHidden/>
    <w:unhideWhenUsed/>
    <w:rsid w:val="004A2AFF"/>
    <w:rPr>
      <w:color w:val="0000FF"/>
      <w:u w:val="single"/>
    </w:rPr>
  </w:style>
  <w:style w:styleId="NormalWeb" w:type="paragraph">
    <w:name w:val="Normal (Web)"/>
    <w:basedOn w:val="Normal"/>
    <w:uiPriority w:val="99"/>
    <w:semiHidden/>
    <w:unhideWhenUsed/>
    <w:rsid w:val="00BE64B3"/>
    <w:pPr>
      <w:spacing w:after="100" w:afterAutospacing="1" w:before="100" w:beforeAutospacing="1"/>
    </w:pPr>
    <w:rPr>
      <w:rFonts w:eastAsia="Times New Roman"/>
      <w:lang w:eastAsia="fr-FR" w:val="fr-FR"/>
    </w:rPr>
  </w:style>
  <w:style w:styleId="Rvision" w:type="paragraph">
    <w:name w:val="Revision"/>
    <w:hidden/>
    <w:uiPriority w:val="99"/>
    <w:semiHidden/>
    <w:rsid w:val="00153FAA"/>
    <w:rPr>
      <w:sz w:val="24"/>
      <w:szCs w:val="24"/>
      <w:lang w:eastAsia="ja-JP"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99505">
      <w:bodyDiv w:val="1"/>
      <w:marLeft w:val="0"/>
      <w:marRight w:val="0"/>
      <w:marTop w:val="0"/>
      <w:marBottom w:val="0"/>
      <w:divBdr>
        <w:top w:val="none" w:sz="0" w:space="0" w:color="auto"/>
        <w:left w:val="none" w:sz="0" w:space="0" w:color="auto"/>
        <w:bottom w:val="none" w:sz="0" w:space="0" w:color="auto"/>
        <w:right w:val="none" w:sz="0" w:space="0" w:color="auto"/>
      </w:divBdr>
    </w:div>
    <w:div w:id="108746480">
      <w:bodyDiv w:val="1"/>
      <w:marLeft w:val="0"/>
      <w:marRight w:val="0"/>
      <w:marTop w:val="0"/>
      <w:marBottom w:val="0"/>
      <w:divBdr>
        <w:top w:val="none" w:sz="0" w:space="0" w:color="auto"/>
        <w:left w:val="none" w:sz="0" w:space="0" w:color="auto"/>
        <w:bottom w:val="none" w:sz="0" w:space="0" w:color="auto"/>
        <w:right w:val="none" w:sz="0" w:space="0" w:color="auto"/>
      </w:divBdr>
    </w:div>
    <w:div w:id="166332887">
      <w:bodyDiv w:val="1"/>
      <w:marLeft w:val="0"/>
      <w:marRight w:val="0"/>
      <w:marTop w:val="0"/>
      <w:marBottom w:val="0"/>
      <w:divBdr>
        <w:top w:val="none" w:sz="0" w:space="0" w:color="auto"/>
        <w:left w:val="none" w:sz="0" w:space="0" w:color="auto"/>
        <w:bottom w:val="none" w:sz="0" w:space="0" w:color="auto"/>
        <w:right w:val="none" w:sz="0" w:space="0" w:color="auto"/>
      </w:divBdr>
    </w:div>
    <w:div w:id="185022043">
      <w:bodyDiv w:val="1"/>
      <w:marLeft w:val="0"/>
      <w:marRight w:val="0"/>
      <w:marTop w:val="0"/>
      <w:marBottom w:val="0"/>
      <w:divBdr>
        <w:top w:val="none" w:sz="0" w:space="0" w:color="auto"/>
        <w:left w:val="none" w:sz="0" w:space="0" w:color="auto"/>
        <w:bottom w:val="none" w:sz="0" w:space="0" w:color="auto"/>
        <w:right w:val="none" w:sz="0" w:space="0" w:color="auto"/>
      </w:divBdr>
    </w:div>
    <w:div w:id="265626130">
      <w:bodyDiv w:val="1"/>
      <w:marLeft w:val="0"/>
      <w:marRight w:val="0"/>
      <w:marTop w:val="0"/>
      <w:marBottom w:val="0"/>
      <w:divBdr>
        <w:top w:val="none" w:sz="0" w:space="0" w:color="auto"/>
        <w:left w:val="none" w:sz="0" w:space="0" w:color="auto"/>
        <w:bottom w:val="none" w:sz="0" w:space="0" w:color="auto"/>
        <w:right w:val="none" w:sz="0" w:space="0" w:color="auto"/>
      </w:divBdr>
    </w:div>
    <w:div w:id="268855268">
      <w:bodyDiv w:val="1"/>
      <w:marLeft w:val="0"/>
      <w:marRight w:val="0"/>
      <w:marTop w:val="0"/>
      <w:marBottom w:val="0"/>
      <w:divBdr>
        <w:top w:val="none" w:sz="0" w:space="0" w:color="auto"/>
        <w:left w:val="none" w:sz="0" w:space="0" w:color="auto"/>
        <w:bottom w:val="none" w:sz="0" w:space="0" w:color="auto"/>
        <w:right w:val="none" w:sz="0" w:space="0" w:color="auto"/>
      </w:divBdr>
    </w:div>
    <w:div w:id="293829001">
      <w:bodyDiv w:val="1"/>
      <w:marLeft w:val="0"/>
      <w:marRight w:val="0"/>
      <w:marTop w:val="0"/>
      <w:marBottom w:val="0"/>
      <w:divBdr>
        <w:top w:val="none" w:sz="0" w:space="0" w:color="auto"/>
        <w:left w:val="none" w:sz="0" w:space="0" w:color="auto"/>
        <w:bottom w:val="none" w:sz="0" w:space="0" w:color="auto"/>
        <w:right w:val="none" w:sz="0" w:space="0" w:color="auto"/>
      </w:divBdr>
    </w:div>
    <w:div w:id="324628767">
      <w:bodyDiv w:val="1"/>
      <w:marLeft w:val="0"/>
      <w:marRight w:val="0"/>
      <w:marTop w:val="0"/>
      <w:marBottom w:val="0"/>
      <w:divBdr>
        <w:top w:val="none" w:sz="0" w:space="0" w:color="auto"/>
        <w:left w:val="none" w:sz="0" w:space="0" w:color="auto"/>
        <w:bottom w:val="none" w:sz="0" w:space="0" w:color="auto"/>
        <w:right w:val="none" w:sz="0" w:space="0" w:color="auto"/>
      </w:divBdr>
    </w:div>
    <w:div w:id="328795149">
      <w:bodyDiv w:val="1"/>
      <w:marLeft w:val="0"/>
      <w:marRight w:val="0"/>
      <w:marTop w:val="0"/>
      <w:marBottom w:val="0"/>
      <w:divBdr>
        <w:top w:val="none" w:sz="0" w:space="0" w:color="auto"/>
        <w:left w:val="none" w:sz="0" w:space="0" w:color="auto"/>
        <w:bottom w:val="none" w:sz="0" w:space="0" w:color="auto"/>
        <w:right w:val="none" w:sz="0" w:space="0" w:color="auto"/>
      </w:divBdr>
    </w:div>
    <w:div w:id="356857018">
      <w:bodyDiv w:val="1"/>
      <w:marLeft w:val="0"/>
      <w:marRight w:val="0"/>
      <w:marTop w:val="0"/>
      <w:marBottom w:val="0"/>
      <w:divBdr>
        <w:top w:val="none" w:sz="0" w:space="0" w:color="auto"/>
        <w:left w:val="none" w:sz="0" w:space="0" w:color="auto"/>
        <w:bottom w:val="none" w:sz="0" w:space="0" w:color="auto"/>
        <w:right w:val="none" w:sz="0" w:space="0" w:color="auto"/>
      </w:divBdr>
    </w:div>
    <w:div w:id="358241458">
      <w:bodyDiv w:val="1"/>
      <w:marLeft w:val="0"/>
      <w:marRight w:val="0"/>
      <w:marTop w:val="0"/>
      <w:marBottom w:val="0"/>
      <w:divBdr>
        <w:top w:val="none" w:sz="0" w:space="0" w:color="auto"/>
        <w:left w:val="none" w:sz="0" w:space="0" w:color="auto"/>
        <w:bottom w:val="none" w:sz="0" w:space="0" w:color="auto"/>
        <w:right w:val="none" w:sz="0" w:space="0" w:color="auto"/>
      </w:divBdr>
    </w:div>
    <w:div w:id="364453594">
      <w:bodyDiv w:val="1"/>
      <w:marLeft w:val="0"/>
      <w:marRight w:val="0"/>
      <w:marTop w:val="0"/>
      <w:marBottom w:val="0"/>
      <w:divBdr>
        <w:top w:val="none" w:sz="0" w:space="0" w:color="auto"/>
        <w:left w:val="none" w:sz="0" w:space="0" w:color="auto"/>
        <w:bottom w:val="none" w:sz="0" w:space="0" w:color="auto"/>
        <w:right w:val="none" w:sz="0" w:space="0" w:color="auto"/>
      </w:divBdr>
    </w:div>
    <w:div w:id="423653480">
      <w:bodyDiv w:val="1"/>
      <w:marLeft w:val="0"/>
      <w:marRight w:val="0"/>
      <w:marTop w:val="0"/>
      <w:marBottom w:val="0"/>
      <w:divBdr>
        <w:top w:val="none" w:sz="0" w:space="0" w:color="auto"/>
        <w:left w:val="none" w:sz="0" w:space="0" w:color="auto"/>
        <w:bottom w:val="none" w:sz="0" w:space="0" w:color="auto"/>
        <w:right w:val="none" w:sz="0" w:space="0" w:color="auto"/>
      </w:divBdr>
    </w:div>
    <w:div w:id="562713137">
      <w:bodyDiv w:val="1"/>
      <w:marLeft w:val="0"/>
      <w:marRight w:val="0"/>
      <w:marTop w:val="0"/>
      <w:marBottom w:val="0"/>
      <w:divBdr>
        <w:top w:val="none" w:sz="0" w:space="0" w:color="auto"/>
        <w:left w:val="none" w:sz="0" w:space="0" w:color="auto"/>
        <w:bottom w:val="none" w:sz="0" w:space="0" w:color="auto"/>
        <w:right w:val="none" w:sz="0" w:space="0" w:color="auto"/>
      </w:divBdr>
    </w:div>
    <w:div w:id="746415006">
      <w:bodyDiv w:val="1"/>
      <w:marLeft w:val="0"/>
      <w:marRight w:val="0"/>
      <w:marTop w:val="0"/>
      <w:marBottom w:val="0"/>
      <w:divBdr>
        <w:top w:val="none" w:sz="0" w:space="0" w:color="auto"/>
        <w:left w:val="none" w:sz="0" w:space="0" w:color="auto"/>
        <w:bottom w:val="none" w:sz="0" w:space="0" w:color="auto"/>
        <w:right w:val="none" w:sz="0" w:space="0" w:color="auto"/>
      </w:divBdr>
    </w:div>
    <w:div w:id="807631074">
      <w:bodyDiv w:val="1"/>
      <w:marLeft w:val="0"/>
      <w:marRight w:val="0"/>
      <w:marTop w:val="0"/>
      <w:marBottom w:val="0"/>
      <w:divBdr>
        <w:top w:val="none" w:sz="0" w:space="0" w:color="auto"/>
        <w:left w:val="none" w:sz="0" w:space="0" w:color="auto"/>
        <w:bottom w:val="none" w:sz="0" w:space="0" w:color="auto"/>
        <w:right w:val="none" w:sz="0" w:space="0" w:color="auto"/>
      </w:divBdr>
    </w:div>
    <w:div w:id="814569294">
      <w:bodyDiv w:val="1"/>
      <w:marLeft w:val="0"/>
      <w:marRight w:val="0"/>
      <w:marTop w:val="0"/>
      <w:marBottom w:val="0"/>
      <w:divBdr>
        <w:top w:val="none" w:sz="0" w:space="0" w:color="auto"/>
        <w:left w:val="none" w:sz="0" w:space="0" w:color="auto"/>
        <w:bottom w:val="none" w:sz="0" w:space="0" w:color="auto"/>
        <w:right w:val="none" w:sz="0" w:space="0" w:color="auto"/>
      </w:divBdr>
    </w:div>
    <w:div w:id="845443577">
      <w:bodyDiv w:val="1"/>
      <w:marLeft w:val="0"/>
      <w:marRight w:val="0"/>
      <w:marTop w:val="0"/>
      <w:marBottom w:val="0"/>
      <w:divBdr>
        <w:top w:val="none" w:sz="0" w:space="0" w:color="auto"/>
        <w:left w:val="none" w:sz="0" w:space="0" w:color="auto"/>
        <w:bottom w:val="none" w:sz="0" w:space="0" w:color="auto"/>
        <w:right w:val="none" w:sz="0" w:space="0" w:color="auto"/>
      </w:divBdr>
    </w:div>
    <w:div w:id="960453941">
      <w:bodyDiv w:val="1"/>
      <w:marLeft w:val="0"/>
      <w:marRight w:val="0"/>
      <w:marTop w:val="0"/>
      <w:marBottom w:val="0"/>
      <w:divBdr>
        <w:top w:val="none" w:sz="0" w:space="0" w:color="auto"/>
        <w:left w:val="none" w:sz="0" w:space="0" w:color="auto"/>
        <w:bottom w:val="none" w:sz="0" w:space="0" w:color="auto"/>
        <w:right w:val="none" w:sz="0" w:space="0" w:color="auto"/>
      </w:divBdr>
    </w:div>
    <w:div w:id="1021710063">
      <w:bodyDiv w:val="1"/>
      <w:marLeft w:val="0"/>
      <w:marRight w:val="0"/>
      <w:marTop w:val="0"/>
      <w:marBottom w:val="0"/>
      <w:divBdr>
        <w:top w:val="none" w:sz="0" w:space="0" w:color="auto"/>
        <w:left w:val="none" w:sz="0" w:space="0" w:color="auto"/>
        <w:bottom w:val="none" w:sz="0" w:space="0" w:color="auto"/>
        <w:right w:val="none" w:sz="0" w:space="0" w:color="auto"/>
      </w:divBdr>
    </w:div>
    <w:div w:id="1062950067">
      <w:bodyDiv w:val="1"/>
      <w:marLeft w:val="0"/>
      <w:marRight w:val="0"/>
      <w:marTop w:val="0"/>
      <w:marBottom w:val="0"/>
      <w:divBdr>
        <w:top w:val="none" w:sz="0" w:space="0" w:color="auto"/>
        <w:left w:val="none" w:sz="0" w:space="0" w:color="auto"/>
        <w:bottom w:val="none" w:sz="0" w:space="0" w:color="auto"/>
        <w:right w:val="none" w:sz="0" w:space="0" w:color="auto"/>
      </w:divBdr>
    </w:div>
    <w:div w:id="1090394216">
      <w:bodyDiv w:val="1"/>
      <w:marLeft w:val="0"/>
      <w:marRight w:val="0"/>
      <w:marTop w:val="0"/>
      <w:marBottom w:val="0"/>
      <w:divBdr>
        <w:top w:val="none" w:sz="0" w:space="0" w:color="auto"/>
        <w:left w:val="none" w:sz="0" w:space="0" w:color="auto"/>
        <w:bottom w:val="none" w:sz="0" w:space="0" w:color="auto"/>
        <w:right w:val="none" w:sz="0" w:space="0" w:color="auto"/>
      </w:divBdr>
    </w:div>
    <w:div w:id="1130052390">
      <w:bodyDiv w:val="1"/>
      <w:marLeft w:val="0"/>
      <w:marRight w:val="0"/>
      <w:marTop w:val="0"/>
      <w:marBottom w:val="0"/>
      <w:divBdr>
        <w:top w:val="none" w:sz="0" w:space="0" w:color="auto"/>
        <w:left w:val="none" w:sz="0" w:space="0" w:color="auto"/>
        <w:bottom w:val="none" w:sz="0" w:space="0" w:color="auto"/>
        <w:right w:val="none" w:sz="0" w:space="0" w:color="auto"/>
      </w:divBdr>
    </w:div>
    <w:div w:id="1132359945">
      <w:bodyDiv w:val="1"/>
      <w:marLeft w:val="0"/>
      <w:marRight w:val="0"/>
      <w:marTop w:val="0"/>
      <w:marBottom w:val="0"/>
      <w:divBdr>
        <w:top w:val="none" w:sz="0" w:space="0" w:color="auto"/>
        <w:left w:val="none" w:sz="0" w:space="0" w:color="auto"/>
        <w:bottom w:val="none" w:sz="0" w:space="0" w:color="auto"/>
        <w:right w:val="none" w:sz="0" w:space="0" w:color="auto"/>
      </w:divBdr>
    </w:div>
    <w:div w:id="1216968451">
      <w:bodyDiv w:val="1"/>
      <w:marLeft w:val="0"/>
      <w:marRight w:val="0"/>
      <w:marTop w:val="0"/>
      <w:marBottom w:val="0"/>
      <w:divBdr>
        <w:top w:val="none" w:sz="0" w:space="0" w:color="auto"/>
        <w:left w:val="none" w:sz="0" w:space="0" w:color="auto"/>
        <w:bottom w:val="none" w:sz="0" w:space="0" w:color="auto"/>
        <w:right w:val="none" w:sz="0" w:space="0" w:color="auto"/>
      </w:divBdr>
    </w:div>
    <w:div w:id="1254126647">
      <w:bodyDiv w:val="1"/>
      <w:marLeft w:val="0"/>
      <w:marRight w:val="0"/>
      <w:marTop w:val="0"/>
      <w:marBottom w:val="0"/>
      <w:divBdr>
        <w:top w:val="none" w:sz="0" w:space="0" w:color="auto"/>
        <w:left w:val="none" w:sz="0" w:space="0" w:color="auto"/>
        <w:bottom w:val="none" w:sz="0" w:space="0" w:color="auto"/>
        <w:right w:val="none" w:sz="0" w:space="0" w:color="auto"/>
      </w:divBdr>
    </w:div>
    <w:div w:id="1254629642">
      <w:bodyDiv w:val="1"/>
      <w:marLeft w:val="0"/>
      <w:marRight w:val="0"/>
      <w:marTop w:val="0"/>
      <w:marBottom w:val="0"/>
      <w:divBdr>
        <w:top w:val="none" w:sz="0" w:space="0" w:color="auto"/>
        <w:left w:val="none" w:sz="0" w:space="0" w:color="auto"/>
        <w:bottom w:val="none" w:sz="0" w:space="0" w:color="auto"/>
        <w:right w:val="none" w:sz="0" w:space="0" w:color="auto"/>
      </w:divBdr>
    </w:div>
    <w:div w:id="1323974479">
      <w:bodyDiv w:val="1"/>
      <w:marLeft w:val="0"/>
      <w:marRight w:val="0"/>
      <w:marTop w:val="0"/>
      <w:marBottom w:val="0"/>
      <w:divBdr>
        <w:top w:val="none" w:sz="0" w:space="0" w:color="auto"/>
        <w:left w:val="none" w:sz="0" w:space="0" w:color="auto"/>
        <w:bottom w:val="none" w:sz="0" w:space="0" w:color="auto"/>
        <w:right w:val="none" w:sz="0" w:space="0" w:color="auto"/>
      </w:divBdr>
      <w:divsChild>
        <w:div w:id="1434671104">
          <w:marLeft w:val="547"/>
          <w:marRight w:val="0"/>
          <w:marTop w:val="60"/>
          <w:marBottom w:val="160"/>
          <w:divBdr>
            <w:top w:val="none" w:sz="0" w:space="0" w:color="auto"/>
            <w:left w:val="none" w:sz="0" w:space="0" w:color="auto"/>
            <w:bottom w:val="none" w:sz="0" w:space="0" w:color="auto"/>
            <w:right w:val="none" w:sz="0" w:space="0" w:color="auto"/>
          </w:divBdr>
        </w:div>
        <w:div w:id="48775023">
          <w:marLeft w:val="547"/>
          <w:marRight w:val="0"/>
          <w:marTop w:val="60"/>
          <w:marBottom w:val="160"/>
          <w:divBdr>
            <w:top w:val="none" w:sz="0" w:space="0" w:color="auto"/>
            <w:left w:val="none" w:sz="0" w:space="0" w:color="auto"/>
            <w:bottom w:val="none" w:sz="0" w:space="0" w:color="auto"/>
            <w:right w:val="none" w:sz="0" w:space="0" w:color="auto"/>
          </w:divBdr>
        </w:div>
        <w:div w:id="668674438">
          <w:marLeft w:val="547"/>
          <w:marRight w:val="0"/>
          <w:marTop w:val="60"/>
          <w:marBottom w:val="160"/>
          <w:divBdr>
            <w:top w:val="none" w:sz="0" w:space="0" w:color="auto"/>
            <w:left w:val="none" w:sz="0" w:space="0" w:color="auto"/>
            <w:bottom w:val="none" w:sz="0" w:space="0" w:color="auto"/>
            <w:right w:val="none" w:sz="0" w:space="0" w:color="auto"/>
          </w:divBdr>
        </w:div>
        <w:div w:id="726145198">
          <w:marLeft w:val="547"/>
          <w:marRight w:val="0"/>
          <w:marTop w:val="60"/>
          <w:marBottom w:val="160"/>
          <w:divBdr>
            <w:top w:val="none" w:sz="0" w:space="0" w:color="auto"/>
            <w:left w:val="none" w:sz="0" w:space="0" w:color="auto"/>
            <w:bottom w:val="none" w:sz="0" w:space="0" w:color="auto"/>
            <w:right w:val="none" w:sz="0" w:space="0" w:color="auto"/>
          </w:divBdr>
        </w:div>
      </w:divsChild>
    </w:div>
    <w:div w:id="1362321230">
      <w:bodyDiv w:val="1"/>
      <w:marLeft w:val="0"/>
      <w:marRight w:val="0"/>
      <w:marTop w:val="0"/>
      <w:marBottom w:val="0"/>
      <w:divBdr>
        <w:top w:val="none" w:sz="0" w:space="0" w:color="auto"/>
        <w:left w:val="none" w:sz="0" w:space="0" w:color="auto"/>
        <w:bottom w:val="none" w:sz="0" w:space="0" w:color="auto"/>
        <w:right w:val="none" w:sz="0" w:space="0" w:color="auto"/>
      </w:divBdr>
    </w:div>
    <w:div w:id="1376077451">
      <w:bodyDiv w:val="1"/>
      <w:marLeft w:val="0"/>
      <w:marRight w:val="0"/>
      <w:marTop w:val="0"/>
      <w:marBottom w:val="0"/>
      <w:divBdr>
        <w:top w:val="none" w:sz="0" w:space="0" w:color="auto"/>
        <w:left w:val="none" w:sz="0" w:space="0" w:color="auto"/>
        <w:bottom w:val="none" w:sz="0" w:space="0" w:color="auto"/>
        <w:right w:val="none" w:sz="0" w:space="0" w:color="auto"/>
      </w:divBdr>
    </w:div>
    <w:div w:id="1406875587">
      <w:bodyDiv w:val="1"/>
      <w:marLeft w:val="0"/>
      <w:marRight w:val="0"/>
      <w:marTop w:val="0"/>
      <w:marBottom w:val="0"/>
      <w:divBdr>
        <w:top w:val="none" w:sz="0" w:space="0" w:color="auto"/>
        <w:left w:val="none" w:sz="0" w:space="0" w:color="auto"/>
        <w:bottom w:val="none" w:sz="0" w:space="0" w:color="auto"/>
        <w:right w:val="none" w:sz="0" w:space="0" w:color="auto"/>
      </w:divBdr>
    </w:div>
    <w:div w:id="1475443313">
      <w:bodyDiv w:val="1"/>
      <w:marLeft w:val="0"/>
      <w:marRight w:val="0"/>
      <w:marTop w:val="0"/>
      <w:marBottom w:val="0"/>
      <w:divBdr>
        <w:top w:val="none" w:sz="0" w:space="0" w:color="auto"/>
        <w:left w:val="none" w:sz="0" w:space="0" w:color="auto"/>
        <w:bottom w:val="none" w:sz="0" w:space="0" w:color="auto"/>
        <w:right w:val="none" w:sz="0" w:space="0" w:color="auto"/>
      </w:divBdr>
    </w:div>
    <w:div w:id="1508979240">
      <w:bodyDiv w:val="1"/>
      <w:marLeft w:val="0"/>
      <w:marRight w:val="0"/>
      <w:marTop w:val="0"/>
      <w:marBottom w:val="0"/>
      <w:divBdr>
        <w:top w:val="none" w:sz="0" w:space="0" w:color="auto"/>
        <w:left w:val="none" w:sz="0" w:space="0" w:color="auto"/>
        <w:bottom w:val="none" w:sz="0" w:space="0" w:color="auto"/>
        <w:right w:val="none" w:sz="0" w:space="0" w:color="auto"/>
      </w:divBdr>
    </w:div>
    <w:div w:id="1559129541">
      <w:bodyDiv w:val="1"/>
      <w:marLeft w:val="0"/>
      <w:marRight w:val="0"/>
      <w:marTop w:val="0"/>
      <w:marBottom w:val="0"/>
      <w:divBdr>
        <w:top w:val="none" w:sz="0" w:space="0" w:color="auto"/>
        <w:left w:val="none" w:sz="0" w:space="0" w:color="auto"/>
        <w:bottom w:val="none" w:sz="0" w:space="0" w:color="auto"/>
        <w:right w:val="none" w:sz="0" w:space="0" w:color="auto"/>
      </w:divBdr>
    </w:div>
    <w:div w:id="1585871412">
      <w:bodyDiv w:val="1"/>
      <w:marLeft w:val="0"/>
      <w:marRight w:val="0"/>
      <w:marTop w:val="0"/>
      <w:marBottom w:val="0"/>
      <w:divBdr>
        <w:top w:val="none" w:sz="0" w:space="0" w:color="auto"/>
        <w:left w:val="none" w:sz="0" w:space="0" w:color="auto"/>
        <w:bottom w:val="none" w:sz="0" w:space="0" w:color="auto"/>
        <w:right w:val="none" w:sz="0" w:space="0" w:color="auto"/>
      </w:divBdr>
    </w:div>
    <w:div w:id="1633752290">
      <w:bodyDiv w:val="1"/>
      <w:marLeft w:val="0"/>
      <w:marRight w:val="0"/>
      <w:marTop w:val="0"/>
      <w:marBottom w:val="0"/>
      <w:divBdr>
        <w:top w:val="none" w:sz="0" w:space="0" w:color="auto"/>
        <w:left w:val="none" w:sz="0" w:space="0" w:color="auto"/>
        <w:bottom w:val="none" w:sz="0" w:space="0" w:color="auto"/>
        <w:right w:val="none" w:sz="0" w:space="0" w:color="auto"/>
      </w:divBdr>
    </w:div>
    <w:div w:id="1639846473">
      <w:bodyDiv w:val="1"/>
      <w:marLeft w:val="0"/>
      <w:marRight w:val="0"/>
      <w:marTop w:val="0"/>
      <w:marBottom w:val="0"/>
      <w:divBdr>
        <w:top w:val="none" w:sz="0" w:space="0" w:color="auto"/>
        <w:left w:val="none" w:sz="0" w:space="0" w:color="auto"/>
        <w:bottom w:val="none" w:sz="0" w:space="0" w:color="auto"/>
        <w:right w:val="none" w:sz="0" w:space="0" w:color="auto"/>
      </w:divBdr>
    </w:div>
    <w:div w:id="1751387637">
      <w:bodyDiv w:val="1"/>
      <w:marLeft w:val="0"/>
      <w:marRight w:val="0"/>
      <w:marTop w:val="0"/>
      <w:marBottom w:val="0"/>
      <w:divBdr>
        <w:top w:val="none" w:sz="0" w:space="0" w:color="auto"/>
        <w:left w:val="none" w:sz="0" w:space="0" w:color="auto"/>
        <w:bottom w:val="none" w:sz="0" w:space="0" w:color="auto"/>
        <w:right w:val="none" w:sz="0" w:space="0" w:color="auto"/>
      </w:divBdr>
    </w:div>
    <w:div w:id="1944218254">
      <w:bodyDiv w:val="1"/>
      <w:marLeft w:val="0"/>
      <w:marRight w:val="0"/>
      <w:marTop w:val="0"/>
      <w:marBottom w:val="0"/>
      <w:divBdr>
        <w:top w:val="none" w:sz="0" w:space="0" w:color="auto"/>
        <w:left w:val="none" w:sz="0" w:space="0" w:color="auto"/>
        <w:bottom w:val="none" w:sz="0" w:space="0" w:color="auto"/>
        <w:right w:val="none" w:sz="0" w:space="0" w:color="auto"/>
      </w:divBdr>
    </w:div>
    <w:div w:id="1970477640">
      <w:bodyDiv w:val="1"/>
      <w:marLeft w:val="0"/>
      <w:marRight w:val="0"/>
      <w:marTop w:val="0"/>
      <w:marBottom w:val="0"/>
      <w:divBdr>
        <w:top w:val="none" w:sz="0" w:space="0" w:color="auto"/>
        <w:left w:val="none" w:sz="0" w:space="0" w:color="auto"/>
        <w:bottom w:val="none" w:sz="0" w:space="0" w:color="auto"/>
        <w:right w:val="none" w:sz="0" w:space="0" w:color="auto"/>
      </w:divBdr>
      <w:divsChild>
        <w:div w:id="637954669">
          <w:marLeft w:val="0"/>
          <w:marRight w:val="0"/>
          <w:marTop w:val="0"/>
          <w:marBottom w:val="0"/>
          <w:divBdr>
            <w:top w:val="none" w:sz="0" w:space="0" w:color="auto"/>
            <w:left w:val="none" w:sz="0" w:space="0" w:color="auto"/>
            <w:bottom w:val="none" w:sz="0" w:space="0" w:color="auto"/>
            <w:right w:val="none" w:sz="0" w:space="0" w:color="auto"/>
          </w:divBdr>
        </w:div>
      </w:divsChild>
    </w:div>
    <w:div w:id="2052145546">
      <w:bodyDiv w:val="1"/>
      <w:marLeft w:val="0"/>
      <w:marRight w:val="0"/>
      <w:marTop w:val="0"/>
      <w:marBottom w:val="0"/>
      <w:divBdr>
        <w:top w:val="none" w:sz="0" w:space="0" w:color="auto"/>
        <w:left w:val="none" w:sz="0" w:space="0" w:color="auto"/>
        <w:bottom w:val="none" w:sz="0" w:space="0" w:color="auto"/>
        <w:right w:val="none" w:sz="0" w:space="0" w:color="auto"/>
      </w:divBdr>
    </w:div>
    <w:div w:id="208221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66385-EB01-48BB-B38B-A6298252C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1421</Words>
  <Characters>7993</Characters>
  <Application>Microsoft Office Word</Application>
  <DocSecurity>4</DocSecurity>
  <Lines>66</Lines>
  <Paragraphs>18</Paragraphs>
  <ScaleCrop>false</ScaleCrop>
  <HeadingPairs>
    <vt:vector baseType="variant" size="2">
      <vt:variant>
        <vt:lpstr>Titre</vt:lpstr>
      </vt:variant>
      <vt:variant>
        <vt:i4>1</vt:i4>
      </vt:variant>
    </vt:vector>
  </HeadingPairs>
  <TitlesOfParts>
    <vt:vector baseType="lpstr" size="1">
      <vt:lpstr>Projet d’accord Salarial 2009</vt:lpstr>
    </vt:vector>
  </TitlesOfParts>
  <Company>shiseido</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2022-01-20T09:46:00Z</dcterms:created>
  <cp:lastPrinted>2021-12-17T12:48:00Z</cp:lastPrinted>
  <dcterms:modified xsi:type="dcterms:W3CDTF">2022-01-20T09:46:00Z</dcterms:modified>
  <cp:revision>2</cp:revision>
  <dc:title>Projet d’accord Salarial 2009</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0x010100CC1AE1D23459544CA8644D83E788CC2C</vt:lpwstr>
  </property>
  <property fmtid="{D5CDD505-2E9C-101B-9397-08002B2CF9AE}" name="MSIP_Label_1bcd7ed4-0651-498c-ac89-2efddadcfa2f_Enabled" pid="3">
    <vt:lpwstr>true</vt:lpwstr>
  </property>
  <property fmtid="{D5CDD505-2E9C-101B-9397-08002B2CF9AE}" name="MSIP_Label_1bcd7ed4-0651-498c-ac89-2efddadcfa2f_SetDate" pid="4">
    <vt:lpwstr>2022-01-20T09:46:03Z</vt:lpwstr>
  </property>
  <property fmtid="{D5CDD505-2E9C-101B-9397-08002B2CF9AE}" name="MSIP_Label_1bcd7ed4-0651-498c-ac89-2efddadcfa2f_Method" pid="5">
    <vt:lpwstr>Standard</vt:lpwstr>
  </property>
  <property fmtid="{D5CDD505-2E9C-101B-9397-08002B2CF9AE}" name="MSIP_Label_1bcd7ed4-0651-498c-ac89-2efddadcfa2f_Name" pid="6">
    <vt:lpwstr>1bcd7ed4-0651-498c-ac89-2efddadcfa2f</vt:lpwstr>
  </property>
  <property fmtid="{D5CDD505-2E9C-101B-9397-08002B2CF9AE}" name="MSIP_Label_1bcd7ed4-0651-498c-ac89-2efddadcfa2f_SiteId" pid="7">
    <vt:lpwstr>c3549632-51ee-40fe-b6ae-a69f3a6cc157</vt:lpwstr>
  </property>
  <property fmtid="{D5CDD505-2E9C-101B-9397-08002B2CF9AE}" name="MSIP_Label_1bcd7ed4-0651-498c-ac89-2efddadcfa2f_ActionId" pid="8">
    <vt:lpwstr>4b34a22d-8f6e-4c2b-8aed-6cf8d25f4271</vt:lpwstr>
  </property>
  <property fmtid="{D5CDD505-2E9C-101B-9397-08002B2CF9AE}" name="MSIP_Label_1bcd7ed4-0651-498c-ac89-2efddadcfa2f_ContentBits" pid="9">
    <vt:lpwstr>2</vt:lpwstr>
  </property>
</Properties>
</file>