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2B61F0D1" w14:textId="77777777" w:rsidP="00627ECD" w:rsidR="00627ECD" w:rsidRDefault="00627ECD">
      <w:pPr>
        <w:pBdr>
          <w:top w:color="auto" w:space="1" w:sz="4" w:val="single"/>
          <w:left w:color="auto" w:space="4" w:sz="4" w:val="single"/>
          <w:bottom w:color="auto" w:space="1" w:sz="4" w:val="single"/>
          <w:right w:color="auto" w:space="4" w:sz="4" w:val="single"/>
        </w:pBdr>
        <w:jc w:val="center"/>
        <w:rPr>
          <w:b/>
          <w:u w:val="single"/>
        </w:rPr>
      </w:pPr>
    </w:p>
    <w:p w14:paraId="67605924" w14:textId="77777777" w:rsidP="00627ECD" w:rsidR="00E551A1" w:rsidRDefault="00015FC1" w:rsidRPr="00691278">
      <w:pPr>
        <w:pBdr>
          <w:top w:color="auto" w:space="1" w:sz="4" w:val="single"/>
          <w:left w:color="auto" w:space="4" w:sz="4" w:val="single"/>
          <w:bottom w:color="auto" w:space="1" w:sz="4" w:val="single"/>
          <w:right w:color="auto" w:space="4" w:sz="4" w:val="single"/>
        </w:pBdr>
        <w:jc w:val="center"/>
        <w:rPr>
          <w:b/>
          <w:u w:val="single"/>
        </w:rPr>
      </w:pPr>
      <w:r>
        <w:rPr>
          <w:b/>
          <w:u w:val="single"/>
        </w:rPr>
        <w:t>PROCES-VERBAL D’</w:t>
      </w:r>
      <w:r w:rsidR="001A4DB1">
        <w:rPr>
          <w:b/>
          <w:u w:val="single"/>
        </w:rPr>
        <w:t>ACCORD</w:t>
      </w:r>
      <w:r w:rsidR="002F5BE5">
        <w:rPr>
          <w:b/>
          <w:u w:val="single"/>
        </w:rPr>
        <w:t xml:space="preserve"> </w:t>
      </w:r>
      <w:r w:rsidR="004E44E1">
        <w:rPr>
          <w:b/>
          <w:u w:val="single"/>
        </w:rPr>
        <w:t>DE NEGOCIATION ANNUELLE OBLIGATOIRE</w:t>
      </w:r>
    </w:p>
    <w:p w14:paraId="7648B2C9" w14:textId="77777777" w:rsidP="00627ECD" w:rsidR="00E551A1" w:rsidRDefault="00E551A1">
      <w:pPr>
        <w:pBdr>
          <w:top w:color="auto" w:space="1" w:sz="4" w:val="single"/>
          <w:left w:color="auto" w:space="4" w:sz="4" w:val="single"/>
          <w:bottom w:color="auto" w:space="1" w:sz="4" w:val="single"/>
          <w:right w:color="auto" w:space="4" w:sz="4" w:val="single"/>
        </w:pBdr>
      </w:pPr>
    </w:p>
    <w:p w14:paraId="5DFFBAC2" w14:textId="77777777" w:rsidR="00627ECD" w:rsidRDefault="00627ECD"/>
    <w:p w14:paraId="36AC9A7D" w14:textId="77777777" w:rsidR="00627ECD" w:rsidRDefault="00627ECD"/>
    <w:p w14:paraId="16AF8A79" w14:textId="77777777" w:rsidR="00E551A1" w:rsidRDefault="004E44E1">
      <w:r>
        <w:t xml:space="preserve">La Société : </w:t>
      </w:r>
    </w:p>
    <w:p w14:paraId="67600E5C" w14:textId="77777777" w:rsidR="00E551A1" w:rsidRDefault="00E551A1"/>
    <w:p w14:paraId="6B13C76C" w14:textId="77777777" w:rsidP="00E551A1" w:rsidR="00E551A1" w:rsidRDefault="00E551A1">
      <w:pPr>
        <w:numPr>
          <w:ilvl w:val="0"/>
          <w:numId w:val="1"/>
        </w:numPr>
      </w:pPr>
      <w:r>
        <w:t>RIGA,</w:t>
      </w:r>
      <w:r w:rsidR="00434A1A">
        <w:t xml:space="preserve"> société par actions simplifiée,</w:t>
      </w:r>
      <w:r>
        <w:t xml:space="preserve"> au capital de 4 004 000 €, dont le siège social se situe 41 Avenue de l’Europe à RONCQ, immatriculée au RCS de ROUBAIX TOURCOING sous le n° 885480293, </w:t>
      </w:r>
    </w:p>
    <w:p w14:paraId="70D65891" w14:textId="77777777" w:rsidP="00E551A1" w:rsidR="00E551A1" w:rsidRDefault="00E551A1"/>
    <w:p w14:paraId="6A10A6E3" w14:textId="47D80597" w:rsidP="00292A30" w:rsidR="00E551A1" w:rsidRDefault="00265F86">
      <w:pPr>
        <w:jc w:val="both"/>
      </w:pPr>
      <w:r>
        <w:t xml:space="preserve">Représentée </w:t>
      </w:r>
      <w:r w:rsidR="006A54C4">
        <w:t>par</w:t>
      </w:r>
      <w:r w:rsidR="007F5233">
        <w:t xml:space="preserve"> M. </w:t>
      </w:r>
      <w:r w:rsidR="00E551A1">
        <w:t xml:space="preserve">agissant en qualité de </w:t>
      </w:r>
      <w:r w:rsidR="006A54C4">
        <w:t>Président</w:t>
      </w:r>
      <w:r w:rsidR="00E551A1">
        <w:t xml:space="preserve"> dûment mandaté pour la conclusion des présentes, </w:t>
      </w:r>
    </w:p>
    <w:p w14:paraId="1BDF482E" w14:textId="77777777" w:rsidP="00E551A1" w:rsidR="00E551A1" w:rsidRDefault="00E551A1"/>
    <w:p w14:paraId="5FE0CDE6" w14:textId="77777777" w:rsidP="00E551A1" w:rsidR="00E551A1" w:rsidRDefault="00E551A1" w:rsidRPr="00E551A1">
      <w:pPr>
        <w:jc w:val="right"/>
        <w:rPr>
          <w:u w:val="single"/>
        </w:rPr>
      </w:pPr>
      <w:r w:rsidRPr="00E551A1">
        <w:rPr>
          <w:u w:val="single"/>
        </w:rPr>
        <w:t xml:space="preserve">D’une part, </w:t>
      </w:r>
    </w:p>
    <w:p w14:paraId="4E47CB71" w14:textId="77777777" w:rsidP="00E551A1" w:rsidR="00E551A1" w:rsidRDefault="00E551A1"/>
    <w:p w14:paraId="3354948E" w14:textId="77777777" w:rsidP="00E551A1" w:rsidR="00E551A1" w:rsidRDefault="00E551A1">
      <w:r>
        <w:t xml:space="preserve">Et : </w:t>
      </w:r>
    </w:p>
    <w:p w14:paraId="4ED3D1A5" w14:textId="77777777" w:rsidP="00E551A1" w:rsidR="00E551A1" w:rsidRDefault="00E551A1"/>
    <w:p w14:paraId="2F1E7A6A" w14:textId="77777777" w:rsidP="00E551A1" w:rsidR="00E551A1" w:rsidRDefault="00E551A1">
      <w:r>
        <w:t xml:space="preserve">Les organisations syndicales représentatives suivantes : </w:t>
      </w:r>
    </w:p>
    <w:p w14:paraId="3F4AF552" w14:textId="77777777" w:rsidP="00E551A1" w:rsidR="00E551A1" w:rsidRDefault="00E551A1"/>
    <w:p w14:paraId="39B22933" w14:textId="15DC247E" w:rsidP="00E551A1" w:rsidR="00E551A1" w:rsidRDefault="000C18EF">
      <w:pPr>
        <w:numPr>
          <w:ilvl w:val="0"/>
          <w:numId w:val="1"/>
        </w:numPr>
      </w:pPr>
      <w:proofErr w:type="gramStart"/>
      <w:r>
        <w:t xml:space="preserve">M. </w:t>
      </w:r>
      <w:r w:rsidR="006A54C4">
        <w:t>,</w:t>
      </w:r>
      <w:proofErr w:type="gramEnd"/>
      <w:r w:rsidR="006A54C4">
        <w:t xml:space="preserve"> </w:t>
      </w:r>
      <w:r w:rsidR="00E551A1">
        <w:t xml:space="preserve">délégué syndical CFDT, </w:t>
      </w:r>
    </w:p>
    <w:p w14:paraId="67A4679D" w14:textId="1822E0EA" w:rsidP="00E551A1" w:rsidR="00E551A1" w:rsidRDefault="00E551A1"/>
    <w:p w14:paraId="0D1B1FFE" w14:textId="77777777" w:rsidP="00E551A1" w:rsidR="000C18EF" w:rsidRDefault="000C18EF"/>
    <w:p w14:paraId="2927D71E" w14:textId="77777777" w:rsidP="00E551A1" w:rsidR="00E551A1" w:rsidRDefault="00E551A1">
      <w:pPr>
        <w:jc w:val="right"/>
        <w:rPr>
          <w:u w:val="single"/>
        </w:rPr>
      </w:pPr>
      <w:r w:rsidRPr="00E551A1">
        <w:rPr>
          <w:u w:val="single"/>
        </w:rPr>
        <w:t>D’autre part,</w:t>
      </w:r>
    </w:p>
    <w:p w14:paraId="787465A6" w14:textId="77777777" w:rsidP="00E551A1" w:rsidR="004E44E1" w:rsidRDefault="004E44E1">
      <w:pPr>
        <w:jc w:val="right"/>
        <w:rPr>
          <w:u w:val="single"/>
        </w:rPr>
      </w:pPr>
    </w:p>
    <w:p w14:paraId="246C83A6" w14:textId="77777777" w:rsidP="00292A30" w:rsidR="004E44E1" w:rsidRDefault="00E44A97">
      <w:pPr>
        <w:jc w:val="both"/>
      </w:pPr>
      <w:r>
        <w:t xml:space="preserve">Ont </w:t>
      </w:r>
      <w:r w:rsidR="004E44E1">
        <w:t xml:space="preserve">engagé la négociation annuelle obligatoire sur les thèmes mentionnés dans la Loi. </w:t>
      </w:r>
    </w:p>
    <w:p w14:paraId="720331F9" w14:textId="77777777" w:rsidP="004E44E1" w:rsidR="00E551A1" w:rsidRDefault="00E551A1">
      <w:pPr>
        <w:rPr>
          <w:u w:val="single"/>
        </w:rPr>
      </w:pPr>
    </w:p>
    <w:p w14:paraId="7FA0FFE9" w14:textId="77777777" w:rsidP="004E44E1" w:rsidR="00787C14" w:rsidRDefault="00787C14">
      <w:pPr>
        <w:rPr>
          <w:u w:val="single"/>
        </w:rPr>
      </w:pPr>
    </w:p>
    <w:p w14:paraId="5E86818F" w14:textId="77777777" w:rsidP="004E44E1" w:rsidR="004E44E1" w:rsidRDefault="004E44E1">
      <w:pPr>
        <w:rPr>
          <w:b/>
          <w:u w:val="single"/>
        </w:rPr>
      </w:pPr>
      <w:r w:rsidRPr="004E44E1">
        <w:rPr>
          <w:b/>
          <w:u w:val="single"/>
        </w:rPr>
        <w:t xml:space="preserve">ARTICLE 1 : </w:t>
      </w:r>
    </w:p>
    <w:p w14:paraId="692524C9" w14:textId="77777777" w:rsidP="004E44E1" w:rsidR="00627ECD" w:rsidRDefault="00627ECD" w:rsidRPr="004E44E1">
      <w:pPr>
        <w:rPr>
          <w:b/>
          <w:u w:val="single"/>
        </w:rPr>
      </w:pPr>
    </w:p>
    <w:p w14:paraId="51012B0E" w14:textId="77777777" w:rsidP="00E551A1" w:rsidR="00E551A1" w:rsidRDefault="00E551A1">
      <w:pPr>
        <w:jc w:val="center"/>
        <w:rPr>
          <w:b/>
          <w:u w:val="single"/>
        </w:rPr>
      </w:pPr>
    </w:p>
    <w:p w14:paraId="34DD917A" w14:textId="03AE216D" w:rsidP="00691278" w:rsidR="00E551A1" w:rsidRDefault="004E44E1">
      <w:pPr>
        <w:jc w:val="both"/>
      </w:pPr>
      <w:r>
        <w:t>Les parties se sont rencontrées à plusieur</w:t>
      </w:r>
      <w:r w:rsidR="00E551A1">
        <w:t>s</w:t>
      </w:r>
      <w:r>
        <w:t xml:space="preserve"> r</w:t>
      </w:r>
      <w:r w:rsidR="00555092">
        <w:t>e</w:t>
      </w:r>
      <w:r>
        <w:t xml:space="preserve">prises : </w:t>
      </w:r>
      <w:r w:rsidR="00845E69">
        <w:t>les</w:t>
      </w:r>
      <w:r w:rsidR="009F0358">
        <w:t xml:space="preserve"> </w:t>
      </w:r>
      <w:r w:rsidR="000C18EF">
        <w:t>08/11/2021</w:t>
      </w:r>
      <w:r w:rsidR="00015FC1">
        <w:t xml:space="preserve">, </w:t>
      </w:r>
      <w:r w:rsidR="000C18EF">
        <w:t>15/11/2021</w:t>
      </w:r>
      <w:r w:rsidR="00015FC1">
        <w:t xml:space="preserve">, </w:t>
      </w:r>
      <w:r w:rsidR="000C18EF">
        <w:t>06/12/2021</w:t>
      </w:r>
      <w:r w:rsidR="00015FC1">
        <w:t xml:space="preserve">, </w:t>
      </w:r>
      <w:r w:rsidR="000C18EF">
        <w:t>10/01/2022</w:t>
      </w:r>
      <w:r w:rsidR="006A54C4">
        <w:t xml:space="preserve"> et </w:t>
      </w:r>
      <w:r w:rsidR="000C18EF">
        <w:t>24</w:t>
      </w:r>
      <w:r w:rsidR="006A54C4">
        <w:t>/01/20</w:t>
      </w:r>
      <w:r w:rsidR="000C18EF">
        <w:t>22</w:t>
      </w:r>
      <w:r>
        <w:t>. Elles constatent qu’au terme de la négociati</w:t>
      </w:r>
      <w:r w:rsidR="00015FC1">
        <w:t xml:space="preserve">on, elles </w:t>
      </w:r>
      <w:r w:rsidR="001C5AF6">
        <w:t xml:space="preserve">ont pu aboutir à </w:t>
      </w:r>
      <w:r>
        <w:t xml:space="preserve">un accord sur les sujets ayant donné lieu à négociation et conviennent d’établir, par le présent </w:t>
      </w:r>
      <w:r w:rsidR="00015FC1">
        <w:t>document, un procès-verbal d’</w:t>
      </w:r>
      <w:r>
        <w:t>accord</w:t>
      </w:r>
      <w:r w:rsidR="00E44A97">
        <w:t>.</w:t>
      </w:r>
      <w:r>
        <w:t xml:space="preserve"> </w:t>
      </w:r>
    </w:p>
    <w:p w14:paraId="4A45082C" w14:textId="77777777" w:rsidP="00691278" w:rsidR="000C18EF" w:rsidRDefault="000C18EF">
      <w:pPr>
        <w:jc w:val="both"/>
      </w:pPr>
    </w:p>
    <w:p w14:paraId="3322C38C" w14:textId="77777777" w:rsidP="00E551A1" w:rsidR="00F31485" w:rsidRDefault="00F31485" w:rsidRPr="004E44E1">
      <w:pPr>
        <w:rPr>
          <w:b/>
        </w:rPr>
      </w:pPr>
    </w:p>
    <w:p w14:paraId="57B49D9C" w14:textId="77777777" w:rsidP="00E551A1" w:rsidR="00E551A1" w:rsidRDefault="004E44E1">
      <w:pPr>
        <w:rPr>
          <w:b/>
          <w:u w:val="single"/>
        </w:rPr>
      </w:pPr>
      <w:r w:rsidRPr="004E44E1">
        <w:rPr>
          <w:b/>
          <w:u w:val="single"/>
        </w:rPr>
        <w:t>ARTICLE 2 : E</w:t>
      </w:r>
      <w:r w:rsidR="009F0358">
        <w:rPr>
          <w:b/>
          <w:u w:val="single"/>
        </w:rPr>
        <w:t xml:space="preserve">TAT DES PROPOSITIONS RESPECTIVES </w:t>
      </w:r>
    </w:p>
    <w:p w14:paraId="470F5C03" w14:textId="77777777" w:rsidP="00E551A1" w:rsidR="009F0358" w:rsidRDefault="009F0358">
      <w:pPr>
        <w:rPr>
          <w:b/>
          <w:u w:val="single"/>
        </w:rPr>
      </w:pPr>
    </w:p>
    <w:p w14:paraId="3349BFF9" w14:textId="77777777" w:rsidP="00E551A1" w:rsidR="009F0358" w:rsidRDefault="009F0358">
      <w:pPr>
        <w:rPr>
          <w:b/>
          <w:u w:val="single"/>
        </w:rPr>
      </w:pPr>
    </w:p>
    <w:p w14:paraId="2F5687FA" w14:textId="77777777" w:rsidP="00E551A1" w:rsidR="009F0358" w:rsidRDefault="009F0358" w:rsidRPr="009F0358">
      <w:pPr>
        <w:rPr>
          <w:u w:val="single"/>
        </w:rPr>
      </w:pPr>
      <w:r w:rsidRPr="009F0358">
        <w:rPr>
          <w:u w:val="single"/>
        </w:rPr>
        <w:t>Négociation sur la rémunération, le temps de travail et le partage de la valeur ajoutée</w:t>
      </w:r>
    </w:p>
    <w:p w14:paraId="25AB5777" w14:textId="77777777" w:rsidP="00E551A1" w:rsidR="00627ECD" w:rsidRDefault="00627ECD" w:rsidRPr="004E44E1">
      <w:pPr>
        <w:rPr>
          <w:b/>
          <w:u w:val="single"/>
        </w:rPr>
      </w:pPr>
    </w:p>
    <w:p w14:paraId="39473B4F" w14:textId="77777777" w:rsidP="00E551A1" w:rsidR="00E551A1" w:rsidRDefault="00E551A1">
      <w:pPr>
        <w:rPr>
          <w:u w:val="single"/>
        </w:rPr>
      </w:pPr>
    </w:p>
    <w:p w14:paraId="7CBB1FAF" w14:textId="77777777" w:rsidP="00A933E7" w:rsidR="00934B85" w:rsidRDefault="00A933E7">
      <w:pPr>
        <w:rPr>
          <w:u w:val="single"/>
        </w:rPr>
      </w:pPr>
      <w:r>
        <w:rPr>
          <w:u w:val="single"/>
        </w:rPr>
        <w:t xml:space="preserve">2.1) </w:t>
      </w:r>
      <w:r w:rsidR="00934B85">
        <w:rPr>
          <w:u w:val="single"/>
        </w:rPr>
        <w:t>Sur les salaires effectifs</w:t>
      </w:r>
    </w:p>
    <w:p w14:paraId="31BB828C" w14:textId="77777777" w:rsidP="00A933E7" w:rsidR="00A933E7" w:rsidRDefault="00A933E7">
      <w:pPr>
        <w:rPr>
          <w:u w:val="single"/>
        </w:rPr>
      </w:pPr>
    </w:p>
    <w:p w14:paraId="018C0603" w14:textId="710E41C4" w:rsidP="00A933E7" w:rsidR="00A933E7" w:rsidRDefault="00A933E7">
      <w:r w:rsidRPr="00A933E7">
        <w:t xml:space="preserve">Les propositions de </w:t>
      </w:r>
      <w:r w:rsidR="000C18EF">
        <w:t xml:space="preserve">l’organisation </w:t>
      </w:r>
      <w:r>
        <w:t>syndicale</w:t>
      </w:r>
      <w:r w:rsidR="000C18EF">
        <w:t xml:space="preserve"> CFDT</w:t>
      </w:r>
      <w:r>
        <w:t xml:space="preserve"> sont, en leur dernier état les suivantes : </w:t>
      </w:r>
    </w:p>
    <w:p w14:paraId="4AFDE5A0" w14:textId="095F1AD9" w:rsidP="00A933E7" w:rsidR="000C18EF" w:rsidRDefault="000C18EF"/>
    <w:p w14:paraId="2095A3A4" w14:textId="27B395E2" w:rsidP="00A933E7" w:rsidR="000C18EF" w:rsidRDefault="000C18EF"/>
    <w:p w14:paraId="2F89C7A2" w14:textId="77777777" w:rsidP="00A933E7" w:rsidR="000C18EF" w:rsidRDefault="000C18EF"/>
    <w:p w14:paraId="73CF49B3" w14:textId="77777777" w:rsidP="00A933E7" w:rsidR="00A933E7" w:rsidRDefault="00A933E7"/>
    <w:p w14:paraId="1CF20326" w14:textId="77777777" w:rsidP="005C34BB" w:rsidR="00884718" w:rsidRDefault="00015FC1">
      <w:pPr>
        <w:numPr>
          <w:ilvl w:val="0"/>
          <w:numId w:val="1"/>
        </w:numPr>
        <w:jc w:val="both"/>
      </w:pPr>
      <w:r>
        <w:lastRenderedPageBreak/>
        <w:t>Augmentation de salaire :</w:t>
      </w:r>
    </w:p>
    <w:p w14:paraId="7D7F425A" w14:textId="1AB7EC54" w:rsidP="00884718" w:rsidR="000C18EF" w:rsidRDefault="00015FC1">
      <w:pPr>
        <w:ind w:left="720"/>
        <w:jc w:val="both"/>
      </w:pPr>
      <w:r>
        <w:t xml:space="preserve"> </w:t>
      </w:r>
    </w:p>
    <w:p w14:paraId="532FD119" w14:textId="41BB2535" w:rsidP="000C18EF" w:rsidR="000C18EF" w:rsidRDefault="00015FC1">
      <w:pPr>
        <w:numPr>
          <w:ilvl w:val="1"/>
          <w:numId w:val="1"/>
        </w:numPr>
        <w:jc w:val="both"/>
      </w:pPr>
      <w:r>
        <w:t>2</w:t>
      </w:r>
      <w:r w:rsidR="000C18EF">
        <w:t>,5</w:t>
      </w:r>
      <w:r w:rsidR="00884718">
        <w:t>0</w:t>
      </w:r>
      <w:r w:rsidR="00B03006">
        <w:t xml:space="preserve"> </w:t>
      </w:r>
      <w:r>
        <w:t>% jusqu’à 2 </w:t>
      </w:r>
      <w:r w:rsidR="000C18EF">
        <w:t>2</w:t>
      </w:r>
      <w:r>
        <w:t xml:space="preserve">00 € bruts mensuels, </w:t>
      </w:r>
    </w:p>
    <w:p w14:paraId="2D8176A6" w14:textId="37BBFBE4" w:rsidP="000C18EF" w:rsidR="00B03006" w:rsidRDefault="00B03006">
      <w:pPr>
        <w:numPr>
          <w:ilvl w:val="1"/>
          <w:numId w:val="1"/>
        </w:numPr>
        <w:jc w:val="both"/>
      </w:pPr>
      <w:r>
        <w:t>2</w:t>
      </w:r>
      <w:r w:rsidR="00884718">
        <w:t>,00</w:t>
      </w:r>
      <w:r>
        <w:t xml:space="preserve"> </w:t>
      </w:r>
      <w:r w:rsidR="00015FC1">
        <w:t>% d’augmentation de 2 </w:t>
      </w:r>
      <w:r w:rsidR="000C18EF">
        <w:t>20</w:t>
      </w:r>
      <w:r w:rsidR="00015FC1">
        <w:t>1 € à 2 </w:t>
      </w:r>
      <w:r>
        <w:t>8</w:t>
      </w:r>
      <w:r w:rsidR="00015FC1">
        <w:t xml:space="preserve">00 € bruts mensuels, </w:t>
      </w:r>
    </w:p>
    <w:p w14:paraId="19176EF0" w14:textId="438F31C1" w:rsidP="000C18EF" w:rsidR="00B03006" w:rsidRDefault="00434A1A">
      <w:pPr>
        <w:numPr>
          <w:ilvl w:val="1"/>
          <w:numId w:val="1"/>
        </w:numPr>
        <w:jc w:val="both"/>
      </w:pPr>
      <w:r>
        <w:t>1</w:t>
      </w:r>
      <w:r w:rsidR="00B03006">
        <w:t>,5</w:t>
      </w:r>
      <w:r w:rsidR="00884718">
        <w:t>0</w:t>
      </w:r>
      <w:r w:rsidR="00B03006">
        <w:t xml:space="preserve"> </w:t>
      </w:r>
      <w:r w:rsidR="00015FC1">
        <w:t xml:space="preserve">% d’augmentation de </w:t>
      </w:r>
      <w:r w:rsidR="00B03006">
        <w:t>2 801</w:t>
      </w:r>
      <w:r w:rsidR="00015FC1">
        <w:t xml:space="preserve"> €</w:t>
      </w:r>
      <w:r w:rsidR="00B03006">
        <w:t xml:space="preserve"> à 3 300 €</w:t>
      </w:r>
      <w:r w:rsidR="00015FC1">
        <w:t xml:space="preserve"> bruts mensuels, </w:t>
      </w:r>
    </w:p>
    <w:p w14:paraId="7D48B16B" w14:textId="6F90EC16" w:rsidP="000C18EF" w:rsidR="00A933E7" w:rsidRDefault="00B03006">
      <w:pPr>
        <w:numPr>
          <w:ilvl w:val="1"/>
          <w:numId w:val="1"/>
        </w:numPr>
        <w:jc w:val="both"/>
      </w:pPr>
      <w:r>
        <w:t>1</w:t>
      </w:r>
      <w:r w:rsidR="00884718">
        <w:t>,00</w:t>
      </w:r>
      <w:r>
        <w:t xml:space="preserve"> </w:t>
      </w:r>
      <w:r w:rsidR="00015FC1">
        <w:t xml:space="preserve">% pour les salaires supérieurs à </w:t>
      </w:r>
      <w:r>
        <w:t>3 300</w:t>
      </w:r>
      <w:r w:rsidR="00015FC1">
        <w:t xml:space="preserve"> € bruts mensuels.  </w:t>
      </w:r>
    </w:p>
    <w:p w14:paraId="68CB55EC" w14:textId="77777777" w:rsidP="006A54C4" w:rsidR="006A54C4" w:rsidRDefault="006A54C4">
      <w:pPr>
        <w:jc w:val="both"/>
      </w:pPr>
    </w:p>
    <w:p w14:paraId="5BAC28E8" w14:textId="7C2031DE" w:rsidP="006A54C4" w:rsidR="006A54C4" w:rsidRDefault="006A54C4">
      <w:pPr>
        <w:pStyle w:val="Paragraphedeliste"/>
        <w:numPr>
          <w:ilvl w:val="0"/>
          <w:numId w:val="1"/>
        </w:numPr>
        <w:jc w:val="both"/>
      </w:pPr>
      <w:r>
        <w:t xml:space="preserve">Prime exceptionnelle </w:t>
      </w:r>
      <w:r w:rsidR="00B03006">
        <w:t>de pouvoir d’achat</w:t>
      </w:r>
      <w:r>
        <w:t> </w:t>
      </w:r>
      <w:r w:rsidR="00B03006">
        <w:t>de 300 €</w:t>
      </w:r>
      <w:r>
        <w:t>.</w:t>
      </w:r>
    </w:p>
    <w:p w14:paraId="7A2603FC" w14:textId="2BBC6725" w:rsidP="009A53A0" w:rsidR="009A53A0" w:rsidRDefault="009A53A0">
      <w:pPr>
        <w:jc w:val="both"/>
      </w:pPr>
    </w:p>
    <w:p w14:paraId="75CDB6BA" w14:textId="5F746103" w:rsidP="009A53A0" w:rsidR="009A53A0" w:rsidRDefault="009A53A0">
      <w:pPr>
        <w:pStyle w:val="Paragraphedeliste"/>
        <w:numPr>
          <w:ilvl w:val="0"/>
          <w:numId w:val="1"/>
        </w:numPr>
        <w:jc w:val="both"/>
      </w:pPr>
      <w:r>
        <w:t>Revenir sur le principe d’une prime d’ancienneté ou une grille de réévaluation interne, permettant de progresser avec les années et éviter que les plus anciens voient leur salaire rattrapé par des salariés n’ayant que peu d’ancienneté.</w:t>
      </w:r>
    </w:p>
    <w:p w14:paraId="76AA34E1" w14:textId="77777777" w:rsidP="006A54C4" w:rsidR="006A54C4" w:rsidRDefault="006A54C4">
      <w:pPr>
        <w:pStyle w:val="Paragraphedeliste"/>
      </w:pPr>
    </w:p>
    <w:p w14:paraId="3A02EC76" w14:textId="05E5EC44" w:rsidP="00665C6B" w:rsidR="00665C6B" w:rsidRDefault="00665C6B">
      <w:r>
        <w:t xml:space="preserve">De son </w:t>
      </w:r>
      <w:r w:rsidR="009B3862">
        <w:t>côté</w:t>
      </w:r>
      <w:r>
        <w:t xml:space="preserve">, la Direction a fait les dernières propositions suivantes : </w:t>
      </w:r>
    </w:p>
    <w:p w14:paraId="1D363A85" w14:textId="77777777" w:rsidP="00665C6B" w:rsidR="00665C6B" w:rsidRDefault="00665C6B"/>
    <w:p w14:paraId="446FB704" w14:textId="114B8EF4" w:rsidP="00C25C18" w:rsidR="00C25C18" w:rsidRDefault="00C25C18">
      <w:pPr>
        <w:numPr>
          <w:ilvl w:val="0"/>
          <w:numId w:val="1"/>
        </w:numPr>
        <w:jc w:val="both"/>
      </w:pPr>
      <w:r>
        <w:t>La Direction propose une augmentation des sal</w:t>
      </w:r>
      <w:r w:rsidR="003268CF">
        <w:t xml:space="preserve">aires à compter du </w:t>
      </w:r>
      <w:r w:rsidR="00B6465E">
        <w:t>01/0</w:t>
      </w:r>
      <w:r w:rsidR="007360CD">
        <w:t>2</w:t>
      </w:r>
      <w:r w:rsidR="00B6465E">
        <w:t>/20</w:t>
      </w:r>
      <w:r w:rsidR="00884718">
        <w:t>22</w:t>
      </w:r>
      <w:r w:rsidR="003268CF">
        <w:t xml:space="preserve"> </w:t>
      </w:r>
      <w:r w:rsidR="007360CD">
        <w:t>(soit pour les salaires payés fin février 20</w:t>
      </w:r>
      <w:r w:rsidR="00884718">
        <w:t>22</w:t>
      </w:r>
      <w:r w:rsidR="007360CD">
        <w:t xml:space="preserve">) </w:t>
      </w:r>
      <w:r>
        <w:t xml:space="preserve">de : </w:t>
      </w:r>
    </w:p>
    <w:p w14:paraId="0CCCDEDC" w14:textId="77777777" w:rsidP="00C25C18" w:rsidR="00C25C18" w:rsidRDefault="00C25C18">
      <w:pPr>
        <w:ind w:left="720"/>
        <w:jc w:val="both"/>
      </w:pPr>
    </w:p>
    <w:p w14:paraId="2A8E5F90" w14:textId="017B84EE" w:rsidP="00C25C18" w:rsidR="00C25C18" w:rsidRDefault="00884718">
      <w:pPr>
        <w:numPr>
          <w:ilvl w:val="1"/>
          <w:numId w:val="1"/>
        </w:numPr>
        <w:jc w:val="both"/>
      </w:pPr>
      <w:r>
        <w:t>2,00</w:t>
      </w:r>
      <w:r w:rsidR="00B6465E">
        <w:t xml:space="preserve"> </w:t>
      </w:r>
      <w:r w:rsidR="00C25C18">
        <w:t xml:space="preserve">% </w:t>
      </w:r>
      <w:r>
        <w:t>jusqu’à 2 000</w:t>
      </w:r>
      <w:r w:rsidR="003268CF">
        <w:t xml:space="preserve"> €</w:t>
      </w:r>
      <w:r w:rsidR="00C25C18">
        <w:t xml:space="preserve"> bruts mensuels</w:t>
      </w:r>
      <w:r>
        <w:t>,</w:t>
      </w:r>
      <w:r w:rsidR="00C25C18">
        <w:t xml:space="preserve"> </w:t>
      </w:r>
    </w:p>
    <w:p w14:paraId="32F4CF49" w14:textId="08239AA2" w:rsidP="00B6465E" w:rsidR="00C25C18" w:rsidRDefault="004A26C4">
      <w:pPr>
        <w:numPr>
          <w:ilvl w:val="1"/>
          <w:numId w:val="1"/>
        </w:numPr>
        <w:jc w:val="both"/>
      </w:pPr>
      <w:r>
        <w:t>1</w:t>
      </w:r>
      <w:r w:rsidR="00884718">
        <w:t>,5</w:t>
      </w:r>
      <w:r>
        <w:t xml:space="preserve">0 % </w:t>
      </w:r>
      <w:r w:rsidR="00C25C18">
        <w:t xml:space="preserve">du salaire brut mensuel </w:t>
      </w:r>
      <w:r w:rsidR="009B3862">
        <w:t>c</w:t>
      </w:r>
      <w:r w:rsidR="00B6465E">
        <w:t xml:space="preserve">ompris entre </w:t>
      </w:r>
      <w:r w:rsidR="009B3862">
        <w:t>2 001</w:t>
      </w:r>
      <w:r w:rsidR="00B6465E">
        <w:t xml:space="preserve"> € et 2</w:t>
      </w:r>
      <w:r w:rsidR="009B3862">
        <w:t xml:space="preserve"> 400</w:t>
      </w:r>
      <w:r w:rsidR="009F0358">
        <w:t xml:space="preserve"> € bruts mensuels</w:t>
      </w:r>
      <w:r w:rsidR="009B3862">
        <w:t>,</w:t>
      </w:r>
      <w:r w:rsidR="009F0358">
        <w:t xml:space="preserve"> </w:t>
      </w:r>
    </w:p>
    <w:p w14:paraId="74C0F14B" w14:textId="08332186" w:rsidP="00C25C18" w:rsidR="009F0358" w:rsidRDefault="009B3862">
      <w:pPr>
        <w:numPr>
          <w:ilvl w:val="1"/>
          <w:numId w:val="1"/>
        </w:numPr>
        <w:jc w:val="both"/>
      </w:pPr>
      <w:r>
        <w:t>1,00</w:t>
      </w:r>
      <w:r w:rsidR="009F0358">
        <w:t xml:space="preserve"> % du salaire brut mensuel </w:t>
      </w:r>
      <w:r w:rsidR="00B6465E">
        <w:t>compris entre 2</w:t>
      </w:r>
      <w:r>
        <w:t> 4</w:t>
      </w:r>
      <w:r w:rsidR="00B6465E">
        <w:t>01</w:t>
      </w:r>
      <w:r>
        <w:t xml:space="preserve"> €</w:t>
      </w:r>
      <w:r w:rsidR="00B6465E">
        <w:t xml:space="preserve"> et 2 </w:t>
      </w:r>
      <w:r w:rsidR="004A26C4">
        <w:t>8</w:t>
      </w:r>
      <w:r w:rsidR="009F0358">
        <w:t>00 € bruts mensuels</w:t>
      </w:r>
      <w:r>
        <w:t>,</w:t>
      </w:r>
    </w:p>
    <w:p w14:paraId="28F5B8EB" w14:textId="44F66A8D" w:rsidP="00C25C18" w:rsidR="009F0358" w:rsidRDefault="009F0358">
      <w:pPr>
        <w:numPr>
          <w:ilvl w:val="1"/>
          <w:numId w:val="1"/>
        </w:numPr>
        <w:jc w:val="both"/>
      </w:pPr>
      <w:r>
        <w:t>0</w:t>
      </w:r>
      <w:r w:rsidR="009B3862">
        <w:t>,50</w:t>
      </w:r>
      <w:r>
        <w:t xml:space="preserve"> % pour les salaires supérieurs à 2 800 € bruts mensuels.</w:t>
      </w:r>
    </w:p>
    <w:p w14:paraId="75C3CDC9" w14:textId="77777777" w:rsidP="009F0358" w:rsidR="009F0358" w:rsidRDefault="009F0358">
      <w:pPr>
        <w:ind w:left="1080"/>
        <w:jc w:val="both"/>
      </w:pPr>
    </w:p>
    <w:p w14:paraId="399A4F85" w14:textId="37A28DA1" w:rsidP="00CB0E44" w:rsidR="00126380" w:rsidRDefault="00B6465E">
      <w:pPr>
        <w:numPr>
          <w:ilvl w:val="0"/>
          <w:numId w:val="1"/>
        </w:numPr>
        <w:ind w:left="708"/>
        <w:jc w:val="both"/>
      </w:pPr>
      <w:r>
        <w:t xml:space="preserve">La Direction propose par ailleurs le versement en </w:t>
      </w:r>
      <w:r w:rsidR="009B3862">
        <w:t>février 2022</w:t>
      </w:r>
      <w:r>
        <w:t xml:space="preserve"> d’une prime exceptionnelle</w:t>
      </w:r>
      <w:r w:rsidR="004A26C4">
        <w:t xml:space="preserve"> de pouvoir d’achat exonérée de charges sociales et d’impôt sur le revenu (sous conditions)</w:t>
      </w:r>
      <w:r>
        <w:t xml:space="preserve"> d’un montant de </w:t>
      </w:r>
      <w:r w:rsidR="004A26C4">
        <w:t>27</w:t>
      </w:r>
      <w:r w:rsidR="009B3862">
        <w:t>5</w:t>
      </w:r>
      <w:r>
        <w:t xml:space="preserve"> € à l’ensemble du personnel</w:t>
      </w:r>
      <w:r w:rsidR="009B3862">
        <w:t>.</w:t>
      </w:r>
      <w:r w:rsidR="000D52EF" w:rsidRPr="000D52EF">
        <w:t xml:space="preserve"> </w:t>
      </w:r>
      <w:r w:rsidR="000D52EF">
        <w:t xml:space="preserve">Ce montant sera proratisé pour les salariés à temps partiel et pour les salariés entrés dans l’entreprise </w:t>
      </w:r>
      <w:r w:rsidR="000D52EF" w:rsidRPr="000D52EF">
        <w:t>en cours d’année 2021</w:t>
      </w:r>
      <w:r w:rsidR="000D52EF">
        <w:rPr>
          <w:u w:val="single"/>
        </w:rPr>
        <w:t>.</w:t>
      </w:r>
      <w:r w:rsidR="000D52EF">
        <w:t xml:space="preserve"> La période de référence retenue pour le calcul de cette prime est l’année civile 2021.   </w:t>
      </w:r>
    </w:p>
    <w:p w14:paraId="45636C8A" w14:textId="77777777" w:rsidP="009A53A0" w:rsidR="009A53A0" w:rsidRDefault="009A53A0">
      <w:pPr>
        <w:ind w:left="708"/>
        <w:jc w:val="both"/>
      </w:pPr>
    </w:p>
    <w:p w14:paraId="6FE96499" w14:textId="77777777" w:rsidP="005C34BB" w:rsidR="00EB7676" w:rsidRDefault="00EB7676"/>
    <w:p w14:paraId="67C54621" w14:textId="77777777" w:rsidP="005C34BB" w:rsidR="005C34BB" w:rsidRDefault="005C34BB" w:rsidRPr="00A933E7">
      <w:r>
        <w:t xml:space="preserve">Sur les différents points </w:t>
      </w:r>
      <w:r w:rsidR="00033041">
        <w:t xml:space="preserve">repris ci-dessus, les parties ont trouvé un </w:t>
      </w:r>
      <w:r>
        <w:t>accord.</w:t>
      </w:r>
    </w:p>
    <w:p w14:paraId="16204645" w14:textId="77777777" w:rsidP="00A933E7" w:rsidR="00A933E7" w:rsidRDefault="00A933E7">
      <w:pPr>
        <w:rPr>
          <w:u w:val="single"/>
        </w:rPr>
      </w:pPr>
    </w:p>
    <w:p w14:paraId="6F347638" w14:textId="77777777" w:rsidP="00A933E7" w:rsidR="00EB7676" w:rsidRDefault="00EB7676">
      <w:pPr>
        <w:rPr>
          <w:u w:val="single"/>
        </w:rPr>
      </w:pPr>
    </w:p>
    <w:p w14:paraId="4AA8222D" w14:textId="77777777" w:rsidP="005C34BB" w:rsidR="005C34BB" w:rsidRDefault="005C34BB">
      <w:pPr>
        <w:rPr>
          <w:u w:val="single"/>
        </w:rPr>
      </w:pPr>
      <w:r>
        <w:rPr>
          <w:u w:val="single"/>
        </w:rPr>
        <w:t>2.2) Sur la durée effective du travail et l’organisation du temps de travail</w:t>
      </w:r>
    </w:p>
    <w:p w14:paraId="2F33FE7A" w14:textId="77777777" w:rsidP="00A933E7" w:rsidR="005C34BB" w:rsidRDefault="005C34BB">
      <w:pPr>
        <w:rPr>
          <w:u w:val="single"/>
        </w:rPr>
      </w:pPr>
    </w:p>
    <w:p w14:paraId="21AD52A5" w14:textId="77777777" w:rsidP="00292A30" w:rsidR="009B3862" w:rsidRDefault="005C34BB">
      <w:pPr>
        <w:jc w:val="both"/>
      </w:pPr>
      <w:r w:rsidRPr="00A933E7">
        <w:t xml:space="preserve">Les propositions </w:t>
      </w:r>
      <w:r w:rsidR="009B3862">
        <w:t>de l’</w:t>
      </w:r>
      <w:r w:rsidRPr="00A933E7">
        <w:t xml:space="preserve">organisation </w:t>
      </w:r>
      <w:r>
        <w:t>syndicale</w:t>
      </w:r>
      <w:r w:rsidR="009B3862">
        <w:t xml:space="preserve"> CFDT</w:t>
      </w:r>
      <w:r>
        <w:t xml:space="preserve"> sont, en leur dernier état les suivantes :</w:t>
      </w:r>
    </w:p>
    <w:p w14:paraId="792EC500" w14:textId="77777777" w:rsidP="00292A30" w:rsidR="009A53A0" w:rsidRDefault="009A53A0">
      <w:pPr>
        <w:jc w:val="both"/>
      </w:pPr>
    </w:p>
    <w:p w14:paraId="5F9C7DCE" w14:textId="77777777" w:rsidP="009A53A0" w:rsidR="009A53A0" w:rsidRDefault="009A53A0">
      <w:pPr>
        <w:pStyle w:val="Paragraphedeliste"/>
        <w:numPr>
          <w:ilvl w:val="0"/>
          <w:numId w:val="1"/>
        </w:numPr>
        <w:jc w:val="both"/>
      </w:pPr>
      <w:r>
        <w:t>Prise en charge de la journée de solidarité par l’entreprise,</w:t>
      </w:r>
    </w:p>
    <w:p w14:paraId="2116A0B6" w14:textId="77777777" w:rsidP="009A53A0" w:rsidR="009A53A0" w:rsidRDefault="009A53A0">
      <w:pPr>
        <w:pStyle w:val="Paragraphedeliste"/>
        <w:numPr>
          <w:ilvl w:val="0"/>
          <w:numId w:val="1"/>
        </w:numPr>
        <w:jc w:val="both"/>
      </w:pPr>
      <w:r>
        <w:t>Attribution d’une journée de congé supplémentaire à partir de 20 ans d’ancienneté,</w:t>
      </w:r>
    </w:p>
    <w:p w14:paraId="78B657E6" w14:textId="739CE7D2" w:rsidP="00D46842" w:rsidR="005C34BB" w:rsidRDefault="005C34BB">
      <w:pPr>
        <w:pStyle w:val="Paragraphedeliste"/>
        <w:ind w:left="720"/>
        <w:jc w:val="both"/>
      </w:pPr>
    </w:p>
    <w:p w14:paraId="5464EFA3" w14:textId="306C1168" w:rsidP="00D46842" w:rsidR="00D46842" w:rsidRDefault="00D46842">
      <w:r>
        <w:t xml:space="preserve">De son côté, la Direction a fait les dernières propositions suivantes : </w:t>
      </w:r>
    </w:p>
    <w:p w14:paraId="0656FAA2" w14:textId="2811A02E" w:rsidP="00292A30" w:rsidR="005C34BB" w:rsidRDefault="005C34BB">
      <w:pPr>
        <w:jc w:val="both"/>
      </w:pPr>
    </w:p>
    <w:p w14:paraId="423EB41B" w14:textId="35AE0B3C" w:rsidP="00D46842" w:rsidR="00C46402" w:rsidRDefault="00D46842">
      <w:pPr>
        <w:pStyle w:val="Paragraphedeliste"/>
        <w:numPr>
          <w:ilvl w:val="0"/>
          <w:numId w:val="1"/>
        </w:numPr>
      </w:pPr>
      <w:r>
        <w:t>Prise en charge de la journée de solidarité par l’entreprise.</w:t>
      </w:r>
    </w:p>
    <w:p w14:paraId="70F1D1B0" w14:textId="77777777" w:rsidP="00D46842" w:rsidR="00D46842" w:rsidRDefault="00D46842">
      <w:pPr>
        <w:pStyle w:val="Paragraphedeliste"/>
        <w:ind w:left="720"/>
      </w:pPr>
    </w:p>
    <w:p w14:paraId="40D25435" w14:textId="292BB498" w:rsidP="00D46842" w:rsidR="00D46842" w:rsidRDefault="00D46842"/>
    <w:p w14:paraId="34B8EECD" w14:textId="57E33D77" w:rsidP="00D46842" w:rsidR="00D46842" w:rsidRDefault="00D46842">
      <w:r>
        <w:t>Sur les différents points repris ci-dessus, les parties ont trouvé un accord.</w:t>
      </w:r>
    </w:p>
    <w:p w14:paraId="43B9D24D" w14:textId="77777777" w:rsidP="00D46842" w:rsidR="0012220C" w:rsidRDefault="0012220C"/>
    <w:p w14:paraId="0F459A99" w14:textId="77777777" w:rsidP="00D46842" w:rsidR="00D46842" w:rsidRDefault="00D46842" w:rsidRPr="00A933E7"/>
    <w:p w14:paraId="7A904C57" w14:textId="77777777" w:rsidP="00654299" w:rsidR="00627ECD" w:rsidRDefault="00627ECD"/>
    <w:p w14:paraId="0CCDB253" w14:textId="77777777" w:rsidP="00654299" w:rsidR="00654299" w:rsidRDefault="00E44A97">
      <w:pPr>
        <w:rPr>
          <w:u w:val="single"/>
        </w:rPr>
      </w:pPr>
      <w:r>
        <w:rPr>
          <w:u w:val="single"/>
        </w:rPr>
        <w:lastRenderedPageBreak/>
        <w:t>2.3</w:t>
      </w:r>
      <w:r w:rsidR="00654299">
        <w:rPr>
          <w:u w:val="single"/>
        </w:rPr>
        <w:t>) Sur l’épargne salariale</w:t>
      </w:r>
      <w:r>
        <w:rPr>
          <w:u w:val="single"/>
        </w:rPr>
        <w:t>, l’intéressement et la participation</w:t>
      </w:r>
    </w:p>
    <w:p w14:paraId="4A3ED26C" w14:textId="77777777" w:rsidP="00654299" w:rsidR="00654299" w:rsidRDefault="00654299">
      <w:pPr>
        <w:rPr>
          <w:u w:val="single"/>
        </w:rPr>
      </w:pPr>
    </w:p>
    <w:p w14:paraId="671B62E2" w14:textId="13F5A236" w:rsidP="00654299" w:rsidR="00654299" w:rsidRDefault="00654299">
      <w:r w:rsidRPr="00654299">
        <w:t>Il n’y a pas de propositions faites par l</w:t>
      </w:r>
      <w:r w:rsidR="00D46842">
        <w:t>’</w:t>
      </w:r>
      <w:r w:rsidRPr="00654299">
        <w:t xml:space="preserve">organisation syndicale sur ce point. </w:t>
      </w:r>
    </w:p>
    <w:p w14:paraId="20AD564A" w14:textId="77777777" w:rsidP="00654299" w:rsidR="00627ECD" w:rsidRDefault="00627ECD" w:rsidRPr="00654299"/>
    <w:p w14:paraId="34D414B9" w14:textId="77777777" w:rsidP="00654299" w:rsidR="00654299" w:rsidRDefault="00654299">
      <w:pPr>
        <w:rPr>
          <w:u w:val="single"/>
        </w:rPr>
      </w:pPr>
    </w:p>
    <w:p w14:paraId="472BCDC1" w14:textId="77777777" w:rsidP="00654299" w:rsidR="00654299" w:rsidRDefault="00654299">
      <w:pPr>
        <w:rPr>
          <w:u w:val="single"/>
        </w:rPr>
      </w:pPr>
      <w:r>
        <w:rPr>
          <w:u w:val="single"/>
        </w:rPr>
        <w:t xml:space="preserve">2.4) Sur </w:t>
      </w:r>
      <w:r w:rsidR="00E44A97">
        <w:rPr>
          <w:u w:val="single"/>
        </w:rPr>
        <w:t xml:space="preserve">les mesures visant à supprimer les écarts de rémunération et les différences de déroulement de carrière entre les </w:t>
      </w:r>
      <w:r>
        <w:rPr>
          <w:u w:val="single"/>
        </w:rPr>
        <w:t>hommes et les femmes</w:t>
      </w:r>
    </w:p>
    <w:p w14:paraId="76814911" w14:textId="77777777" w:rsidP="00654299" w:rsidR="00654299" w:rsidRDefault="00654299">
      <w:pPr>
        <w:rPr>
          <w:u w:val="single"/>
        </w:rPr>
      </w:pPr>
    </w:p>
    <w:p w14:paraId="2FF6F5C5" w14:textId="6CF0DBF6" w:rsidP="00C479C3" w:rsidR="00126380" w:rsidRDefault="00D46842">
      <w:pPr>
        <w:jc w:val="both"/>
        <w:rPr>
          <w:u w:val="single"/>
        </w:rPr>
      </w:pPr>
      <w:r w:rsidRPr="00654299">
        <w:t>Il n’y a pas de propositions faites par l</w:t>
      </w:r>
      <w:r>
        <w:t>’</w:t>
      </w:r>
      <w:r w:rsidRPr="00654299">
        <w:t>organisation syndicale sur ce point</w:t>
      </w:r>
    </w:p>
    <w:p w14:paraId="303F419C" w14:textId="77777777" w:rsidP="00C479C3" w:rsidR="00126380" w:rsidRDefault="00126380">
      <w:pPr>
        <w:jc w:val="both"/>
      </w:pPr>
    </w:p>
    <w:p w14:paraId="05C4DC9C" w14:textId="77777777" w:rsidP="00C479C3" w:rsidR="00627ECD" w:rsidRDefault="00627ECD">
      <w:pPr>
        <w:jc w:val="both"/>
      </w:pPr>
    </w:p>
    <w:p w14:paraId="6C500577" w14:textId="77777777" w:rsidP="00C479C3" w:rsidR="00C479C3" w:rsidRDefault="008521E6" w:rsidRPr="00C479C3">
      <w:pPr>
        <w:jc w:val="both"/>
        <w:rPr>
          <w:u w:val="single"/>
        </w:rPr>
      </w:pPr>
      <w:r>
        <w:rPr>
          <w:u w:val="single"/>
        </w:rPr>
        <w:t>A</w:t>
      </w:r>
      <w:r w:rsidR="00EB7676">
        <w:rPr>
          <w:u w:val="single"/>
        </w:rPr>
        <w:t>RTICLE 3</w:t>
      </w:r>
      <w:r w:rsidR="00292A30">
        <w:rPr>
          <w:u w:val="single"/>
        </w:rPr>
        <w:t xml:space="preserve"> – PUBLICITE</w:t>
      </w:r>
    </w:p>
    <w:p w14:paraId="54EE9A4B" w14:textId="77777777" w:rsidP="00F95487" w:rsidR="00C479C3" w:rsidRDefault="00C479C3"/>
    <w:p w14:paraId="60A21705" w14:textId="77777777" w:rsidP="00292A30" w:rsidR="00C479C3" w:rsidRDefault="00292A30">
      <w:pPr>
        <w:jc w:val="both"/>
      </w:pPr>
      <w:r>
        <w:t xml:space="preserve">Le présent procès-verbal donnera lieu à dépôt dans les conditions prévues à l’article D.2231-2 du Code du Travail, à savoir dépôt en deux exemplaires, dont l’un sous forme électronique à la DIRRECTE, et un exemplaire au secrétariat greffe du Conseil des Prud’hommes du lieu de conclusion du procès verbal. </w:t>
      </w:r>
    </w:p>
    <w:p w14:paraId="455A0A9C" w14:textId="77777777" w:rsidP="00F95487" w:rsidR="00627ECD" w:rsidRDefault="00627ECD"/>
    <w:p w14:paraId="2A55DCD0" w14:textId="77777777" w:rsidP="00627ECD" w:rsidR="00627ECD" w:rsidRDefault="00627ECD">
      <w:pPr>
        <w:jc w:val="both"/>
      </w:pPr>
      <w:r>
        <w:t xml:space="preserve">Les organisations syndicales signataires mandatent la Direction pour notifier le présent procès verbal aux organisations syndicales non signataires. </w:t>
      </w:r>
    </w:p>
    <w:p w14:paraId="3B04DEBF" w14:textId="77777777" w:rsidP="00F95487" w:rsidR="00292A30" w:rsidRDefault="00292A30">
      <w:r>
        <w:br/>
        <w:t>Ce procès verbal donnera lieu à affichage dans les locaux de l’entreprise</w:t>
      </w:r>
      <w:r w:rsidR="00627ECD">
        <w:t>.</w:t>
      </w:r>
    </w:p>
    <w:p w14:paraId="44E20E4B" w14:textId="77777777" w:rsidP="00F95487" w:rsidR="00014579" w:rsidRDefault="00014579"/>
    <w:p w14:paraId="2F4B22F9" w14:textId="77777777" w:rsidP="00F95487" w:rsidR="00C479C3" w:rsidRDefault="00834A3E">
      <w:r>
        <w:t>Fait à RONCQ</w:t>
      </w:r>
      <w:r w:rsidR="00C479C3">
        <w:t xml:space="preserve"> en 1</w:t>
      </w:r>
      <w:r w:rsidR="00DA1877">
        <w:t>0</w:t>
      </w:r>
      <w:r w:rsidR="00C479C3">
        <w:t xml:space="preserve"> exemplaires, </w:t>
      </w:r>
    </w:p>
    <w:p w14:paraId="7089681F" w14:textId="77777777" w:rsidP="00F95487" w:rsidR="008E6236" w:rsidRDefault="008E6236"/>
    <w:p w14:paraId="626C59E8" w14:textId="3D53DFAB" w:rsidP="00F95487" w:rsidR="00C479C3" w:rsidRDefault="00CA1094">
      <w:r>
        <w:t>Le</w:t>
      </w:r>
      <w:r w:rsidR="00E76613">
        <w:t xml:space="preserve"> </w:t>
      </w:r>
      <w:r w:rsidR="00D46842">
        <w:t>31</w:t>
      </w:r>
      <w:r w:rsidR="00E76613">
        <w:t xml:space="preserve"> </w:t>
      </w:r>
      <w:r w:rsidR="007F5233">
        <w:t>janvier</w:t>
      </w:r>
      <w:r w:rsidR="00E76613">
        <w:t xml:space="preserve"> </w:t>
      </w:r>
      <w:r w:rsidR="00D46842">
        <w:t>2022</w:t>
      </w:r>
      <w:r w:rsidR="00E76613">
        <w:t xml:space="preserve"> </w:t>
      </w:r>
    </w:p>
    <w:p w14:paraId="55B879E3" w14:textId="77777777" w:rsidP="00F95487" w:rsidR="0012220C" w:rsidRDefault="0012220C"/>
    <w:p w14:paraId="540CB843" w14:textId="77777777" w:rsidP="00F95487" w:rsidR="00704C44" w:rsidRDefault="00704C44"/>
    <w:p w14:paraId="71C201CE" w14:textId="77777777" w:rsidP="00F95487" w:rsidR="00C479C3" w:rsidRDefault="00C479C3"/>
    <w:p w14:paraId="3ACC2496" w14:textId="77777777" w:rsidP="00F95487" w:rsidR="008E6236" w:rsidRDefault="008E6236" w:rsidRPr="00704C44">
      <w:pPr>
        <w:rPr>
          <w:b/>
          <w:bCs/>
        </w:rPr>
      </w:pPr>
    </w:p>
    <w:p w14:paraId="44A465EF" w14:textId="439C479E" w:rsidP="00704C44" w:rsidR="00265F86" w:rsidRDefault="00C479C3" w:rsidRPr="00704C44">
      <w:pPr>
        <w:ind w:firstLine="708"/>
        <w:rPr>
          <w:b/>
          <w:bCs/>
        </w:rPr>
      </w:pPr>
      <w:r w:rsidRPr="00704C44">
        <w:rPr>
          <w:b/>
          <w:bCs/>
        </w:rPr>
        <w:t>Pour l</w:t>
      </w:r>
      <w:r w:rsidR="00D46842" w:rsidRPr="00704C44">
        <w:rPr>
          <w:b/>
          <w:bCs/>
        </w:rPr>
        <w:t>’</w:t>
      </w:r>
      <w:r w:rsidRPr="00704C44">
        <w:rPr>
          <w:b/>
          <w:bCs/>
        </w:rPr>
        <w:t>organisations syndicales</w:t>
      </w:r>
      <w:r w:rsidR="0012220C" w:rsidRPr="0012220C">
        <w:rPr>
          <w:b/>
          <w:bCs/>
          <w:lang w:val="en-US"/>
        </w:rPr>
        <w:t xml:space="preserve"> </w:t>
      </w:r>
      <w:r w:rsidR="0012220C" w:rsidRPr="00704C44">
        <w:rPr>
          <w:b/>
          <w:bCs/>
          <w:lang w:val="en-US"/>
        </w:rPr>
        <w:t xml:space="preserve">CFDT </w:t>
      </w:r>
      <w:r w:rsidR="0012220C" w:rsidRPr="00704C44">
        <w:rPr>
          <w:b/>
          <w:bCs/>
          <w:sz w:val="16"/>
          <w:szCs w:val="16"/>
          <w:lang w:val="en-US"/>
        </w:rPr>
        <w:tab/>
      </w:r>
      <w:r w:rsidR="00265F86" w:rsidRPr="00704C44">
        <w:rPr>
          <w:b/>
          <w:bCs/>
        </w:rPr>
        <w:tab/>
      </w:r>
      <w:r w:rsidR="00265F86" w:rsidRPr="00704C44">
        <w:rPr>
          <w:b/>
          <w:bCs/>
        </w:rPr>
        <w:tab/>
        <w:t>Pour RIGA,</w:t>
      </w:r>
    </w:p>
    <w:p w14:paraId="71E75AB0" w14:textId="55D96443" w:rsidP="00704C44" w:rsidR="00C479C3" w:rsidRDefault="00D46842" w:rsidRPr="00704C44">
      <w:pPr>
        <w:ind w:firstLine="708"/>
        <w:rPr>
          <w:b/>
          <w:bCs/>
          <w:lang w:val="en-US"/>
        </w:rPr>
      </w:pPr>
      <w:r w:rsidRPr="00704C44">
        <w:rPr>
          <w:b/>
          <w:bCs/>
          <w:lang w:val="en-US"/>
        </w:rPr>
        <w:t>M.</w:t>
      </w:r>
      <w:r w:rsidR="00B331AB">
        <w:rPr>
          <w:b/>
          <w:bCs/>
          <w:lang w:val="en-US"/>
        </w:rPr>
        <w:tab/>
      </w:r>
      <w:r w:rsidR="00B331AB">
        <w:rPr>
          <w:b/>
          <w:bCs/>
          <w:lang w:val="en-US"/>
        </w:rPr>
        <w:tab/>
      </w:r>
      <w:r w:rsidR="00B331AB">
        <w:rPr>
          <w:b/>
          <w:bCs/>
          <w:lang w:val="en-US"/>
        </w:rPr>
        <w:tab/>
      </w:r>
      <w:r w:rsidR="00B331AB">
        <w:rPr>
          <w:b/>
          <w:bCs/>
          <w:lang w:val="en-US"/>
        </w:rPr>
        <w:tab/>
      </w:r>
      <w:r w:rsidR="00C479C3" w:rsidRPr="00704C44">
        <w:rPr>
          <w:b/>
          <w:bCs/>
          <w:lang w:val="en-US"/>
        </w:rPr>
        <w:tab/>
      </w:r>
      <w:r w:rsidR="00CF105A" w:rsidRPr="00704C44">
        <w:rPr>
          <w:b/>
          <w:bCs/>
          <w:lang w:val="en-US"/>
        </w:rPr>
        <w:tab/>
      </w:r>
      <w:r w:rsidR="0012220C">
        <w:rPr>
          <w:b/>
          <w:bCs/>
          <w:lang w:val="en-US"/>
        </w:rPr>
        <w:tab/>
      </w:r>
      <w:r w:rsidR="0012220C">
        <w:rPr>
          <w:b/>
          <w:bCs/>
          <w:lang w:val="en-US"/>
        </w:rPr>
        <w:tab/>
      </w:r>
      <w:r w:rsidRPr="00704C44">
        <w:rPr>
          <w:b/>
          <w:bCs/>
          <w:lang w:val="en-US"/>
        </w:rPr>
        <w:t xml:space="preserve">M. </w:t>
      </w:r>
    </w:p>
    <w:p w14:paraId="538EFC1C" w14:textId="77777777" w:rsidP="00F95487" w:rsidR="00C479C3" w:rsidRDefault="00C479C3" w:rsidRPr="00691278">
      <w:pPr>
        <w:rPr>
          <w:lang w:val="en-GB"/>
        </w:rPr>
      </w:pPr>
      <w:r w:rsidRPr="00E44A97">
        <w:rPr>
          <w:lang w:val="en-US"/>
        </w:rPr>
        <w:tab/>
      </w:r>
      <w:r w:rsidRPr="00E44A97">
        <w:rPr>
          <w:lang w:val="en-US"/>
        </w:rPr>
        <w:tab/>
      </w:r>
      <w:r w:rsidRPr="00E44A97">
        <w:rPr>
          <w:lang w:val="en-US"/>
        </w:rPr>
        <w:tab/>
      </w:r>
      <w:r w:rsidRPr="00E44A97">
        <w:rPr>
          <w:lang w:val="en-US"/>
        </w:rPr>
        <w:tab/>
      </w:r>
      <w:r w:rsidRPr="00E44A97">
        <w:rPr>
          <w:lang w:val="en-US"/>
        </w:rPr>
        <w:tab/>
      </w:r>
      <w:r w:rsidRPr="00E44A97">
        <w:rPr>
          <w:lang w:val="en-US"/>
        </w:rPr>
        <w:tab/>
      </w:r>
      <w:r w:rsidRPr="00E44A97">
        <w:rPr>
          <w:lang w:val="en-US"/>
        </w:rPr>
        <w:tab/>
      </w:r>
      <w:r w:rsidRPr="00E44A97">
        <w:rPr>
          <w:lang w:val="en-US"/>
        </w:rPr>
        <w:tab/>
      </w:r>
      <w:r w:rsidR="00691278">
        <w:rPr>
          <w:lang w:val="en-GB"/>
        </w:rPr>
        <w:t xml:space="preserve"> </w:t>
      </w:r>
    </w:p>
    <w:p w14:paraId="2F6AA6D9" w14:textId="77777777" w:rsidP="00F95487" w:rsidR="00C479C3" w:rsidRDefault="00C479C3" w:rsidRPr="00292A30">
      <w:pPr>
        <w:rPr>
          <w:lang w:val="en-GB"/>
        </w:rPr>
      </w:pPr>
    </w:p>
    <w:sectPr w:rsidR="00C479C3" w:rsidRPr="00292A30">
      <w:headerReference r:id="rId8" w:type="even"/>
      <w:headerReference r:id="rId9" w:type="default"/>
      <w:footerReference r:id="rId10" w:type="even"/>
      <w:footerReference r:id="rId11" w:type="default"/>
      <w:headerReference r:id="rId12" w:type="first"/>
      <w:footerReference r:id="rId13" w:type="firs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7516E" w14:textId="77777777" w:rsidR="00204E3D" w:rsidRDefault="00204E3D">
      <w:r>
        <w:separator/>
      </w:r>
    </w:p>
  </w:endnote>
  <w:endnote w:type="continuationSeparator" w:id="0">
    <w:p w14:paraId="10D33C04" w14:textId="77777777" w:rsidR="00204E3D" w:rsidRDefault="00204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7009C70" w14:textId="77777777" w:rsidP="00313AE8" w:rsidR="00E214DE" w:rsidRDefault="00E214DE">
    <w:pPr>
      <w:pStyle w:val="Pieddepage"/>
      <w:framePr w:hAnchor="margin" w:vAnchor="text" w:wrap="around"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6D7E76B0" w14:textId="77777777" w:rsidR="00E214DE" w:rsidRDefault="00E214DE">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B237536" w14:textId="77777777" w:rsidP="00313AE8" w:rsidR="00E214DE" w:rsidRDefault="00E214DE">
    <w:pPr>
      <w:pStyle w:val="Pieddepage"/>
      <w:framePr w:hAnchor="margin" w:vAnchor="text" w:wrap="around"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DA253C">
      <w:rPr>
        <w:rStyle w:val="Numrodepage"/>
        <w:noProof/>
      </w:rPr>
      <w:t>1</w:t>
    </w:r>
    <w:r>
      <w:rPr>
        <w:rStyle w:val="Numrodepage"/>
      </w:rPr>
      <w:fldChar w:fldCharType="end"/>
    </w:r>
  </w:p>
  <w:p w14:paraId="0A5472AF" w14:textId="77777777" w:rsidR="00E214DE" w:rsidRDefault="00E214DE">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E555954" w14:textId="77777777" w:rsidR="00425E4F" w:rsidRDefault="00425E4F">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58393CF" w14:textId="77777777" w:rsidR="00204E3D" w:rsidRDefault="00204E3D">
      <w:r>
        <w:separator/>
      </w:r>
    </w:p>
  </w:footnote>
  <w:footnote w:id="0" w:type="continuationSeparator">
    <w:p w14:paraId="1ECEA342" w14:textId="77777777" w:rsidR="00204E3D" w:rsidRDefault="00204E3D">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7B7DA02" w14:textId="4AF2D80B" w:rsidR="00425E4F" w:rsidRDefault="00425E4F">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582F136" w14:textId="6157094B" w:rsidR="00425E4F" w:rsidRDefault="00425E4F">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3C10969" w14:textId="254B0B07" w:rsidR="00425E4F" w:rsidRDefault="00425E4F">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7D363EA"/>
    <w:multiLevelType w:val="hybridMultilevel"/>
    <w:tmpl w:val="4AC61F64"/>
    <w:lvl w:ilvl="0" w:tplc="41FEF73C">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0F114091"/>
    <w:multiLevelType w:val="multilevel"/>
    <w:tmpl w:val="7916B818"/>
    <w:lvl w:ilvl="0">
      <w:start w:val="2"/>
      <w:numFmt w:val="decimal"/>
      <w:lvlText w:val="%1."/>
      <w:lvlJc w:val="left"/>
      <w:pPr>
        <w:tabs>
          <w:tab w:pos="375" w:val="num"/>
        </w:tabs>
        <w:ind w:hanging="375" w:left="375"/>
      </w:pPr>
      <w:rPr>
        <w:rFonts w:hint="default"/>
      </w:rPr>
    </w:lvl>
    <w:lvl w:ilvl="1">
      <w:start w:val="2"/>
      <w:numFmt w:val="decimal"/>
      <w:lvlText w:val="%1.%2)"/>
      <w:lvlJc w:val="left"/>
      <w:pPr>
        <w:tabs>
          <w:tab w:pos="720" w:val="num"/>
        </w:tabs>
        <w:ind w:hanging="720" w:left="72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1080" w:val="num"/>
        </w:tabs>
        <w:ind w:hanging="1080" w:left="108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440" w:val="num"/>
        </w:tabs>
        <w:ind w:hanging="1440" w:left="144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800" w:val="num"/>
        </w:tabs>
        <w:ind w:hanging="1800" w:left="180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2">
    <w:nsid w:val="19691048"/>
    <w:multiLevelType w:val="hybridMultilevel"/>
    <w:tmpl w:val="03E4ADF8"/>
    <w:lvl w:ilvl="0" w:tplc="040C0011">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3">
    <w:nsid w:val="24297534"/>
    <w:multiLevelType w:val="multilevel"/>
    <w:tmpl w:val="3460CE24"/>
    <w:lvl w:ilvl="0">
      <w:start w:val="2"/>
      <w:numFmt w:val="decimal"/>
      <w:lvlText w:val="%1."/>
      <w:lvlJc w:val="left"/>
      <w:pPr>
        <w:tabs>
          <w:tab w:pos="375" w:val="num"/>
        </w:tabs>
        <w:ind w:hanging="375" w:left="375"/>
      </w:pPr>
      <w:rPr>
        <w:rFonts w:hint="default"/>
      </w:rPr>
    </w:lvl>
    <w:lvl w:ilvl="1">
      <w:start w:val="5"/>
      <w:numFmt w:val="decimal"/>
      <w:lvlText w:val="%1.%2)"/>
      <w:lvlJc w:val="left"/>
      <w:pPr>
        <w:tabs>
          <w:tab w:pos="720" w:val="num"/>
        </w:tabs>
        <w:ind w:hanging="720" w:left="72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1080" w:val="num"/>
        </w:tabs>
        <w:ind w:hanging="1080" w:left="108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440" w:val="num"/>
        </w:tabs>
        <w:ind w:hanging="1440" w:left="144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800" w:val="num"/>
        </w:tabs>
        <w:ind w:hanging="1800" w:left="180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4">
    <w:nsid w:val="39F66283"/>
    <w:multiLevelType w:val="multilevel"/>
    <w:tmpl w:val="E8C6AA3A"/>
    <w:lvl w:ilvl="0">
      <w:start w:val="2"/>
      <w:numFmt w:val="decimal"/>
      <w:lvlText w:val="%1."/>
      <w:lvlJc w:val="left"/>
      <w:pPr>
        <w:tabs>
          <w:tab w:pos="375" w:val="num"/>
        </w:tabs>
        <w:ind w:hanging="375" w:left="375"/>
      </w:pPr>
      <w:rPr>
        <w:rFonts w:hint="default"/>
      </w:rPr>
    </w:lvl>
    <w:lvl w:ilvl="1">
      <w:start w:val="2"/>
      <w:numFmt w:val="decimal"/>
      <w:lvlText w:val="%1.%2)"/>
      <w:lvlJc w:val="left"/>
      <w:pPr>
        <w:tabs>
          <w:tab w:pos="720" w:val="num"/>
        </w:tabs>
        <w:ind w:hanging="720" w:left="72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1080" w:val="num"/>
        </w:tabs>
        <w:ind w:hanging="1080" w:left="108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440" w:val="num"/>
        </w:tabs>
        <w:ind w:hanging="1440" w:left="144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800" w:val="num"/>
        </w:tabs>
        <w:ind w:hanging="1800" w:left="180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5">
    <w:nsid w:val="70635077"/>
    <w:multiLevelType w:val="multilevel"/>
    <w:tmpl w:val="728E184E"/>
    <w:lvl w:ilvl="0">
      <w:start w:val="2"/>
      <w:numFmt w:val="decimal"/>
      <w:lvlText w:val="%1."/>
      <w:lvlJc w:val="left"/>
      <w:pPr>
        <w:tabs>
          <w:tab w:pos="375" w:val="num"/>
        </w:tabs>
        <w:ind w:hanging="375" w:left="375"/>
      </w:pPr>
      <w:rPr>
        <w:rFonts w:hint="default"/>
      </w:rPr>
    </w:lvl>
    <w:lvl w:ilvl="1">
      <w:start w:val="5"/>
      <w:numFmt w:val="decimal"/>
      <w:lvlText w:val="%1.%2)"/>
      <w:lvlJc w:val="left"/>
      <w:pPr>
        <w:tabs>
          <w:tab w:pos="720" w:val="num"/>
        </w:tabs>
        <w:ind w:hanging="720" w:left="72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1080" w:val="num"/>
        </w:tabs>
        <w:ind w:hanging="1080" w:left="108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440" w:val="num"/>
        </w:tabs>
        <w:ind w:hanging="1440" w:left="144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800" w:val="num"/>
        </w:tabs>
        <w:ind w:hanging="1800" w:left="1800"/>
      </w:pPr>
      <w:rPr>
        <w:rFonts w:hint="default"/>
      </w:rPr>
    </w:lvl>
    <w:lvl w:ilvl="8">
      <w:start w:val="1"/>
      <w:numFmt w:val="decimal"/>
      <w:lvlText w:val="%1.%2)%3.%4.%5.%6.%7.%8.%9."/>
      <w:lvlJc w:val="left"/>
      <w:pPr>
        <w:tabs>
          <w:tab w:pos="1800" w:val="num"/>
        </w:tabs>
        <w:ind w:hanging="1800" w:left="1800"/>
      </w:pPr>
      <w:rPr>
        <w:rFont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characterSpacingControl w:val="doNotCompress"/>
  <w:hdrShapeDefaults>
    <o:shapedefaults spidmax="1331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A1"/>
    <w:rsid w:val="00006B6F"/>
    <w:rsid w:val="00014579"/>
    <w:rsid w:val="00015FC1"/>
    <w:rsid w:val="00032F63"/>
    <w:rsid w:val="00033041"/>
    <w:rsid w:val="0006036F"/>
    <w:rsid w:val="0009601E"/>
    <w:rsid w:val="000C18EF"/>
    <w:rsid w:val="000D52EF"/>
    <w:rsid w:val="000E7834"/>
    <w:rsid w:val="000F2DCA"/>
    <w:rsid w:val="0010051E"/>
    <w:rsid w:val="001150DE"/>
    <w:rsid w:val="0012220C"/>
    <w:rsid w:val="00124E11"/>
    <w:rsid w:val="00126380"/>
    <w:rsid w:val="00171CA8"/>
    <w:rsid w:val="00174949"/>
    <w:rsid w:val="001A4DB1"/>
    <w:rsid w:val="001C5AF6"/>
    <w:rsid w:val="001F45E3"/>
    <w:rsid w:val="00204E3D"/>
    <w:rsid w:val="002106CB"/>
    <w:rsid w:val="00230AEB"/>
    <w:rsid w:val="0025375E"/>
    <w:rsid w:val="00265F86"/>
    <w:rsid w:val="00285F7A"/>
    <w:rsid w:val="00292A30"/>
    <w:rsid w:val="00294879"/>
    <w:rsid w:val="002A612A"/>
    <w:rsid w:val="002B0E22"/>
    <w:rsid w:val="002B1DD4"/>
    <w:rsid w:val="002B661A"/>
    <w:rsid w:val="002D375F"/>
    <w:rsid w:val="002F5BE5"/>
    <w:rsid w:val="003000D4"/>
    <w:rsid w:val="00313AE8"/>
    <w:rsid w:val="003268CF"/>
    <w:rsid w:val="003333FD"/>
    <w:rsid w:val="00394769"/>
    <w:rsid w:val="004011B6"/>
    <w:rsid w:val="00425E1C"/>
    <w:rsid w:val="00425E4F"/>
    <w:rsid w:val="00434A1A"/>
    <w:rsid w:val="004602F0"/>
    <w:rsid w:val="0048096E"/>
    <w:rsid w:val="004A26C4"/>
    <w:rsid w:val="004B37C0"/>
    <w:rsid w:val="004E1F31"/>
    <w:rsid w:val="004E44E1"/>
    <w:rsid w:val="004F1719"/>
    <w:rsid w:val="005478F9"/>
    <w:rsid w:val="00555092"/>
    <w:rsid w:val="005C34BB"/>
    <w:rsid w:val="005C75C5"/>
    <w:rsid w:val="005E07FB"/>
    <w:rsid w:val="005F4705"/>
    <w:rsid w:val="00627ECD"/>
    <w:rsid w:val="00654299"/>
    <w:rsid w:val="00663F09"/>
    <w:rsid w:val="00665C6B"/>
    <w:rsid w:val="00667D07"/>
    <w:rsid w:val="00691278"/>
    <w:rsid w:val="006A54C4"/>
    <w:rsid w:val="006C6909"/>
    <w:rsid w:val="00704C44"/>
    <w:rsid w:val="007360CD"/>
    <w:rsid w:val="00766C44"/>
    <w:rsid w:val="00787C14"/>
    <w:rsid w:val="007E5E4E"/>
    <w:rsid w:val="007F5233"/>
    <w:rsid w:val="007F7635"/>
    <w:rsid w:val="00834A3E"/>
    <w:rsid w:val="00835C52"/>
    <w:rsid w:val="008364F4"/>
    <w:rsid w:val="00845E69"/>
    <w:rsid w:val="008521E6"/>
    <w:rsid w:val="00870FA6"/>
    <w:rsid w:val="008767C7"/>
    <w:rsid w:val="00880B70"/>
    <w:rsid w:val="008846B1"/>
    <w:rsid w:val="00884718"/>
    <w:rsid w:val="008A560A"/>
    <w:rsid w:val="008D2427"/>
    <w:rsid w:val="008E6236"/>
    <w:rsid w:val="008E6CD3"/>
    <w:rsid w:val="008F1422"/>
    <w:rsid w:val="00934B85"/>
    <w:rsid w:val="00936B49"/>
    <w:rsid w:val="00941C81"/>
    <w:rsid w:val="009729AD"/>
    <w:rsid w:val="009A53A0"/>
    <w:rsid w:val="009A7F2D"/>
    <w:rsid w:val="009B3862"/>
    <w:rsid w:val="009F0358"/>
    <w:rsid w:val="00A06F76"/>
    <w:rsid w:val="00A43D5E"/>
    <w:rsid w:val="00A8294C"/>
    <w:rsid w:val="00A933E7"/>
    <w:rsid w:val="00AF5B19"/>
    <w:rsid w:val="00B03006"/>
    <w:rsid w:val="00B10056"/>
    <w:rsid w:val="00B30751"/>
    <w:rsid w:val="00B331AB"/>
    <w:rsid w:val="00B6465E"/>
    <w:rsid w:val="00BC4AD4"/>
    <w:rsid w:val="00BD0FAE"/>
    <w:rsid w:val="00C01FD2"/>
    <w:rsid w:val="00C25C18"/>
    <w:rsid w:val="00C46402"/>
    <w:rsid w:val="00C479C3"/>
    <w:rsid w:val="00CA1094"/>
    <w:rsid w:val="00CE67CA"/>
    <w:rsid w:val="00CF105A"/>
    <w:rsid w:val="00D231B1"/>
    <w:rsid w:val="00D46842"/>
    <w:rsid w:val="00D657AE"/>
    <w:rsid w:val="00D74898"/>
    <w:rsid w:val="00D82B67"/>
    <w:rsid w:val="00DA1877"/>
    <w:rsid w:val="00DA253C"/>
    <w:rsid w:val="00DD4BE5"/>
    <w:rsid w:val="00DF3921"/>
    <w:rsid w:val="00E01470"/>
    <w:rsid w:val="00E02573"/>
    <w:rsid w:val="00E1347A"/>
    <w:rsid w:val="00E214DE"/>
    <w:rsid w:val="00E24B2B"/>
    <w:rsid w:val="00E25526"/>
    <w:rsid w:val="00E3322A"/>
    <w:rsid w:val="00E44A97"/>
    <w:rsid w:val="00E551A1"/>
    <w:rsid w:val="00E76613"/>
    <w:rsid w:val="00EB7676"/>
    <w:rsid w:val="00EC7C00"/>
    <w:rsid w:val="00ED0D18"/>
    <w:rsid w:val="00F31485"/>
    <w:rsid w:val="00F95487"/>
    <w:rsid w:val="00FA5D28"/>
    <w:rsid w:val="00FB592E"/>
    <w:rsid w:val="00FC7409"/>
    <w:rsid w:val="00FD47D4"/>
    <w:rsid w:val="00FE0C48"/>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3313" v:ext="edit"/>
    <o:shapelayout v:ext="edit">
      <o:idmap data="1" v:ext="edit"/>
    </o:shapelayout>
  </w:shapeDefaults>
  <w:decimalSymbol w:val=","/>
  <w:listSeparator w:val=";"/>
  <w14:docId w14:val="6C7D2979"/>
  <w15:docId w15:val="{550D5062-DDFC-4C01-91E5-D836BF8A4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rsid w:val="00FD47D4"/>
    <w:pPr>
      <w:tabs>
        <w:tab w:pos="4536" w:val="center"/>
        <w:tab w:pos="9072" w:val="right"/>
      </w:tabs>
    </w:pPr>
  </w:style>
  <w:style w:styleId="Numrodepage" w:type="character">
    <w:name w:val="page number"/>
    <w:basedOn w:val="Policepardfaut"/>
    <w:rsid w:val="00FD47D4"/>
  </w:style>
  <w:style w:styleId="Textedebulles" w:type="paragraph">
    <w:name w:val="Balloon Text"/>
    <w:basedOn w:val="Normal"/>
    <w:semiHidden/>
    <w:rsid w:val="00936B49"/>
    <w:rPr>
      <w:rFonts w:ascii="Tahoma" w:cs="Tahoma" w:hAnsi="Tahoma"/>
      <w:sz w:val="16"/>
      <w:szCs w:val="16"/>
    </w:rPr>
  </w:style>
  <w:style w:styleId="Paragraphedeliste" w:type="paragraph">
    <w:name w:val="List Paragraph"/>
    <w:basedOn w:val="Normal"/>
    <w:uiPriority w:val="34"/>
    <w:qFormat/>
    <w:rsid w:val="002B661A"/>
    <w:pPr>
      <w:ind w:left="708"/>
    </w:pPr>
  </w:style>
  <w:style w:styleId="En-tte" w:type="paragraph">
    <w:name w:val="header"/>
    <w:basedOn w:val="Normal"/>
    <w:link w:val="En-tteCar"/>
    <w:rsid w:val="001F45E3"/>
    <w:pPr>
      <w:tabs>
        <w:tab w:pos="4536" w:val="center"/>
        <w:tab w:pos="9072" w:val="right"/>
      </w:tabs>
    </w:pPr>
  </w:style>
  <w:style w:customStyle="1" w:styleId="En-tteCar" w:type="character">
    <w:name w:val="En-tête Car"/>
    <w:link w:val="En-tte"/>
    <w:rsid w:val="001F45E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20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B8199-FF45-4EF1-B524-FDB9BB0FB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704</Words>
  <Characters>3640</Characters>
  <Application>Microsoft Office Word</Application>
  <DocSecurity>0</DocSecurity>
  <Lines>30</Lines>
  <Paragraphs>8</Paragraphs>
  <ScaleCrop>false</ScaleCrop>
  <HeadingPairs>
    <vt:vector baseType="variant" size="2">
      <vt:variant>
        <vt:lpstr>Titre</vt:lpstr>
      </vt:variant>
      <vt:variant>
        <vt:i4>1</vt:i4>
      </vt:variant>
    </vt:vector>
  </HeadingPairs>
  <TitlesOfParts>
    <vt:vector baseType="lpstr" size="1">
      <vt:lpstr>ACCORD D’ENTREPRISE</vt:lpstr>
    </vt:vector>
  </TitlesOfParts>
  <Company>RIGA</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2022-02-02T14:32:00Z</dcterms:created>
  <cp:lastPrinted>2022-02-02T09:00:00Z</cp:lastPrinted>
  <dcterms:modified xsi:type="dcterms:W3CDTF">2022-02-02T14:32:00Z</dcterms:modified>
  <cp:revision>2</cp:revision>
  <dc:title>ACCORD D’ENTREPRISE</dc:title>
</cp:coreProperties>
</file>