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customXmlProperties+xml" PartName="/customXml/itemProps5.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506261E0" w14:textId="77777777" w:rsidP="00C90708" w:rsidR="00C90708" w:rsidRDefault="00B52152" w:rsidRPr="00E2675B">
      <w:pPr>
        <w:pStyle w:val="texte"/>
        <w:jc w:val="center"/>
        <w:rPr>
          <w:rFonts w:ascii="Tahoma" w:cs="Tahoma" w:hAnsi="Tahoma"/>
          <w:b/>
          <w:sz w:val="20"/>
        </w:rPr>
      </w:pPr>
      <w:r w:rsidRPr="00E2675B">
        <w:rPr>
          <w:rFonts w:ascii="Tahoma" w:cs="Tahoma" w:hAnsi="Tahoma"/>
          <w:b/>
          <w:sz w:val="20"/>
        </w:rPr>
        <w:t>ACCORD RELATIF AUX THEMES</w:t>
      </w:r>
    </w:p>
    <w:p w14:paraId="6951A30B" w14:textId="77777777" w:rsidP="00C90708" w:rsidR="00C90708" w:rsidRDefault="00B52152" w:rsidRPr="00E2675B">
      <w:pPr>
        <w:pStyle w:val="texte"/>
        <w:jc w:val="center"/>
        <w:rPr>
          <w:rFonts w:ascii="Tahoma" w:cs="Tahoma" w:hAnsi="Tahoma"/>
          <w:b/>
          <w:sz w:val="20"/>
        </w:rPr>
      </w:pPr>
      <w:r w:rsidRPr="00E2675B">
        <w:rPr>
          <w:rFonts w:ascii="Tahoma" w:cs="Tahoma" w:hAnsi="Tahoma"/>
          <w:b/>
          <w:sz w:val="20"/>
        </w:rPr>
        <w:t>DE LA NEGOCIATION ANNUELLE OBLIGATOIRE</w:t>
      </w:r>
    </w:p>
    <w:p w14:paraId="32EC1ACB" w14:textId="77777777" w:rsidP="00C90708" w:rsidR="00D46F85" w:rsidRDefault="00E636CC">
      <w:pPr>
        <w:pStyle w:val="texte"/>
        <w:jc w:val="center"/>
        <w:rPr>
          <w:rFonts w:ascii="Tahoma" w:cs="Tahoma" w:hAnsi="Tahoma"/>
          <w:b/>
          <w:sz w:val="20"/>
        </w:rPr>
      </w:pPr>
      <w:r w:rsidRPr="00E2675B">
        <w:rPr>
          <w:rFonts w:ascii="Tahoma" w:cs="Tahoma" w:hAnsi="Tahoma"/>
          <w:b/>
          <w:sz w:val="20"/>
        </w:rPr>
        <w:t>POUR L’EXERCICE 20</w:t>
      </w:r>
      <w:r w:rsidR="004E00C9" w:rsidRPr="00E2675B">
        <w:rPr>
          <w:rFonts w:ascii="Tahoma" w:cs="Tahoma" w:hAnsi="Tahoma"/>
          <w:b/>
          <w:sz w:val="20"/>
        </w:rPr>
        <w:t>2</w:t>
      </w:r>
      <w:r w:rsidR="004B271E" w:rsidRPr="00E2675B">
        <w:rPr>
          <w:rFonts w:ascii="Tahoma" w:cs="Tahoma" w:hAnsi="Tahoma"/>
          <w:b/>
          <w:sz w:val="20"/>
        </w:rPr>
        <w:t>2</w:t>
      </w:r>
      <w:r w:rsidR="00D46F85">
        <w:rPr>
          <w:rFonts w:ascii="Tahoma" w:cs="Tahoma" w:hAnsi="Tahoma"/>
          <w:b/>
          <w:sz w:val="20"/>
        </w:rPr>
        <w:t xml:space="preserve"> </w:t>
      </w:r>
    </w:p>
    <w:p w14:paraId="2B30B09A" w14:textId="77777777" w:rsidP="00A83E3A" w:rsidR="00A83E3A" w:rsidRDefault="00A83E3A" w:rsidRPr="00E2675B">
      <w:pPr>
        <w:pStyle w:val="texte"/>
        <w:rPr>
          <w:rFonts w:ascii="Tahoma" w:cs="Tahoma" w:hAnsi="Tahoma"/>
          <w:sz w:val="20"/>
        </w:rPr>
      </w:pPr>
    </w:p>
    <w:p w14:paraId="05F3DEB0" w14:textId="77777777" w:rsidP="00A83E3A" w:rsidR="00F349FA" w:rsidRDefault="00F349FA" w:rsidRPr="00E2675B">
      <w:pPr>
        <w:pStyle w:val="texte"/>
        <w:rPr>
          <w:rFonts w:ascii="Tahoma" w:cs="Tahoma" w:hAnsi="Tahoma"/>
          <w:sz w:val="20"/>
        </w:rPr>
      </w:pPr>
    </w:p>
    <w:p w14:paraId="77B2B823" w14:textId="77777777" w:rsidP="00A83E3A" w:rsidR="001E3A5E" w:rsidRDefault="001E3A5E" w:rsidRPr="00E2675B">
      <w:pPr>
        <w:pStyle w:val="texte"/>
        <w:rPr>
          <w:rFonts w:ascii="Tahoma" w:cs="Tahoma" w:hAnsi="Tahoma"/>
          <w:sz w:val="20"/>
        </w:rPr>
      </w:pPr>
    </w:p>
    <w:p w14:paraId="1E4F0B61" w14:textId="77777777" w:rsidP="00A83E3A" w:rsidR="00F349FA" w:rsidRDefault="00F349FA" w:rsidRPr="00E2675B">
      <w:pPr>
        <w:pStyle w:val="texte"/>
        <w:rPr>
          <w:rFonts w:ascii="Tahoma" w:cs="Tahoma" w:hAnsi="Tahoma"/>
          <w:sz w:val="20"/>
        </w:rPr>
      </w:pPr>
    </w:p>
    <w:p w14:paraId="59745B08" w14:textId="77777777" w:rsidP="00A83E3A" w:rsidR="00A83E3A" w:rsidRDefault="00A83E3A" w:rsidRPr="00E2675B">
      <w:pPr>
        <w:pStyle w:val="texte"/>
        <w:rPr>
          <w:rFonts w:ascii="Tahoma" w:cs="Tahoma" w:hAnsi="Tahoma"/>
          <w:sz w:val="20"/>
        </w:rPr>
      </w:pPr>
      <w:r w:rsidRPr="00E2675B">
        <w:rPr>
          <w:rFonts w:ascii="Tahoma" w:cs="Tahoma" w:hAnsi="Tahoma"/>
          <w:b/>
          <w:bCs/>
          <w:sz w:val="20"/>
        </w:rPr>
        <w:t>Entre</w:t>
      </w:r>
      <w:r w:rsidRPr="00E2675B">
        <w:rPr>
          <w:rFonts w:ascii="Tahoma" w:cs="Tahoma" w:hAnsi="Tahoma"/>
          <w:sz w:val="20"/>
        </w:rPr>
        <w:t xml:space="preserve"> :</w:t>
      </w:r>
    </w:p>
    <w:p w14:paraId="5FD53718" w14:textId="23A725B1" w:rsidP="0056630C" w:rsidR="00A83E3A" w:rsidRDefault="002B0DDB" w:rsidRPr="00E2675B">
      <w:pPr>
        <w:pStyle w:val="texte"/>
        <w:spacing w:before="120"/>
        <w:rPr>
          <w:rFonts w:ascii="Tahoma" w:cs="Tahoma" w:hAnsi="Tahoma"/>
          <w:sz w:val="20"/>
        </w:rPr>
      </w:pPr>
      <w:r w:rsidRPr="00E2675B">
        <w:rPr>
          <w:rFonts w:ascii="Tahoma" w:cs="Tahoma" w:hAnsi="Tahoma"/>
          <w:sz w:val="20"/>
        </w:rPr>
        <w:t>La société INEO</w:t>
      </w:r>
      <w:r w:rsidR="00AA30E9">
        <w:rPr>
          <w:rFonts w:ascii="Tahoma" w:cs="Tahoma" w:hAnsi="Tahoma"/>
          <w:sz w:val="20"/>
        </w:rPr>
        <w:t xml:space="preserve"> Hauts-de-France</w:t>
      </w:r>
      <w:r w:rsidRPr="00E2675B">
        <w:rPr>
          <w:rFonts w:ascii="Tahoma" w:cs="Tahoma" w:hAnsi="Tahoma"/>
          <w:sz w:val="20"/>
        </w:rPr>
        <w:t xml:space="preserve">, au capital de </w:t>
      </w:r>
      <w:r w:rsidR="00AA30E9">
        <w:rPr>
          <w:rFonts w:ascii="Tahoma" w:cs="Tahoma" w:hAnsi="Tahoma"/>
          <w:sz w:val="20"/>
        </w:rPr>
        <w:t>12 298 625</w:t>
      </w:r>
      <w:r w:rsidRPr="00E2675B">
        <w:rPr>
          <w:rFonts w:ascii="Tahoma" w:cs="Tahoma" w:hAnsi="Tahoma"/>
          <w:sz w:val="20"/>
        </w:rPr>
        <w:t xml:space="preserve"> EUROS, immatriculée au RCS de </w:t>
      </w:r>
      <w:r w:rsidR="00AA30E9">
        <w:rPr>
          <w:rFonts w:ascii="Tahoma" w:cs="Tahoma" w:hAnsi="Tahoma"/>
          <w:sz w:val="20"/>
        </w:rPr>
        <w:t xml:space="preserve">Lille </w:t>
      </w:r>
      <w:r w:rsidRPr="00E2675B">
        <w:rPr>
          <w:rFonts w:ascii="Tahoma" w:cs="Tahoma" w:hAnsi="Tahoma"/>
          <w:sz w:val="20"/>
        </w:rPr>
        <w:t xml:space="preserve"> sous le numéro </w:t>
      </w:r>
      <w:r w:rsidR="00AA30E9">
        <w:rPr>
          <w:rFonts w:ascii="Tahoma" w:cs="Tahoma" w:hAnsi="Tahoma"/>
          <w:sz w:val="20"/>
        </w:rPr>
        <w:t>383 870 797</w:t>
      </w:r>
      <w:r w:rsidRPr="00E2675B">
        <w:rPr>
          <w:rFonts w:ascii="Tahoma" w:cs="Tahoma" w:hAnsi="Tahoma"/>
          <w:sz w:val="20"/>
        </w:rPr>
        <w:t xml:space="preserve">, dont le siège social est situé </w:t>
      </w:r>
      <w:r w:rsidR="00AA30E9">
        <w:rPr>
          <w:rFonts w:ascii="Tahoma" w:cs="Tahoma" w:hAnsi="Tahoma"/>
          <w:sz w:val="20"/>
        </w:rPr>
        <w:t>Rue Augustin Lhermitte, ZI A de Seclin – 59139 NOYELLES-LES-SECLIN</w:t>
      </w:r>
      <w:r w:rsidRPr="00E2675B">
        <w:rPr>
          <w:rFonts w:ascii="Tahoma" w:cs="Tahoma" w:hAnsi="Tahoma"/>
          <w:sz w:val="20"/>
        </w:rPr>
        <w:t>, représentée par</w:t>
      </w:r>
      <w:r w:rsidR="00D350D4">
        <w:rPr>
          <w:rFonts w:ascii="Tahoma" w:cs="Tahoma" w:hAnsi="Tahoma"/>
          <w:sz w:val="20"/>
        </w:rPr>
        <w:t xml:space="preserve"> le</w:t>
      </w:r>
      <w:r w:rsidRPr="00E2675B">
        <w:rPr>
          <w:rFonts w:ascii="Tahoma" w:cs="Tahoma" w:hAnsi="Tahoma"/>
          <w:sz w:val="20"/>
        </w:rPr>
        <w:t xml:space="preserve"> Directeur </w:t>
      </w:r>
      <w:r w:rsidR="00AA30E9">
        <w:rPr>
          <w:rFonts w:ascii="Tahoma" w:cs="Tahoma" w:hAnsi="Tahoma"/>
          <w:sz w:val="20"/>
        </w:rPr>
        <w:t>Délégué</w:t>
      </w:r>
      <w:r w:rsidRPr="00E2675B">
        <w:rPr>
          <w:rFonts w:ascii="Tahoma" w:cs="Tahoma" w:hAnsi="Tahoma"/>
          <w:sz w:val="20"/>
        </w:rPr>
        <w:t>, dûment habilité aux fins des présentes</w:t>
      </w:r>
      <w:r w:rsidR="003A3E6D" w:rsidRPr="00E2675B">
        <w:rPr>
          <w:rFonts w:ascii="Tahoma" w:cs="Tahoma" w:hAnsi="Tahoma"/>
          <w:sz w:val="20"/>
        </w:rPr>
        <w:t>,</w:t>
      </w:r>
    </w:p>
    <w:p w14:paraId="11AF70DC" w14:textId="77777777" w:rsidP="00A83E3A" w:rsidR="00A83E3A" w:rsidRDefault="00A83E3A" w:rsidRPr="00E2675B">
      <w:pPr>
        <w:pStyle w:val="texte"/>
        <w:rPr>
          <w:rFonts w:ascii="Tahoma" w:cs="Tahoma" w:hAnsi="Tahoma"/>
          <w:sz w:val="20"/>
        </w:rPr>
      </w:pPr>
    </w:p>
    <w:p w14:paraId="128952EF" w14:textId="77777777" w:rsidP="00A83E3A" w:rsidR="00A83E3A" w:rsidRDefault="00A83E3A" w:rsidRPr="00E2675B">
      <w:pPr>
        <w:pStyle w:val="texte"/>
        <w:jc w:val="right"/>
        <w:rPr>
          <w:rFonts w:ascii="Tahoma" w:cs="Tahoma" w:hAnsi="Tahoma"/>
          <w:b/>
          <w:bCs/>
          <w:sz w:val="20"/>
        </w:rPr>
      </w:pPr>
      <w:r w:rsidRPr="00E2675B">
        <w:rPr>
          <w:rFonts w:ascii="Tahoma" w:cs="Tahoma" w:hAnsi="Tahoma"/>
          <w:b/>
          <w:bCs/>
          <w:sz w:val="20"/>
        </w:rPr>
        <w:t>D'une part</w:t>
      </w:r>
    </w:p>
    <w:p w14:paraId="393F5857" w14:textId="77777777" w:rsidP="00A83E3A" w:rsidR="00A83E3A" w:rsidRDefault="00A83E3A" w:rsidRPr="00E2675B">
      <w:pPr>
        <w:pStyle w:val="texte"/>
        <w:rPr>
          <w:rFonts w:ascii="Tahoma" w:cs="Tahoma" w:hAnsi="Tahoma"/>
          <w:sz w:val="20"/>
        </w:rPr>
      </w:pPr>
    </w:p>
    <w:p w14:paraId="4E2CE050" w14:textId="77777777" w:rsidP="00A83E3A" w:rsidR="001E3A5E" w:rsidRDefault="001E3A5E" w:rsidRPr="00E2675B">
      <w:pPr>
        <w:pStyle w:val="texte"/>
        <w:rPr>
          <w:rFonts w:ascii="Tahoma" w:cs="Tahoma" w:hAnsi="Tahoma"/>
          <w:sz w:val="20"/>
        </w:rPr>
      </w:pPr>
    </w:p>
    <w:p w14:paraId="2AA64DAE" w14:textId="77777777" w:rsidP="00A83E3A" w:rsidR="00A83E3A" w:rsidRDefault="00A83E3A" w:rsidRPr="00E2675B">
      <w:pPr>
        <w:pStyle w:val="texte"/>
        <w:rPr>
          <w:rFonts w:ascii="Tahoma" w:cs="Tahoma" w:hAnsi="Tahoma"/>
          <w:sz w:val="20"/>
        </w:rPr>
      </w:pPr>
      <w:r w:rsidRPr="00E2675B">
        <w:rPr>
          <w:rFonts w:ascii="Tahoma" w:cs="Tahoma" w:hAnsi="Tahoma"/>
          <w:b/>
          <w:bCs/>
          <w:sz w:val="20"/>
        </w:rPr>
        <w:t>Et</w:t>
      </w:r>
    </w:p>
    <w:p w14:paraId="48FEE646" w14:textId="5E5DB4BE" w:rsidP="002B0DDB" w:rsidR="002B0DDB" w:rsidRDefault="002B0DDB" w:rsidRPr="00E2675B">
      <w:pPr>
        <w:pStyle w:val="texte"/>
        <w:spacing w:before="120"/>
        <w:rPr>
          <w:rFonts w:ascii="Tahoma" w:cs="Tahoma" w:hAnsi="Tahoma"/>
          <w:sz w:val="20"/>
        </w:rPr>
      </w:pPr>
      <w:r w:rsidRPr="00E2675B">
        <w:rPr>
          <w:rFonts w:ascii="Tahoma" w:cs="Tahoma" w:hAnsi="Tahoma"/>
          <w:sz w:val="20"/>
        </w:rPr>
        <w:t>L'organisation syndicale C.F.D.T., représentée par ses délégués syndicaux,</w:t>
      </w:r>
    </w:p>
    <w:p w14:paraId="6C157CD2" w14:textId="3B3F1B13" w:rsidP="00917C2B" w:rsidR="00917C2B" w:rsidRDefault="00917C2B" w:rsidRPr="00E2675B">
      <w:pPr>
        <w:pStyle w:val="texte"/>
        <w:spacing w:before="120"/>
        <w:rPr>
          <w:rFonts w:ascii="Tahoma" w:cs="Tahoma" w:hAnsi="Tahoma"/>
          <w:sz w:val="20"/>
        </w:rPr>
      </w:pPr>
      <w:r w:rsidRPr="00E2675B">
        <w:rPr>
          <w:rFonts w:ascii="Tahoma" w:cs="Tahoma" w:hAnsi="Tahoma"/>
          <w:sz w:val="20"/>
        </w:rPr>
        <w:t xml:space="preserve">L'organisation syndicale C.F.T.C., représentée par </w:t>
      </w:r>
      <w:r w:rsidR="00F33B41">
        <w:rPr>
          <w:rFonts w:ascii="Tahoma" w:cs="Tahoma" w:hAnsi="Tahoma"/>
          <w:sz w:val="20"/>
        </w:rPr>
        <w:t>son</w:t>
      </w:r>
      <w:r w:rsidRPr="00E2675B">
        <w:rPr>
          <w:rFonts w:ascii="Tahoma" w:cs="Tahoma" w:hAnsi="Tahoma"/>
          <w:sz w:val="20"/>
        </w:rPr>
        <w:t xml:space="preserve"> délégué syndica</w:t>
      </w:r>
      <w:r w:rsidR="00F33B41">
        <w:rPr>
          <w:rFonts w:ascii="Tahoma" w:cs="Tahoma" w:hAnsi="Tahoma"/>
          <w:sz w:val="20"/>
        </w:rPr>
        <w:t>l</w:t>
      </w:r>
      <w:r w:rsidRPr="00E2675B">
        <w:rPr>
          <w:rFonts w:ascii="Tahoma" w:cs="Tahoma" w:hAnsi="Tahoma"/>
          <w:sz w:val="20"/>
        </w:rPr>
        <w:t>,</w:t>
      </w:r>
    </w:p>
    <w:p w14:paraId="297DD277" w14:textId="7EFE7959" w:rsidP="002B0DDB" w:rsidR="002B0DDB" w:rsidRDefault="002B0DDB" w:rsidRPr="00E2675B">
      <w:pPr>
        <w:pStyle w:val="texte"/>
        <w:spacing w:before="120"/>
        <w:rPr>
          <w:rFonts w:ascii="Tahoma" w:cs="Tahoma" w:hAnsi="Tahoma"/>
          <w:sz w:val="20"/>
        </w:rPr>
      </w:pPr>
      <w:r w:rsidRPr="00E2675B">
        <w:rPr>
          <w:rFonts w:ascii="Tahoma" w:cs="Tahoma" w:hAnsi="Tahoma"/>
          <w:sz w:val="20"/>
        </w:rPr>
        <w:t xml:space="preserve">L'organisation syndicale C.G.T., représentée par </w:t>
      </w:r>
      <w:r w:rsidR="00F33B41">
        <w:rPr>
          <w:rFonts w:ascii="Tahoma" w:cs="Tahoma" w:hAnsi="Tahoma"/>
          <w:sz w:val="20"/>
        </w:rPr>
        <w:t>son</w:t>
      </w:r>
      <w:r w:rsidRPr="00E2675B">
        <w:rPr>
          <w:rFonts w:ascii="Tahoma" w:cs="Tahoma" w:hAnsi="Tahoma"/>
          <w:sz w:val="20"/>
        </w:rPr>
        <w:t xml:space="preserve"> délégué syndica</w:t>
      </w:r>
      <w:r w:rsidR="00F33B41">
        <w:rPr>
          <w:rFonts w:ascii="Tahoma" w:cs="Tahoma" w:hAnsi="Tahoma"/>
          <w:sz w:val="20"/>
        </w:rPr>
        <w:t>l</w:t>
      </w:r>
      <w:r w:rsidRPr="00E2675B">
        <w:rPr>
          <w:rFonts w:ascii="Tahoma" w:cs="Tahoma" w:hAnsi="Tahoma"/>
          <w:sz w:val="20"/>
        </w:rPr>
        <w:t>,</w:t>
      </w:r>
    </w:p>
    <w:p w14:paraId="5AFFE06B" w14:textId="77777777" w:rsidP="00A83E3A" w:rsidR="00A83E3A" w:rsidRDefault="00A83E3A" w:rsidRPr="00E2675B">
      <w:pPr>
        <w:pStyle w:val="texte"/>
        <w:rPr>
          <w:rFonts w:ascii="Tahoma" w:cs="Tahoma" w:hAnsi="Tahoma"/>
          <w:sz w:val="20"/>
        </w:rPr>
      </w:pPr>
    </w:p>
    <w:p w14:paraId="255143C3" w14:textId="77777777" w:rsidP="00A83E3A" w:rsidR="00A83E3A" w:rsidRDefault="00A83E3A" w:rsidRPr="00E2675B">
      <w:pPr>
        <w:pStyle w:val="texte"/>
        <w:jc w:val="right"/>
        <w:rPr>
          <w:rFonts w:ascii="Tahoma" w:cs="Tahoma" w:hAnsi="Tahoma"/>
          <w:b/>
          <w:bCs/>
          <w:sz w:val="20"/>
        </w:rPr>
      </w:pPr>
      <w:r w:rsidRPr="00E2675B">
        <w:rPr>
          <w:rFonts w:ascii="Tahoma" w:cs="Tahoma" w:hAnsi="Tahoma"/>
          <w:b/>
          <w:bCs/>
          <w:sz w:val="20"/>
        </w:rPr>
        <w:t>D'autre part</w:t>
      </w:r>
    </w:p>
    <w:p w14:paraId="39A14FFB" w14:textId="77777777" w:rsidP="0056630C" w:rsidR="00A83E3A" w:rsidRDefault="00A83E3A" w:rsidRPr="00E2675B">
      <w:pPr>
        <w:pStyle w:val="texte"/>
        <w:spacing w:before="120"/>
        <w:rPr>
          <w:rFonts w:ascii="Tahoma" w:cs="Tahoma" w:hAnsi="Tahoma"/>
          <w:sz w:val="20"/>
        </w:rPr>
      </w:pPr>
      <w:r w:rsidRPr="00E2675B">
        <w:rPr>
          <w:rFonts w:ascii="Tahoma" w:cs="Tahoma" w:hAnsi="Tahoma"/>
          <w:sz w:val="20"/>
        </w:rPr>
        <w:t>Il</w:t>
      </w:r>
      <w:r w:rsidR="002F7000" w:rsidRPr="00E2675B">
        <w:rPr>
          <w:rFonts w:ascii="Tahoma" w:cs="Tahoma" w:hAnsi="Tahoma"/>
          <w:sz w:val="20"/>
        </w:rPr>
        <w:t xml:space="preserve"> a été conclu le présent accord.</w:t>
      </w:r>
    </w:p>
    <w:p w14:paraId="7C86163D" w14:textId="77777777" w:rsidP="00A83E3A" w:rsidR="00A83E3A" w:rsidRDefault="00A83E3A" w:rsidRPr="00E2675B">
      <w:pPr>
        <w:pStyle w:val="texte"/>
        <w:rPr>
          <w:rFonts w:ascii="Tahoma" w:cs="Tahoma" w:hAnsi="Tahoma"/>
          <w:sz w:val="20"/>
        </w:rPr>
      </w:pPr>
    </w:p>
    <w:p w14:paraId="3F101BFE" w14:textId="77777777" w:rsidP="00A83E3A" w:rsidR="00CE5658" w:rsidRDefault="00CE5658" w:rsidRPr="00E2675B">
      <w:pPr>
        <w:pStyle w:val="texte"/>
        <w:rPr>
          <w:rFonts w:ascii="Tahoma" w:cs="Tahoma" w:hAnsi="Tahoma"/>
          <w:sz w:val="20"/>
        </w:rPr>
      </w:pPr>
    </w:p>
    <w:p w14:paraId="680EC699" w14:textId="77777777" w:rsidP="0056630C" w:rsidR="00CE5658" w:rsidRDefault="00CE5658" w:rsidRPr="00E2675B">
      <w:pPr>
        <w:spacing w:before="120"/>
        <w:rPr>
          <w:rFonts w:ascii="Tahoma" w:cs="Tahoma" w:hAnsi="Tahoma"/>
          <w:b/>
          <w:sz w:val="20"/>
          <w:szCs w:val="20"/>
        </w:rPr>
      </w:pPr>
      <w:r w:rsidRPr="00E2675B">
        <w:rPr>
          <w:rFonts w:ascii="Tahoma" w:cs="Tahoma" w:hAnsi="Tahoma"/>
          <w:b/>
          <w:sz w:val="20"/>
          <w:szCs w:val="20"/>
        </w:rPr>
        <w:t>PREAMBULE</w:t>
      </w:r>
    </w:p>
    <w:p w14:paraId="19E5C7EE" w14:textId="48401BC6" w:rsidP="002B0DDB" w:rsidR="002B0DDB" w:rsidRDefault="00CE5658" w:rsidRPr="00E2675B">
      <w:pPr>
        <w:pStyle w:val="texte"/>
        <w:spacing w:before="120"/>
        <w:rPr>
          <w:rFonts w:ascii="Tahoma" w:cs="Tahoma" w:hAnsi="Tahoma"/>
          <w:sz w:val="20"/>
        </w:rPr>
      </w:pPr>
      <w:r w:rsidRPr="00E2675B">
        <w:rPr>
          <w:rFonts w:ascii="Tahoma" w:cs="Tahoma" w:hAnsi="Tahoma"/>
          <w:sz w:val="20"/>
        </w:rPr>
        <w:t xml:space="preserve">Conformément </w:t>
      </w:r>
      <w:r w:rsidR="002B0DDB" w:rsidRPr="00E2675B">
        <w:rPr>
          <w:rFonts w:ascii="Tahoma" w:cs="Tahoma" w:hAnsi="Tahoma"/>
          <w:sz w:val="20"/>
        </w:rPr>
        <w:t>aux articles L. 2242-1 à L.</w:t>
      </w:r>
      <w:r w:rsidR="00412821" w:rsidRPr="00E2675B">
        <w:rPr>
          <w:rFonts w:ascii="Tahoma" w:cs="Tahoma" w:hAnsi="Tahoma"/>
          <w:sz w:val="20"/>
        </w:rPr>
        <w:t xml:space="preserve"> </w:t>
      </w:r>
      <w:r w:rsidR="002B0DDB" w:rsidRPr="00E2675B">
        <w:rPr>
          <w:rFonts w:ascii="Tahoma" w:cs="Tahoma" w:hAnsi="Tahoma"/>
          <w:sz w:val="20"/>
        </w:rPr>
        <w:t>2242-14 du Code du travail</w:t>
      </w:r>
      <w:r w:rsidRPr="00E2675B">
        <w:rPr>
          <w:rFonts w:ascii="Tahoma" w:cs="Tahoma" w:hAnsi="Tahoma"/>
          <w:sz w:val="20"/>
        </w:rPr>
        <w:t xml:space="preserve">, la Direction et les Organisations Syndicales formées en délégation </w:t>
      </w:r>
      <w:r w:rsidR="004C61F2" w:rsidRPr="00E2675B">
        <w:rPr>
          <w:rFonts w:ascii="Tahoma" w:cs="Tahoma" w:hAnsi="Tahoma"/>
          <w:sz w:val="20"/>
        </w:rPr>
        <w:t xml:space="preserve">se sont réunies </w:t>
      </w:r>
      <w:r w:rsidR="002B0DDB" w:rsidRPr="00E2675B">
        <w:rPr>
          <w:rFonts w:ascii="Tahoma" w:cs="Tahoma" w:hAnsi="Tahoma"/>
          <w:sz w:val="20"/>
        </w:rPr>
        <w:t xml:space="preserve">successivement les </w:t>
      </w:r>
      <w:r w:rsidR="00445713">
        <w:rPr>
          <w:rFonts w:ascii="Tahoma" w:cs="Tahoma" w:hAnsi="Tahoma"/>
          <w:sz w:val="20"/>
        </w:rPr>
        <w:t>6 décembre</w:t>
      </w:r>
      <w:r w:rsidR="005E42FE" w:rsidRPr="00E2675B">
        <w:rPr>
          <w:rFonts w:ascii="Tahoma" w:cs="Tahoma" w:hAnsi="Tahoma"/>
          <w:sz w:val="20"/>
        </w:rPr>
        <w:t xml:space="preserve"> 202</w:t>
      </w:r>
      <w:r w:rsidR="000D0360" w:rsidRPr="00E2675B">
        <w:rPr>
          <w:rFonts w:ascii="Tahoma" w:cs="Tahoma" w:hAnsi="Tahoma"/>
          <w:sz w:val="20"/>
        </w:rPr>
        <w:t>1</w:t>
      </w:r>
      <w:r w:rsidR="00445713">
        <w:rPr>
          <w:rFonts w:ascii="Tahoma" w:cs="Tahoma" w:hAnsi="Tahoma"/>
          <w:sz w:val="20"/>
        </w:rPr>
        <w:t>, 20 janvier</w:t>
      </w:r>
      <w:r w:rsidR="00CF1035">
        <w:rPr>
          <w:rFonts w:ascii="Tahoma" w:cs="Tahoma" w:hAnsi="Tahoma"/>
          <w:sz w:val="20"/>
        </w:rPr>
        <w:t xml:space="preserve"> 2022</w:t>
      </w:r>
      <w:r w:rsidR="00445713">
        <w:rPr>
          <w:rFonts w:ascii="Tahoma" w:cs="Tahoma" w:hAnsi="Tahoma"/>
          <w:sz w:val="20"/>
        </w:rPr>
        <w:t>, 01</w:t>
      </w:r>
      <w:r w:rsidR="00445713" w:rsidRPr="00445713">
        <w:rPr>
          <w:rFonts w:ascii="Tahoma" w:cs="Tahoma" w:hAnsi="Tahoma"/>
          <w:sz w:val="20"/>
          <w:vertAlign w:val="superscript"/>
        </w:rPr>
        <w:t>er</w:t>
      </w:r>
      <w:r w:rsidR="00445713">
        <w:rPr>
          <w:rFonts w:ascii="Tahoma" w:cs="Tahoma" w:hAnsi="Tahoma"/>
          <w:sz w:val="20"/>
        </w:rPr>
        <w:t xml:space="preserve"> février </w:t>
      </w:r>
      <w:r w:rsidR="00CF1035">
        <w:rPr>
          <w:rFonts w:ascii="Tahoma" w:cs="Tahoma" w:hAnsi="Tahoma"/>
          <w:sz w:val="20"/>
        </w:rPr>
        <w:t xml:space="preserve">2022 </w:t>
      </w:r>
      <w:r w:rsidR="00445713">
        <w:rPr>
          <w:rFonts w:ascii="Tahoma" w:cs="Tahoma" w:hAnsi="Tahoma"/>
          <w:sz w:val="20"/>
        </w:rPr>
        <w:t>et 04 février 2022</w:t>
      </w:r>
      <w:r w:rsidR="002B0DDB" w:rsidRPr="00E2675B">
        <w:rPr>
          <w:rFonts w:ascii="Tahoma" w:cs="Tahoma" w:hAnsi="Tahoma"/>
          <w:sz w:val="20"/>
        </w:rPr>
        <w:t>.</w:t>
      </w:r>
    </w:p>
    <w:p w14:paraId="1F33C1F7" w14:textId="77777777" w:rsidP="00C5743A" w:rsidR="00C5743A" w:rsidRDefault="00C5743A" w:rsidRPr="00E2675B">
      <w:pPr>
        <w:pStyle w:val="texte"/>
        <w:spacing w:before="120"/>
        <w:rPr>
          <w:rFonts w:ascii="Tahoma" w:cs="Tahoma" w:hAnsi="Tahoma"/>
          <w:sz w:val="20"/>
        </w:rPr>
      </w:pPr>
      <w:r w:rsidRPr="00E2675B">
        <w:rPr>
          <w:rFonts w:ascii="Tahoma" w:cs="Tahoma" w:hAnsi="Tahoma"/>
          <w:sz w:val="20"/>
        </w:rPr>
        <w:t>Lors de la première réunion, la Direction a remis aux Organisations syndicales et commenté, conformément principes arrêtés chaque année, les informations suivantes portant sur les effectifs, l’organisation du travail et la rémunération :</w:t>
      </w:r>
    </w:p>
    <w:p w14:paraId="1FA4E5AB" w14:textId="77777777" w:rsidP="00C5743A" w:rsidR="00C5743A" w:rsidRDefault="00C5743A" w:rsidRPr="00E2675B">
      <w:pPr>
        <w:pStyle w:val="texte"/>
        <w:spacing w:before="120"/>
        <w:rPr>
          <w:rFonts w:ascii="Tahoma" w:cs="Tahoma" w:hAnsi="Tahoma"/>
          <w:sz w:val="20"/>
          <w:u w:val="single"/>
        </w:rPr>
      </w:pPr>
      <w:r w:rsidRPr="00E2675B">
        <w:rPr>
          <w:rFonts w:ascii="Tahoma" w:cs="Tahoma" w:hAnsi="Tahoma"/>
          <w:sz w:val="20"/>
          <w:u w:val="single"/>
        </w:rPr>
        <w:t>Volet 1 – Conditions générales d’emploi</w:t>
      </w:r>
    </w:p>
    <w:p w14:paraId="140B88CC" w14:textId="77777777" w:rsidP="00CE19E7" w:rsidR="00C5743A" w:rsidRDefault="00C5743A" w:rsidRPr="00E2675B">
      <w:pPr>
        <w:pStyle w:val="texte"/>
        <w:numPr>
          <w:ilvl w:val="0"/>
          <w:numId w:val="4"/>
        </w:numPr>
        <w:spacing w:before="120"/>
        <w:rPr>
          <w:rFonts w:ascii="Tahoma" w:cs="Tahoma" w:hAnsi="Tahoma"/>
          <w:sz w:val="20"/>
        </w:rPr>
      </w:pPr>
      <w:r w:rsidRPr="00E2675B">
        <w:rPr>
          <w:rFonts w:ascii="Tahoma" w:cs="Tahoma" w:hAnsi="Tahoma"/>
          <w:sz w:val="20"/>
        </w:rPr>
        <w:t>Effectif total moyen sur la période considérée hors intérimaires et stagiaires</w:t>
      </w:r>
    </w:p>
    <w:p w14:paraId="198BAC04" w14:textId="77777777" w:rsidP="00CE19E7" w:rsidR="00C5743A" w:rsidRDefault="00C5743A" w:rsidRPr="00E2675B">
      <w:pPr>
        <w:pStyle w:val="texte"/>
        <w:numPr>
          <w:ilvl w:val="0"/>
          <w:numId w:val="4"/>
        </w:numPr>
        <w:spacing w:before="120"/>
        <w:rPr>
          <w:rFonts w:ascii="Tahoma" w:cs="Tahoma" w:hAnsi="Tahoma"/>
          <w:sz w:val="20"/>
        </w:rPr>
      </w:pPr>
      <w:r w:rsidRPr="00E2675B">
        <w:rPr>
          <w:rFonts w:ascii="Tahoma" w:cs="Tahoma" w:hAnsi="Tahoma"/>
          <w:sz w:val="20"/>
        </w:rPr>
        <w:t>Répartition des effectifs par CSP / Contrat / Sexe</w:t>
      </w:r>
    </w:p>
    <w:p w14:paraId="1E52C7E2" w14:textId="45B8B622" w:rsidP="00CE19E7" w:rsidR="00C5743A" w:rsidRDefault="00C5743A" w:rsidRPr="00E2675B">
      <w:pPr>
        <w:pStyle w:val="texte"/>
        <w:numPr>
          <w:ilvl w:val="0"/>
          <w:numId w:val="4"/>
        </w:numPr>
        <w:spacing w:before="120"/>
        <w:rPr>
          <w:rFonts w:ascii="Tahoma" w:cs="Tahoma" w:hAnsi="Tahoma"/>
          <w:sz w:val="20"/>
        </w:rPr>
      </w:pPr>
      <w:r w:rsidRPr="00E2675B">
        <w:rPr>
          <w:rFonts w:ascii="Tahoma" w:cs="Tahoma" w:hAnsi="Tahoma"/>
          <w:sz w:val="20"/>
        </w:rPr>
        <w:t>Répartition des effectifs p</w:t>
      </w:r>
      <w:r w:rsidR="00910F28" w:rsidRPr="00E2675B">
        <w:rPr>
          <w:rFonts w:ascii="Tahoma" w:cs="Tahoma" w:hAnsi="Tahoma"/>
          <w:sz w:val="20"/>
        </w:rPr>
        <w:t xml:space="preserve">ar tranche d’âge à fin </w:t>
      </w:r>
      <w:r w:rsidR="00CF1035">
        <w:rPr>
          <w:rFonts w:ascii="Tahoma" w:cs="Tahoma" w:hAnsi="Tahoma"/>
          <w:sz w:val="20"/>
        </w:rPr>
        <w:t>Octobre</w:t>
      </w:r>
      <w:r w:rsidR="00910F28" w:rsidRPr="00E2675B">
        <w:rPr>
          <w:rFonts w:ascii="Tahoma" w:cs="Tahoma" w:hAnsi="Tahoma"/>
          <w:sz w:val="20"/>
        </w:rPr>
        <w:t xml:space="preserve"> 20</w:t>
      </w:r>
      <w:r w:rsidR="00B665DB" w:rsidRPr="00E2675B">
        <w:rPr>
          <w:rFonts w:ascii="Tahoma" w:cs="Tahoma" w:hAnsi="Tahoma"/>
          <w:sz w:val="20"/>
        </w:rPr>
        <w:t>2</w:t>
      </w:r>
      <w:r w:rsidR="00CF1035">
        <w:rPr>
          <w:rFonts w:ascii="Tahoma" w:cs="Tahoma" w:hAnsi="Tahoma"/>
          <w:sz w:val="20"/>
        </w:rPr>
        <w:t>1</w:t>
      </w:r>
    </w:p>
    <w:p w14:paraId="68CAE5F1" w14:textId="69919B56" w:rsidP="00CE19E7" w:rsidR="00C5743A" w:rsidRDefault="00C5743A" w:rsidRPr="00E2675B">
      <w:pPr>
        <w:pStyle w:val="texte"/>
        <w:numPr>
          <w:ilvl w:val="0"/>
          <w:numId w:val="4"/>
        </w:numPr>
        <w:spacing w:before="120"/>
        <w:rPr>
          <w:rFonts w:ascii="Tahoma" w:cs="Tahoma" w:hAnsi="Tahoma"/>
          <w:sz w:val="20"/>
        </w:rPr>
      </w:pPr>
      <w:r w:rsidRPr="00E2675B">
        <w:rPr>
          <w:rFonts w:ascii="Tahoma" w:cs="Tahoma" w:hAnsi="Tahoma"/>
          <w:sz w:val="20"/>
        </w:rPr>
        <w:t xml:space="preserve">Répartition des effectifs par tranche d’ancienneté à fin </w:t>
      </w:r>
      <w:r w:rsidR="00CF1035">
        <w:rPr>
          <w:rFonts w:ascii="Tahoma" w:cs="Tahoma" w:hAnsi="Tahoma"/>
          <w:sz w:val="20"/>
        </w:rPr>
        <w:t>Octobre</w:t>
      </w:r>
      <w:r w:rsidRPr="00E2675B">
        <w:rPr>
          <w:rFonts w:ascii="Tahoma" w:cs="Tahoma" w:hAnsi="Tahoma"/>
          <w:sz w:val="20"/>
        </w:rPr>
        <w:t xml:space="preserve"> 2</w:t>
      </w:r>
      <w:r w:rsidR="00910F28" w:rsidRPr="00E2675B">
        <w:rPr>
          <w:rFonts w:ascii="Tahoma" w:cs="Tahoma" w:hAnsi="Tahoma"/>
          <w:sz w:val="20"/>
        </w:rPr>
        <w:t>0</w:t>
      </w:r>
      <w:r w:rsidR="00B665DB" w:rsidRPr="00E2675B">
        <w:rPr>
          <w:rFonts w:ascii="Tahoma" w:cs="Tahoma" w:hAnsi="Tahoma"/>
          <w:sz w:val="20"/>
        </w:rPr>
        <w:t>2</w:t>
      </w:r>
      <w:r w:rsidR="00CF1035">
        <w:rPr>
          <w:rFonts w:ascii="Tahoma" w:cs="Tahoma" w:hAnsi="Tahoma"/>
          <w:sz w:val="20"/>
        </w:rPr>
        <w:t>1</w:t>
      </w:r>
    </w:p>
    <w:p w14:paraId="4AE43B45" w14:textId="0A21FCE9" w:rsidP="00CE19E7" w:rsidR="00C5743A" w:rsidRDefault="00C5743A" w:rsidRPr="00E2675B">
      <w:pPr>
        <w:pStyle w:val="texte"/>
        <w:numPr>
          <w:ilvl w:val="0"/>
          <w:numId w:val="4"/>
        </w:numPr>
        <w:spacing w:before="120"/>
        <w:rPr>
          <w:rFonts w:ascii="Tahoma" w:cs="Tahoma" w:hAnsi="Tahoma"/>
          <w:sz w:val="20"/>
        </w:rPr>
      </w:pPr>
      <w:r w:rsidRPr="00E2675B">
        <w:rPr>
          <w:rFonts w:ascii="Tahoma" w:cs="Tahoma" w:hAnsi="Tahoma"/>
          <w:sz w:val="20"/>
        </w:rPr>
        <w:t xml:space="preserve">Répartition des effectifs par Convention Collective / Sexe à fin </w:t>
      </w:r>
      <w:r w:rsidR="00CF1035">
        <w:rPr>
          <w:rFonts w:ascii="Tahoma" w:cs="Tahoma" w:hAnsi="Tahoma"/>
          <w:sz w:val="20"/>
        </w:rPr>
        <w:t>Octobre</w:t>
      </w:r>
      <w:r w:rsidRPr="00E2675B">
        <w:rPr>
          <w:rFonts w:ascii="Tahoma" w:cs="Tahoma" w:hAnsi="Tahoma"/>
          <w:sz w:val="20"/>
        </w:rPr>
        <w:t xml:space="preserve"> 20</w:t>
      </w:r>
      <w:r w:rsidR="00B665DB" w:rsidRPr="00E2675B">
        <w:rPr>
          <w:rFonts w:ascii="Tahoma" w:cs="Tahoma" w:hAnsi="Tahoma"/>
          <w:sz w:val="20"/>
        </w:rPr>
        <w:t>2</w:t>
      </w:r>
      <w:r w:rsidR="00CF1035">
        <w:rPr>
          <w:rFonts w:ascii="Tahoma" w:cs="Tahoma" w:hAnsi="Tahoma"/>
          <w:sz w:val="20"/>
        </w:rPr>
        <w:t>1</w:t>
      </w:r>
      <w:r w:rsidRPr="00E2675B">
        <w:rPr>
          <w:rFonts w:ascii="Tahoma" w:cs="Tahoma" w:hAnsi="Tahoma"/>
          <w:sz w:val="20"/>
        </w:rPr>
        <w:t xml:space="preserve"> hors alternance</w:t>
      </w:r>
    </w:p>
    <w:p w14:paraId="30C2B569" w14:textId="57DF6742" w:rsidP="00CE19E7" w:rsidR="00C5743A" w:rsidRDefault="00C5743A" w:rsidRPr="00E2675B">
      <w:pPr>
        <w:pStyle w:val="texte"/>
        <w:numPr>
          <w:ilvl w:val="0"/>
          <w:numId w:val="4"/>
        </w:numPr>
        <w:spacing w:before="120"/>
        <w:rPr>
          <w:rFonts w:ascii="Tahoma" w:cs="Tahoma" w:hAnsi="Tahoma"/>
          <w:sz w:val="20"/>
        </w:rPr>
      </w:pPr>
      <w:r w:rsidRPr="00E2675B">
        <w:rPr>
          <w:rFonts w:ascii="Tahoma" w:cs="Tahoma" w:hAnsi="Tahoma"/>
          <w:sz w:val="20"/>
        </w:rPr>
        <w:t>E</w:t>
      </w:r>
      <w:r w:rsidR="00910F28" w:rsidRPr="00E2675B">
        <w:rPr>
          <w:rFonts w:ascii="Tahoma" w:cs="Tahoma" w:hAnsi="Tahoma"/>
          <w:sz w:val="20"/>
        </w:rPr>
        <w:t xml:space="preserve">mbauches à fin </w:t>
      </w:r>
      <w:r w:rsidR="00CF1035">
        <w:rPr>
          <w:rFonts w:ascii="Tahoma" w:cs="Tahoma" w:hAnsi="Tahoma"/>
          <w:sz w:val="20"/>
        </w:rPr>
        <w:t>Octobre</w:t>
      </w:r>
      <w:r w:rsidR="00910F28" w:rsidRPr="00E2675B">
        <w:rPr>
          <w:rFonts w:ascii="Tahoma" w:cs="Tahoma" w:hAnsi="Tahoma"/>
          <w:sz w:val="20"/>
        </w:rPr>
        <w:t xml:space="preserve"> </w:t>
      </w:r>
      <w:r w:rsidR="00B665DB" w:rsidRPr="00E2675B">
        <w:rPr>
          <w:rFonts w:ascii="Tahoma" w:cs="Tahoma" w:hAnsi="Tahoma"/>
          <w:sz w:val="20"/>
        </w:rPr>
        <w:t>202</w:t>
      </w:r>
      <w:r w:rsidR="00CF1035">
        <w:rPr>
          <w:rFonts w:ascii="Tahoma" w:cs="Tahoma" w:hAnsi="Tahoma"/>
          <w:sz w:val="20"/>
        </w:rPr>
        <w:t>1</w:t>
      </w:r>
      <w:r w:rsidRPr="00E2675B">
        <w:rPr>
          <w:rFonts w:ascii="Tahoma" w:cs="Tahoma" w:hAnsi="Tahoma"/>
          <w:sz w:val="20"/>
        </w:rPr>
        <w:t xml:space="preserve"> hors mobilité interne, transfert et stage</w:t>
      </w:r>
    </w:p>
    <w:p w14:paraId="38B653D6" w14:textId="638FE393" w:rsidP="00CE19E7" w:rsidR="00C5743A" w:rsidRDefault="00910F28" w:rsidRPr="00E2675B">
      <w:pPr>
        <w:pStyle w:val="texte"/>
        <w:numPr>
          <w:ilvl w:val="0"/>
          <w:numId w:val="4"/>
        </w:numPr>
        <w:spacing w:before="120"/>
        <w:rPr>
          <w:rFonts w:ascii="Tahoma" w:cs="Tahoma" w:hAnsi="Tahoma"/>
          <w:sz w:val="20"/>
        </w:rPr>
      </w:pPr>
      <w:r w:rsidRPr="00E2675B">
        <w:rPr>
          <w:rFonts w:ascii="Tahoma" w:cs="Tahoma" w:hAnsi="Tahoma"/>
          <w:sz w:val="20"/>
        </w:rPr>
        <w:t xml:space="preserve">Départs à fin </w:t>
      </w:r>
      <w:r w:rsidR="00CF1035">
        <w:rPr>
          <w:rFonts w:ascii="Tahoma" w:cs="Tahoma" w:hAnsi="Tahoma"/>
          <w:sz w:val="20"/>
        </w:rPr>
        <w:t>Octobre</w:t>
      </w:r>
      <w:r w:rsidRPr="00E2675B">
        <w:rPr>
          <w:rFonts w:ascii="Tahoma" w:cs="Tahoma" w:hAnsi="Tahoma"/>
          <w:sz w:val="20"/>
        </w:rPr>
        <w:t xml:space="preserve"> </w:t>
      </w:r>
      <w:r w:rsidR="00B665DB" w:rsidRPr="00E2675B">
        <w:rPr>
          <w:rFonts w:ascii="Tahoma" w:cs="Tahoma" w:hAnsi="Tahoma"/>
          <w:sz w:val="20"/>
        </w:rPr>
        <w:t>202</w:t>
      </w:r>
      <w:r w:rsidR="00CF1035">
        <w:rPr>
          <w:rFonts w:ascii="Tahoma" w:cs="Tahoma" w:hAnsi="Tahoma"/>
          <w:sz w:val="20"/>
        </w:rPr>
        <w:t>1</w:t>
      </w:r>
      <w:r w:rsidR="00C5743A" w:rsidRPr="00E2675B">
        <w:rPr>
          <w:rFonts w:ascii="Tahoma" w:cs="Tahoma" w:hAnsi="Tahoma"/>
          <w:sz w:val="20"/>
        </w:rPr>
        <w:t xml:space="preserve"> hors mobilité interne, transfert et stage</w:t>
      </w:r>
    </w:p>
    <w:p w14:paraId="45BB18A6" w14:textId="01B583EE" w:rsidP="00CE19E7" w:rsidR="00C5743A" w:rsidRDefault="00C5743A" w:rsidRPr="00E2675B">
      <w:pPr>
        <w:pStyle w:val="texte"/>
        <w:numPr>
          <w:ilvl w:val="0"/>
          <w:numId w:val="4"/>
        </w:numPr>
        <w:spacing w:before="120"/>
        <w:rPr>
          <w:rFonts w:ascii="Tahoma" w:cs="Tahoma" w:hAnsi="Tahoma"/>
          <w:sz w:val="20"/>
        </w:rPr>
      </w:pPr>
      <w:r w:rsidRPr="00E2675B">
        <w:rPr>
          <w:rFonts w:ascii="Tahoma" w:cs="Tahoma" w:hAnsi="Tahoma"/>
          <w:sz w:val="20"/>
        </w:rPr>
        <w:t xml:space="preserve">Effectifs en CDD et intérim </w:t>
      </w:r>
      <w:r w:rsidR="00910F28" w:rsidRPr="00E2675B">
        <w:rPr>
          <w:rFonts w:ascii="Tahoma" w:cs="Tahoma" w:hAnsi="Tahoma"/>
          <w:sz w:val="20"/>
        </w:rPr>
        <w:t xml:space="preserve">– Période de Janvier à </w:t>
      </w:r>
      <w:r w:rsidR="00CF1035">
        <w:rPr>
          <w:rFonts w:ascii="Tahoma" w:cs="Tahoma" w:hAnsi="Tahoma"/>
          <w:sz w:val="20"/>
        </w:rPr>
        <w:t>Octobre</w:t>
      </w:r>
      <w:r w:rsidR="00910F28" w:rsidRPr="00E2675B">
        <w:rPr>
          <w:rFonts w:ascii="Tahoma" w:cs="Tahoma" w:hAnsi="Tahoma"/>
          <w:sz w:val="20"/>
        </w:rPr>
        <w:t xml:space="preserve"> 20</w:t>
      </w:r>
      <w:r w:rsidR="00B665DB" w:rsidRPr="00E2675B">
        <w:rPr>
          <w:rFonts w:ascii="Tahoma" w:cs="Tahoma" w:hAnsi="Tahoma"/>
          <w:sz w:val="20"/>
        </w:rPr>
        <w:t>2</w:t>
      </w:r>
      <w:r w:rsidR="00CF1035">
        <w:rPr>
          <w:rFonts w:ascii="Tahoma" w:cs="Tahoma" w:hAnsi="Tahoma"/>
          <w:sz w:val="20"/>
        </w:rPr>
        <w:t>1</w:t>
      </w:r>
    </w:p>
    <w:p w14:paraId="35AD8554" w14:textId="77777777" w:rsidP="00320915" w:rsidR="00320915" w:rsidRDefault="00320915" w:rsidRPr="00E2675B">
      <w:pPr>
        <w:pStyle w:val="texte"/>
        <w:spacing w:before="120"/>
        <w:ind w:left="720"/>
        <w:rPr>
          <w:rFonts w:ascii="Tahoma" w:cs="Tahoma" w:hAnsi="Tahoma"/>
          <w:sz w:val="20"/>
        </w:rPr>
      </w:pPr>
    </w:p>
    <w:p w14:paraId="5CE0A601" w14:textId="77777777" w:rsidP="00C5743A" w:rsidR="00C5743A" w:rsidRDefault="00C5743A" w:rsidRPr="00E2675B">
      <w:pPr>
        <w:pStyle w:val="texte"/>
        <w:spacing w:before="120"/>
        <w:rPr>
          <w:rFonts w:ascii="Tahoma" w:cs="Tahoma" w:hAnsi="Tahoma"/>
          <w:sz w:val="20"/>
          <w:u w:val="single"/>
        </w:rPr>
      </w:pPr>
      <w:r w:rsidRPr="00E2675B">
        <w:rPr>
          <w:rFonts w:ascii="Tahoma" w:cs="Tahoma" w:hAnsi="Tahoma"/>
          <w:sz w:val="20"/>
          <w:u w:val="single"/>
        </w:rPr>
        <w:t>Volet 2 – Information sur la durée et l’organisation du temps de travail</w:t>
      </w:r>
    </w:p>
    <w:p w14:paraId="314D60F0" w14:textId="77777777" w:rsidP="00CE19E7" w:rsidR="00C5743A" w:rsidRDefault="00C5743A" w:rsidRPr="00E2675B">
      <w:pPr>
        <w:pStyle w:val="texte"/>
        <w:numPr>
          <w:ilvl w:val="0"/>
          <w:numId w:val="5"/>
        </w:numPr>
        <w:spacing w:before="120"/>
        <w:rPr>
          <w:rFonts w:ascii="Tahoma" w:cs="Tahoma" w:hAnsi="Tahoma"/>
          <w:sz w:val="20"/>
        </w:rPr>
      </w:pPr>
      <w:r w:rsidRPr="00E2675B">
        <w:rPr>
          <w:rFonts w:ascii="Tahoma" w:cs="Tahoma" w:hAnsi="Tahoma"/>
          <w:sz w:val="20"/>
        </w:rPr>
        <w:t>Temps de travail, heures supplémentaires, congés payés et RTT</w:t>
      </w:r>
    </w:p>
    <w:p w14:paraId="008C923C" w14:textId="355E0656" w:rsidP="00CE19E7" w:rsidR="00C5743A" w:rsidRDefault="00C5743A" w:rsidRPr="00E2675B">
      <w:pPr>
        <w:pStyle w:val="texte"/>
        <w:numPr>
          <w:ilvl w:val="0"/>
          <w:numId w:val="5"/>
        </w:numPr>
        <w:spacing w:before="120"/>
        <w:rPr>
          <w:rFonts w:ascii="Tahoma" w:cs="Tahoma" w:hAnsi="Tahoma"/>
          <w:sz w:val="20"/>
        </w:rPr>
      </w:pPr>
      <w:r w:rsidRPr="00E2675B">
        <w:rPr>
          <w:rFonts w:ascii="Tahoma" w:cs="Tahoma" w:hAnsi="Tahoma"/>
          <w:sz w:val="20"/>
        </w:rPr>
        <w:t xml:space="preserve">Répartition des effectifs selon la durée du </w:t>
      </w:r>
      <w:r w:rsidR="00910F28" w:rsidRPr="00E2675B">
        <w:rPr>
          <w:rFonts w:ascii="Tahoma" w:cs="Tahoma" w:hAnsi="Tahoma"/>
          <w:sz w:val="20"/>
        </w:rPr>
        <w:t xml:space="preserve">temps de travail – Fin </w:t>
      </w:r>
      <w:r w:rsidR="00566B2C">
        <w:rPr>
          <w:rFonts w:ascii="Tahoma" w:cs="Tahoma" w:hAnsi="Tahoma"/>
          <w:sz w:val="20"/>
        </w:rPr>
        <w:t>Octobre</w:t>
      </w:r>
      <w:r w:rsidR="00910F28" w:rsidRPr="00E2675B">
        <w:rPr>
          <w:rFonts w:ascii="Tahoma" w:cs="Tahoma" w:hAnsi="Tahoma"/>
          <w:sz w:val="20"/>
        </w:rPr>
        <w:t xml:space="preserve"> 20</w:t>
      </w:r>
      <w:r w:rsidR="00B665DB" w:rsidRPr="00E2675B">
        <w:rPr>
          <w:rFonts w:ascii="Tahoma" w:cs="Tahoma" w:hAnsi="Tahoma"/>
          <w:sz w:val="20"/>
        </w:rPr>
        <w:t>2</w:t>
      </w:r>
      <w:r w:rsidR="00052155" w:rsidRPr="00E2675B">
        <w:rPr>
          <w:rFonts w:ascii="Tahoma" w:cs="Tahoma" w:hAnsi="Tahoma"/>
          <w:sz w:val="20"/>
        </w:rPr>
        <w:t>1</w:t>
      </w:r>
    </w:p>
    <w:p w14:paraId="2BD2C05F" w14:textId="77777777" w:rsidP="00C5743A" w:rsidR="00320915" w:rsidRDefault="00320915" w:rsidRPr="00E2675B">
      <w:pPr>
        <w:pStyle w:val="texte"/>
        <w:spacing w:before="120"/>
        <w:rPr>
          <w:rFonts w:ascii="Tahoma" w:cs="Tahoma" w:hAnsi="Tahoma"/>
          <w:sz w:val="20"/>
          <w:u w:val="single"/>
        </w:rPr>
      </w:pPr>
    </w:p>
    <w:p w14:paraId="4F2AB54F" w14:textId="77777777" w:rsidP="00C5743A" w:rsidR="00C5743A" w:rsidRDefault="00C5743A" w:rsidRPr="00E2675B">
      <w:pPr>
        <w:pStyle w:val="texte"/>
        <w:spacing w:before="120"/>
        <w:rPr>
          <w:rFonts w:ascii="Tahoma" w:cs="Tahoma" w:hAnsi="Tahoma"/>
          <w:sz w:val="20"/>
          <w:u w:val="single"/>
        </w:rPr>
      </w:pPr>
      <w:r w:rsidRPr="00E2675B">
        <w:rPr>
          <w:rFonts w:ascii="Tahoma" w:cs="Tahoma" w:hAnsi="Tahoma"/>
          <w:sz w:val="20"/>
          <w:u w:val="single"/>
        </w:rPr>
        <w:lastRenderedPageBreak/>
        <w:t>Volet 3 – Information sur les salaires effectifs</w:t>
      </w:r>
    </w:p>
    <w:p w14:paraId="347A70E7" w14:textId="77777777" w:rsidP="00CE19E7" w:rsidR="00C5743A" w:rsidRDefault="00C5743A" w:rsidRPr="00E2675B">
      <w:pPr>
        <w:pStyle w:val="texte"/>
        <w:numPr>
          <w:ilvl w:val="0"/>
          <w:numId w:val="6"/>
        </w:numPr>
        <w:spacing w:before="120"/>
        <w:rPr>
          <w:rFonts w:ascii="Tahoma" w:cs="Tahoma" w:hAnsi="Tahoma"/>
          <w:sz w:val="20"/>
        </w:rPr>
      </w:pPr>
      <w:r w:rsidRPr="00E2675B">
        <w:rPr>
          <w:rFonts w:ascii="Tahoma" w:cs="Tahoma" w:hAnsi="Tahoma"/>
          <w:sz w:val="20"/>
        </w:rPr>
        <w:t>Salaire mensuel moyen par coefficient / sexe – Contrats à temps plein (effectif permanent) hors alternance et stages</w:t>
      </w:r>
    </w:p>
    <w:p w14:paraId="584A1DF1" w14:textId="21E783B1" w:rsidP="00CE19E7" w:rsidR="00C5743A" w:rsidRDefault="00C5743A" w:rsidRPr="00E2675B">
      <w:pPr>
        <w:pStyle w:val="texte"/>
        <w:numPr>
          <w:ilvl w:val="0"/>
          <w:numId w:val="6"/>
        </w:numPr>
        <w:spacing w:before="120"/>
        <w:rPr>
          <w:rFonts w:ascii="Tahoma" w:cs="Tahoma" w:hAnsi="Tahoma"/>
          <w:sz w:val="20"/>
        </w:rPr>
      </w:pPr>
      <w:r w:rsidRPr="00E2675B">
        <w:rPr>
          <w:rFonts w:ascii="Tahoma" w:cs="Tahoma" w:hAnsi="Tahoma"/>
          <w:sz w:val="20"/>
        </w:rPr>
        <w:t xml:space="preserve">Etat des augmentations </w:t>
      </w:r>
      <w:r w:rsidR="0008787D" w:rsidRPr="00E2675B">
        <w:rPr>
          <w:rFonts w:ascii="Tahoma" w:cs="Tahoma" w:hAnsi="Tahoma"/>
          <w:sz w:val="20"/>
        </w:rPr>
        <w:t>20</w:t>
      </w:r>
      <w:r w:rsidR="00B665DB" w:rsidRPr="00E2675B">
        <w:rPr>
          <w:rFonts w:ascii="Tahoma" w:cs="Tahoma" w:hAnsi="Tahoma"/>
          <w:sz w:val="20"/>
        </w:rPr>
        <w:t>2</w:t>
      </w:r>
      <w:r w:rsidR="000D0360" w:rsidRPr="00E2675B">
        <w:rPr>
          <w:rFonts w:ascii="Tahoma" w:cs="Tahoma" w:hAnsi="Tahoma"/>
          <w:sz w:val="20"/>
        </w:rPr>
        <w:t>1</w:t>
      </w:r>
      <w:r w:rsidRPr="00E2675B">
        <w:rPr>
          <w:rFonts w:ascii="Tahoma" w:cs="Tahoma" w:hAnsi="Tahoma"/>
          <w:sz w:val="20"/>
        </w:rPr>
        <w:t xml:space="preserve"> – Salariés en CDI – Présents au 31/12/20</w:t>
      </w:r>
      <w:r w:rsidR="000D0360" w:rsidRPr="00E2675B">
        <w:rPr>
          <w:rFonts w:ascii="Tahoma" w:cs="Tahoma" w:hAnsi="Tahoma"/>
          <w:sz w:val="20"/>
        </w:rPr>
        <w:t>20</w:t>
      </w:r>
    </w:p>
    <w:p w14:paraId="2E6B8017" w14:textId="77777777" w:rsidP="0056630C" w:rsidR="0056630C" w:rsidRDefault="0056630C" w:rsidRPr="00E2675B">
      <w:pPr>
        <w:rPr>
          <w:rFonts w:ascii="Tahoma" w:cs="Tahoma" w:hAnsi="Tahoma"/>
          <w:sz w:val="20"/>
          <w:szCs w:val="20"/>
        </w:rPr>
      </w:pPr>
    </w:p>
    <w:p w14:paraId="16C88669" w14:textId="77777777" w:rsidP="00C5743A" w:rsidR="007D1857" w:rsidRDefault="007D1857">
      <w:pPr>
        <w:spacing w:before="120"/>
        <w:rPr>
          <w:rFonts w:ascii="Tahoma" w:cs="Tahoma" w:hAnsi="Tahoma"/>
          <w:bCs/>
          <w:sz w:val="20"/>
        </w:rPr>
      </w:pPr>
      <w:r>
        <w:rPr>
          <w:rFonts w:ascii="Tahoma" w:cs="Tahoma" w:hAnsi="Tahoma"/>
          <w:bCs/>
          <w:sz w:val="20"/>
        </w:rPr>
        <w:t>Des informations complémentaires ont été apportées lors de la deuxième réunion à la demande des négociateurs.</w:t>
      </w:r>
    </w:p>
    <w:p w14:paraId="27FE360D" w14:textId="46998A43" w:rsidP="0056630C" w:rsidR="004C7091" w:rsidRDefault="007D1857">
      <w:pPr>
        <w:pStyle w:val="texte"/>
        <w:spacing w:before="120"/>
        <w:rPr>
          <w:rFonts w:ascii="Tahoma" w:cs="Tahoma" w:hAnsi="Tahoma"/>
          <w:sz w:val="20"/>
        </w:rPr>
      </w:pPr>
      <w:r>
        <w:rPr>
          <w:rFonts w:ascii="Tahoma" w:cs="Tahoma" w:hAnsi="Tahoma"/>
          <w:sz w:val="20"/>
        </w:rPr>
        <w:t>A l’issue de la dernière</w:t>
      </w:r>
      <w:r w:rsidR="004C7091" w:rsidRPr="00063C6C">
        <w:rPr>
          <w:rFonts w:ascii="Tahoma" w:cs="Tahoma" w:hAnsi="Tahoma"/>
          <w:sz w:val="20"/>
        </w:rPr>
        <w:t xml:space="preserve"> réunion </w:t>
      </w:r>
      <w:r>
        <w:rPr>
          <w:rFonts w:ascii="Tahoma" w:cs="Tahoma" w:hAnsi="Tahoma"/>
          <w:sz w:val="20"/>
        </w:rPr>
        <w:t>qui s’est tenue</w:t>
      </w:r>
      <w:r w:rsidR="004C7091" w:rsidRPr="00063C6C">
        <w:rPr>
          <w:rFonts w:ascii="Tahoma" w:cs="Tahoma" w:hAnsi="Tahoma"/>
          <w:sz w:val="20"/>
        </w:rPr>
        <w:t xml:space="preserve"> le </w:t>
      </w:r>
      <w:r>
        <w:rPr>
          <w:rFonts w:ascii="Tahoma" w:cs="Tahoma" w:hAnsi="Tahoma"/>
          <w:sz w:val="20"/>
        </w:rPr>
        <w:t>04 février</w:t>
      </w:r>
      <w:r w:rsidR="004C7091" w:rsidRPr="00063C6C">
        <w:rPr>
          <w:rFonts w:ascii="Tahoma" w:cs="Tahoma" w:hAnsi="Tahoma"/>
          <w:sz w:val="20"/>
        </w:rPr>
        <w:t xml:space="preserve"> 2022</w:t>
      </w:r>
      <w:r>
        <w:rPr>
          <w:rFonts w:ascii="Tahoma" w:cs="Tahoma" w:hAnsi="Tahoma"/>
          <w:sz w:val="20"/>
        </w:rPr>
        <w:t>,</w:t>
      </w:r>
      <w:r w:rsidR="004C7091" w:rsidRPr="00063C6C">
        <w:rPr>
          <w:rFonts w:ascii="Tahoma" w:cs="Tahoma" w:hAnsi="Tahoma"/>
          <w:sz w:val="20"/>
        </w:rPr>
        <w:t xml:space="preserve"> </w:t>
      </w:r>
      <w:r w:rsidR="00F81E2D" w:rsidRPr="00063C6C">
        <w:rPr>
          <w:rFonts w:ascii="Tahoma" w:cs="Tahoma" w:hAnsi="Tahoma"/>
          <w:sz w:val="20"/>
        </w:rPr>
        <w:t xml:space="preserve">les Parties ont arrêté les principes et mesures transcrites ci-après, après avoir fait évoluer </w:t>
      </w:r>
      <w:r w:rsidR="00A566A4" w:rsidRPr="00063C6C">
        <w:rPr>
          <w:rFonts w:ascii="Tahoma" w:cs="Tahoma" w:hAnsi="Tahoma"/>
          <w:sz w:val="20"/>
        </w:rPr>
        <w:t>les</w:t>
      </w:r>
      <w:r w:rsidR="00F81E2D" w:rsidRPr="00063C6C">
        <w:rPr>
          <w:rFonts w:ascii="Tahoma" w:cs="Tahoma" w:hAnsi="Tahoma"/>
          <w:sz w:val="20"/>
        </w:rPr>
        <w:t xml:space="preserve"> proposition</w:t>
      </w:r>
      <w:r w:rsidR="00A566A4" w:rsidRPr="00063C6C">
        <w:rPr>
          <w:rFonts w:ascii="Tahoma" w:cs="Tahoma" w:hAnsi="Tahoma"/>
          <w:sz w:val="20"/>
        </w:rPr>
        <w:t>s</w:t>
      </w:r>
      <w:r w:rsidR="00DE1BEA">
        <w:rPr>
          <w:rFonts w:ascii="Tahoma" w:cs="Tahoma" w:hAnsi="Tahoma"/>
          <w:sz w:val="20"/>
        </w:rPr>
        <w:t xml:space="preserve"> qui avaient été présentées et </w:t>
      </w:r>
      <w:r w:rsidR="004F524E">
        <w:rPr>
          <w:rFonts w:ascii="Tahoma" w:cs="Tahoma" w:hAnsi="Tahoma"/>
          <w:sz w:val="20"/>
        </w:rPr>
        <w:t>discut</w:t>
      </w:r>
      <w:r w:rsidR="00DE1BEA">
        <w:rPr>
          <w:rFonts w:ascii="Tahoma" w:cs="Tahoma" w:hAnsi="Tahoma"/>
          <w:sz w:val="20"/>
        </w:rPr>
        <w:t>ées lors de la réunion du 01</w:t>
      </w:r>
      <w:r w:rsidR="00DE1BEA" w:rsidRPr="00DE1BEA">
        <w:rPr>
          <w:rFonts w:ascii="Tahoma" w:cs="Tahoma" w:hAnsi="Tahoma"/>
          <w:sz w:val="20"/>
          <w:vertAlign w:val="superscript"/>
        </w:rPr>
        <w:t>er</w:t>
      </w:r>
      <w:r w:rsidR="00DE1BEA">
        <w:rPr>
          <w:rFonts w:ascii="Tahoma" w:cs="Tahoma" w:hAnsi="Tahoma"/>
          <w:sz w:val="20"/>
        </w:rPr>
        <w:t xml:space="preserve"> février 2022</w:t>
      </w:r>
      <w:r w:rsidR="004C7091" w:rsidRPr="00063C6C">
        <w:rPr>
          <w:rFonts w:ascii="Tahoma" w:cs="Tahoma" w:hAnsi="Tahoma"/>
          <w:sz w:val="20"/>
        </w:rPr>
        <w:t>.</w:t>
      </w:r>
    </w:p>
    <w:p w14:paraId="56A80245" w14:textId="77777777" w:rsidP="0056630C" w:rsidR="00DE1BEA" w:rsidRDefault="00DE1BEA" w:rsidRPr="00E2675B">
      <w:pPr>
        <w:pStyle w:val="texte"/>
        <w:spacing w:before="120"/>
        <w:rPr>
          <w:rFonts w:ascii="Tahoma" w:cs="Tahoma" w:hAnsi="Tahoma"/>
          <w:sz w:val="20"/>
        </w:rPr>
      </w:pPr>
    </w:p>
    <w:p w14:paraId="65C2B549" w14:textId="77777777" w:rsidP="0056630C" w:rsidR="00917639" w:rsidRDefault="00A83E3A" w:rsidRPr="00E2675B">
      <w:pPr>
        <w:pStyle w:val="texte"/>
        <w:spacing w:before="120"/>
        <w:rPr>
          <w:rFonts w:ascii="Tahoma" w:cs="Tahoma" w:hAnsi="Tahoma"/>
          <w:b/>
          <w:sz w:val="20"/>
        </w:rPr>
      </w:pPr>
      <w:r w:rsidRPr="00E2675B">
        <w:rPr>
          <w:rFonts w:ascii="Tahoma" w:cs="Tahoma" w:hAnsi="Tahoma"/>
          <w:b/>
          <w:bCs/>
          <w:sz w:val="20"/>
        </w:rPr>
        <w:t>Art</w:t>
      </w:r>
      <w:r w:rsidR="00423715" w:rsidRPr="00E2675B">
        <w:rPr>
          <w:rFonts w:ascii="Tahoma" w:cs="Tahoma" w:hAnsi="Tahoma"/>
          <w:b/>
          <w:bCs/>
          <w:sz w:val="20"/>
        </w:rPr>
        <w:t>icle</w:t>
      </w:r>
      <w:r w:rsidRPr="00E2675B">
        <w:rPr>
          <w:rFonts w:ascii="Tahoma" w:cs="Tahoma" w:hAnsi="Tahoma"/>
          <w:b/>
          <w:bCs/>
          <w:sz w:val="20"/>
        </w:rPr>
        <w:t xml:space="preserve"> 1</w:t>
      </w:r>
      <w:r w:rsidRPr="00E2675B">
        <w:rPr>
          <w:rFonts w:ascii="Tahoma" w:cs="Tahoma" w:hAnsi="Tahoma"/>
          <w:b/>
          <w:bCs/>
          <w:sz w:val="20"/>
          <w:vertAlign w:val="superscript"/>
        </w:rPr>
        <w:t>er</w:t>
      </w:r>
      <w:r w:rsidRPr="00E2675B">
        <w:rPr>
          <w:rFonts w:ascii="Tahoma" w:cs="Tahoma" w:hAnsi="Tahoma"/>
          <w:b/>
          <w:sz w:val="20"/>
        </w:rPr>
        <w:t xml:space="preserve"> </w:t>
      </w:r>
      <w:r w:rsidR="00917639" w:rsidRPr="00E2675B">
        <w:rPr>
          <w:rFonts w:ascii="Tahoma" w:cs="Tahoma" w:hAnsi="Tahoma"/>
          <w:b/>
          <w:sz w:val="20"/>
        </w:rPr>
        <w:t>–</w:t>
      </w:r>
      <w:r w:rsidRPr="00E2675B">
        <w:rPr>
          <w:rFonts w:ascii="Tahoma" w:cs="Tahoma" w:hAnsi="Tahoma"/>
          <w:b/>
          <w:sz w:val="20"/>
        </w:rPr>
        <w:t xml:space="preserve"> </w:t>
      </w:r>
      <w:r w:rsidR="00917639" w:rsidRPr="00E2675B">
        <w:rPr>
          <w:rFonts w:ascii="Tahoma" w:cs="Tahoma" w:hAnsi="Tahoma"/>
          <w:b/>
          <w:sz w:val="20"/>
        </w:rPr>
        <w:t>CHAMP D’APPLICATION</w:t>
      </w:r>
    </w:p>
    <w:p w14:paraId="2BC8F3C2" w14:textId="7844E733" w:rsidP="0056630C" w:rsidR="00A83E3A" w:rsidRDefault="00C5743A" w:rsidRPr="00E2675B">
      <w:pPr>
        <w:pStyle w:val="texte"/>
        <w:spacing w:before="120"/>
        <w:rPr>
          <w:rFonts w:ascii="Tahoma" w:cs="Tahoma" w:hAnsi="Tahoma"/>
          <w:sz w:val="20"/>
        </w:rPr>
      </w:pPr>
      <w:r w:rsidRPr="00E2675B">
        <w:rPr>
          <w:rFonts w:ascii="Tahoma" w:cs="Tahoma" w:hAnsi="Tahoma"/>
          <w:sz w:val="20"/>
        </w:rPr>
        <w:t xml:space="preserve">Le champ d'application du présent accord </w:t>
      </w:r>
      <w:r w:rsidR="00DE1BEA">
        <w:rPr>
          <w:rFonts w:ascii="Tahoma" w:cs="Tahoma" w:hAnsi="Tahoma"/>
          <w:sz w:val="20"/>
        </w:rPr>
        <w:t xml:space="preserve">est la société INEO Hauts-de-France uniquement et </w:t>
      </w:r>
      <w:r w:rsidR="00A83E3A" w:rsidRPr="00E2675B">
        <w:rPr>
          <w:rFonts w:ascii="Tahoma" w:cs="Tahoma" w:hAnsi="Tahoma"/>
          <w:sz w:val="20"/>
        </w:rPr>
        <w:t>concerne</w:t>
      </w:r>
      <w:r w:rsidR="0042755D" w:rsidRPr="00E2675B">
        <w:rPr>
          <w:rFonts w:ascii="Tahoma" w:cs="Tahoma" w:hAnsi="Tahoma"/>
          <w:sz w:val="20"/>
        </w:rPr>
        <w:t xml:space="preserve"> </w:t>
      </w:r>
      <w:r w:rsidR="00A83E3A" w:rsidRPr="00E2675B">
        <w:rPr>
          <w:rFonts w:ascii="Tahoma" w:cs="Tahoma" w:hAnsi="Tahoma"/>
          <w:sz w:val="20"/>
        </w:rPr>
        <w:t>l'ensemble des salariés</w:t>
      </w:r>
      <w:r w:rsidR="00F349FA" w:rsidRPr="00E2675B">
        <w:rPr>
          <w:rFonts w:ascii="Tahoma" w:cs="Tahoma" w:hAnsi="Tahoma"/>
          <w:sz w:val="20"/>
        </w:rPr>
        <w:t xml:space="preserve"> de </w:t>
      </w:r>
      <w:r w:rsidR="00DE1BEA">
        <w:rPr>
          <w:rFonts w:ascii="Tahoma" w:cs="Tahoma" w:hAnsi="Tahoma"/>
          <w:sz w:val="20"/>
        </w:rPr>
        <w:t>son périmètre</w:t>
      </w:r>
      <w:r w:rsidR="00F349FA" w:rsidRPr="00E2675B">
        <w:rPr>
          <w:rFonts w:ascii="Tahoma" w:cs="Tahoma" w:hAnsi="Tahoma"/>
          <w:sz w:val="20"/>
        </w:rPr>
        <w:t>.</w:t>
      </w:r>
    </w:p>
    <w:p w14:paraId="44258C27" w14:textId="77777777" w:rsidP="00DE1BEA" w:rsidR="00063C6C" w:rsidRDefault="00063C6C" w:rsidRPr="00E2675B">
      <w:pPr>
        <w:pStyle w:val="texte"/>
        <w:spacing w:before="120"/>
        <w:rPr>
          <w:rFonts w:ascii="Tahoma" w:cs="Tahoma" w:hAnsi="Tahoma"/>
          <w:sz w:val="20"/>
        </w:rPr>
      </w:pPr>
    </w:p>
    <w:p w14:paraId="55E8BBC7" w14:textId="77777777" w:rsidP="0056630C" w:rsidR="00917639" w:rsidRDefault="00A83E3A" w:rsidRPr="00E2675B">
      <w:pPr>
        <w:pStyle w:val="texte"/>
        <w:spacing w:before="120"/>
        <w:rPr>
          <w:rFonts w:ascii="Tahoma" w:cs="Tahoma" w:hAnsi="Tahoma"/>
          <w:b/>
          <w:bCs/>
          <w:sz w:val="20"/>
        </w:rPr>
      </w:pPr>
      <w:r w:rsidRPr="00E2675B">
        <w:rPr>
          <w:rFonts w:ascii="Tahoma" w:cs="Tahoma" w:hAnsi="Tahoma"/>
          <w:b/>
          <w:bCs/>
          <w:sz w:val="20"/>
        </w:rPr>
        <w:t>Art</w:t>
      </w:r>
      <w:r w:rsidR="00423715" w:rsidRPr="00E2675B">
        <w:rPr>
          <w:rFonts w:ascii="Tahoma" w:cs="Tahoma" w:hAnsi="Tahoma"/>
          <w:b/>
          <w:bCs/>
          <w:sz w:val="20"/>
        </w:rPr>
        <w:t>icle 2</w:t>
      </w:r>
      <w:r w:rsidRPr="00E2675B">
        <w:rPr>
          <w:rFonts w:ascii="Tahoma" w:cs="Tahoma" w:hAnsi="Tahoma"/>
          <w:b/>
          <w:bCs/>
          <w:sz w:val="20"/>
        </w:rPr>
        <w:t xml:space="preserve"> </w:t>
      </w:r>
      <w:r w:rsidR="00917639" w:rsidRPr="00E2675B">
        <w:rPr>
          <w:rFonts w:ascii="Tahoma" w:cs="Tahoma" w:hAnsi="Tahoma"/>
          <w:b/>
          <w:bCs/>
          <w:sz w:val="20"/>
        </w:rPr>
        <w:t>–</w:t>
      </w:r>
      <w:r w:rsidRPr="00E2675B">
        <w:rPr>
          <w:rFonts w:ascii="Tahoma" w:cs="Tahoma" w:hAnsi="Tahoma"/>
          <w:b/>
          <w:bCs/>
          <w:sz w:val="20"/>
        </w:rPr>
        <w:t xml:space="preserve"> </w:t>
      </w:r>
      <w:r w:rsidR="00917639" w:rsidRPr="00E2675B">
        <w:rPr>
          <w:rFonts w:ascii="Tahoma" w:cs="Tahoma" w:hAnsi="Tahoma"/>
          <w:b/>
          <w:bCs/>
          <w:sz w:val="20"/>
        </w:rPr>
        <w:t>DUREE</w:t>
      </w:r>
    </w:p>
    <w:p w14:paraId="5C78A7CB" w14:textId="3C6EAEC6" w:rsidP="0056630C" w:rsidR="00A83E3A" w:rsidRDefault="00A83E3A" w:rsidRPr="00E2675B">
      <w:pPr>
        <w:pStyle w:val="texte"/>
        <w:spacing w:before="120"/>
        <w:rPr>
          <w:rFonts w:ascii="Tahoma" w:cs="Tahoma" w:hAnsi="Tahoma"/>
          <w:sz w:val="20"/>
        </w:rPr>
      </w:pPr>
      <w:r w:rsidRPr="00E2675B">
        <w:rPr>
          <w:rFonts w:ascii="Tahoma" w:cs="Tahoma" w:hAnsi="Tahoma"/>
          <w:sz w:val="20"/>
        </w:rPr>
        <w:t xml:space="preserve">Le présent accord est conclu </w:t>
      </w:r>
      <w:r w:rsidR="004779E0" w:rsidRPr="00E2675B">
        <w:rPr>
          <w:rFonts w:ascii="Tahoma" w:cs="Tahoma" w:hAnsi="Tahoma"/>
          <w:sz w:val="20"/>
        </w:rPr>
        <w:t xml:space="preserve">pour une durée déterminée </w:t>
      </w:r>
      <w:r w:rsidR="006456BD">
        <w:rPr>
          <w:rFonts w:ascii="Tahoma" w:cs="Tahoma" w:hAnsi="Tahoma"/>
          <w:sz w:val="20"/>
        </w:rPr>
        <w:t>fixée sur l’année civile 2022</w:t>
      </w:r>
      <w:r w:rsidR="004779E0" w:rsidRPr="00E2675B">
        <w:rPr>
          <w:rFonts w:ascii="Tahoma" w:cs="Tahoma" w:hAnsi="Tahoma"/>
          <w:sz w:val="20"/>
        </w:rPr>
        <w:t>, correspondant à l'exercice social de la société, pour laquelle sont établies les prévisions économiques, à savoir pour la période du 1</w:t>
      </w:r>
      <w:r w:rsidR="004779E0" w:rsidRPr="00E2675B">
        <w:rPr>
          <w:rFonts w:ascii="Tahoma" w:cs="Tahoma" w:hAnsi="Tahoma"/>
          <w:sz w:val="20"/>
          <w:vertAlign w:val="superscript"/>
        </w:rPr>
        <w:t>er</w:t>
      </w:r>
      <w:r w:rsidR="004779E0" w:rsidRPr="00E2675B">
        <w:rPr>
          <w:rFonts w:ascii="Tahoma" w:cs="Tahoma" w:hAnsi="Tahoma"/>
          <w:sz w:val="20"/>
        </w:rPr>
        <w:t xml:space="preserve"> janvier 20</w:t>
      </w:r>
      <w:r w:rsidR="00B665DB" w:rsidRPr="00E2675B">
        <w:rPr>
          <w:rFonts w:ascii="Tahoma" w:cs="Tahoma" w:hAnsi="Tahoma"/>
          <w:sz w:val="20"/>
        </w:rPr>
        <w:t>2</w:t>
      </w:r>
      <w:r w:rsidR="00357988" w:rsidRPr="00E2675B">
        <w:rPr>
          <w:rFonts w:ascii="Tahoma" w:cs="Tahoma" w:hAnsi="Tahoma"/>
          <w:sz w:val="20"/>
        </w:rPr>
        <w:t>2</w:t>
      </w:r>
      <w:r w:rsidR="004779E0" w:rsidRPr="00E2675B">
        <w:rPr>
          <w:rFonts w:ascii="Tahoma" w:cs="Tahoma" w:hAnsi="Tahoma"/>
          <w:sz w:val="20"/>
        </w:rPr>
        <w:t xml:space="preserve"> au 31 décembre 20</w:t>
      </w:r>
      <w:r w:rsidR="00F66D7F" w:rsidRPr="00E2675B">
        <w:rPr>
          <w:rFonts w:ascii="Tahoma" w:cs="Tahoma" w:hAnsi="Tahoma"/>
          <w:sz w:val="20"/>
        </w:rPr>
        <w:t>2</w:t>
      </w:r>
      <w:r w:rsidR="00357988" w:rsidRPr="00E2675B">
        <w:rPr>
          <w:rFonts w:ascii="Tahoma" w:cs="Tahoma" w:hAnsi="Tahoma"/>
          <w:sz w:val="20"/>
        </w:rPr>
        <w:t>2</w:t>
      </w:r>
      <w:r w:rsidR="004779E0" w:rsidRPr="00E2675B">
        <w:rPr>
          <w:rFonts w:ascii="Tahoma" w:cs="Tahoma" w:hAnsi="Tahoma"/>
          <w:sz w:val="20"/>
        </w:rPr>
        <w:t>.</w:t>
      </w:r>
    </w:p>
    <w:p w14:paraId="1BCA032B" w14:textId="77777777" w:rsidP="0056630C" w:rsidR="00A83E3A" w:rsidRDefault="00A83E3A" w:rsidRPr="00E2675B">
      <w:pPr>
        <w:pStyle w:val="texte"/>
        <w:spacing w:before="120"/>
        <w:rPr>
          <w:rFonts w:ascii="Tahoma" w:cs="Tahoma" w:hAnsi="Tahoma"/>
          <w:sz w:val="20"/>
        </w:rPr>
      </w:pPr>
      <w:r w:rsidRPr="00E2675B">
        <w:rPr>
          <w:rFonts w:ascii="Tahoma" w:cs="Tahoma" w:hAnsi="Tahoma"/>
          <w:sz w:val="20"/>
        </w:rPr>
        <w:t>À cette dernière date, il prendra fin automatiquement, sans se transformer en accord à durée indéterminée, en raison de l'obligation de négocier un nouvel accord et du rattachement des avantages ci-après aux objectifs économiques de la période pendant laquelle il produira effet.</w:t>
      </w:r>
    </w:p>
    <w:p w14:paraId="2FE85C18" w14:textId="25D9171A" w:rsidP="00DE1BEA" w:rsidR="002E2CBE" w:rsidRDefault="002E2CBE">
      <w:pPr>
        <w:pStyle w:val="texte"/>
        <w:spacing w:before="120"/>
        <w:rPr>
          <w:rFonts w:ascii="Tahoma" w:cs="Tahoma" w:hAnsi="Tahoma"/>
          <w:sz w:val="20"/>
        </w:rPr>
      </w:pPr>
    </w:p>
    <w:p w14:paraId="4E157120" w14:textId="018C9C50" w:rsidP="007D1857" w:rsidR="007D1857" w:rsidRDefault="007D1857" w:rsidRPr="00E2675B">
      <w:pPr>
        <w:spacing w:before="120"/>
        <w:rPr>
          <w:rFonts w:ascii="Tahoma" w:cs="Tahoma" w:hAnsi="Tahoma"/>
          <w:b/>
          <w:sz w:val="20"/>
          <w:szCs w:val="20"/>
        </w:rPr>
      </w:pPr>
      <w:r w:rsidRPr="00E2675B">
        <w:rPr>
          <w:rFonts w:ascii="Tahoma" w:cs="Tahoma" w:hAnsi="Tahoma"/>
          <w:b/>
          <w:bCs/>
          <w:sz w:val="20"/>
          <w:szCs w:val="20"/>
        </w:rPr>
        <w:t>Article 3 –</w:t>
      </w:r>
      <w:r w:rsidRPr="00E2675B">
        <w:rPr>
          <w:rFonts w:ascii="Tahoma" w:cs="Tahoma" w:hAnsi="Tahoma"/>
          <w:b/>
          <w:sz w:val="20"/>
          <w:szCs w:val="20"/>
        </w:rPr>
        <w:t xml:space="preserve"> </w:t>
      </w:r>
      <w:r>
        <w:rPr>
          <w:rFonts w:ascii="Tahoma" w:cs="Tahoma" w:hAnsi="Tahoma"/>
          <w:b/>
          <w:sz w:val="20"/>
          <w:szCs w:val="20"/>
        </w:rPr>
        <w:t>PRINCIPES</w:t>
      </w:r>
    </w:p>
    <w:p w14:paraId="43DFB56D" w14:textId="104CB099" w:rsidP="007D1857" w:rsidR="00743B5F" w:rsidRDefault="00320D37">
      <w:pPr>
        <w:spacing w:before="120"/>
        <w:rPr>
          <w:rFonts w:ascii="Tahoma" w:cs="Tahoma" w:hAnsi="Tahoma"/>
          <w:bCs/>
          <w:sz w:val="20"/>
        </w:rPr>
      </w:pPr>
      <w:r>
        <w:rPr>
          <w:rFonts w:ascii="Tahoma" w:cs="Tahoma" w:hAnsi="Tahoma"/>
          <w:bCs/>
          <w:sz w:val="20"/>
        </w:rPr>
        <w:t xml:space="preserve">La Direction confirme poursuivre </w:t>
      </w:r>
      <w:r w:rsidR="00743B5F">
        <w:rPr>
          <w:rFonts w:ascii="Tahoma" w:cs="Tahoma" w:hAnsi="Tahoma"/>
          <w:bCs/>
          <w:sz w:val="20"/>
        </w:rPr>
        <w:t>les directives communes définies lors de la NAO conduite au niveau « central », tout en réaffirmant la nécessaire maîtrise de sa masse salariale pour maintenir sa compétitivité.</w:t>
      </w:r>
    </w:p>
    <w:p w14:paraId="223559D1" w14:textId="7EB7DFF0" w:rsidP="007D1857" w:rsidR="007D1857" w:rsidRDefault="00743B5F" w:rsidRPr="00E2675B">
      <w:pPr>
        <w:spacing w:before="120"/>
        <w:rPr>
          <w:rFonts w:ascii="Tahoma" w:cs="Tahoma" w:hAnsi="Tahoma"/>
          <w:bCs/>
          <w:sz w:val="20"/>
        </w:rPr>
      </w:pPr>
      <w:r>
        <w:rPr>
          <w:rFonts w:ascii="Tahoma" w:cs="Tahoma" w:hAnsi="Tahoma"/>
          <w:bCs/>
          <w:sz w:val="20"/>
        </w:rPr>
        <w:t xml:space="preserve">En effet, </w:t>
      </w:r>
      <w:r w:rsidR="007D1857" w:rsidRPr="00E2675B">
        <w:rPr>
          <w:rFonts w:ascii="Tahoma" w:cs="Tahoma" w:hAnsi="Tahoma"/>
          <w:bCs/>
          <w:sz w:val="20"/>
        </w:rPr>
        <w:t>la NAO conduite au niveau « central » a pour objectif de définir une fourchette de budget commune à l’ensemble de</w:t>
      </w:r>
      <w:r>
        <w:rPr>
          <w:rFonts w:ascii="Tahoma" w:cs="Tahoma" w:hAnsi="Tahoma"/>
          <w:bCs/>
          <w:sz w:val="20"/>
        </w:rPr>
        <w:t>s</w:t>
      </w:r>
      <w:r w:rsidR="007D1857" w:rsidRPr="00E2675B">
        <w:rPr>
          <w:rFonts w:ascii="Tahoma" w:cs="Tahoma" w:hAnsi="Tahoma"/>
          <w:bCs/>
          <w:sz w:val="20"/>
        </w:rPr>
        <w:t xml:space="preserve"> </w:t>
      </w:r>
      <w:r>
        <w:rPr>
          <w:rFonts w:ascii="Tahoma" w:cs="Tahoma" w:hAnsi="Tahoma"/>
          <w:bCs/>
          <w:sz w:val="20"/>
        </w:rPr>
        <w:t>entités composant l’UES ENGIE Ineo</w:t>
      </w:r>
      <w:r w:rsidR="007D1857" w:rsidRPr="00E2675B">
        <w:rPr>
          <w:rFonts w:ascii="Tahoma" w:cs="Tahoma" w:hAnsi="Tahoma"/>
          <w:bCs/>
          <w:sz w:val="20"/>
        </w:rPr>
        <w:t xml:space="preserve">. Les négociations menées localement </w:t>
      </w:r>
      <w:r w:rsidR="00AF66E8">
        <w:rPr>
          <w:rFonts w:ascii="Tahoma" w:cs="Tahoma" w:hAnsi="Tahoma"/>
          <w:bCs/>
          <w:sz w:val="20"/>
        </w:rPr>
        <w:t>ont donc porté</w:t>
      </w:r>
      <w:r w:rsidR="007D1857" w:rsidRPr="00E2675B">
        <w:rPr>
          <w:rFonts w:ascii="Tahoma" w:cs="Tahoma" w:hAnsi="Tahoma"/>
          <w:bCs/>
          <w:sz w:val="20"/>
        </w:rPr>
        <w:t xml:space="preserve"> sur la détermination de l’enveloppe budgétaire définitive, nécessairement comprise dans cette fourchette, ainsi que sur les modalités de répartition de celle-ci.</w:t>
      </w:r>
    </w:p>
    <w:p w14:paraId="73C3615E" w14:textId="77777777" w:rsidP="007D1857" w:rsidR="007D1857" w:rsidRDefault="007D1857" w:rsidRPr="00E2675B">
      <w:pPr>
        <w:spacing w:before="120"/>
        <w:rPr>
          <w:rFonts w:ascii="Tahoma" w:cs="Tahoma" w:hAnsi="Tahoma"/>
          <w:bCs/>
          <w:sz w:val="20"/>
        </w:rPr>
      </w:pPr>
      <w:r w:rsidRPr="00E2675B">
        <w:rPr>
          <w:rFonts w:ascii="Tahoma" w:cs="Tahoma" w:hAnsi="Tahoma"/>
          <w:bCs/>
          <w:sz w:val="20"/>
        </w:rPr>
        <w:t>Cette position est conforme au schéma d’organisation d’ENGIE Ineo tant sur le plan juridique, social que managérial.</w:t>
      </w:r>
    </w:p>
    <w:p w14:paraId="442D8ADF" w14:textId="77777777" w:rsidP="00DE1BEA" w:rsidR="007D1857" w:rsidRDefault="007D1857" w:rsidRPr="00E2675B">
      <w:pPr>
        <w:pStyle w:val="texte"/>
        <w:spacing w:before="120"/>
        <w:rPr>
          <w:rFonts w:ascii="Tahoma" w:cs="Tahoma" w:hAnsi="Tahoma"/>
          <w:sz w:val="20"/>
        </w:rPr>
      </w:pPr>
    </w:p>
    <w:p w14:paraId="0021C589" w14:textId="285142EC" w:rsidP="002C38F9" w:rsidR="002C38F9" w:rsidRDefault="002C38F9" w:rsidRPr="00E2675B">
      <w:pPr>
        <w:spacing w:before="120"/>
        <w:rPr>
          <w:rFonts w:ascii="Tahoma" w:cs="Tahoma" w:hAnsi="Tahoma"/>
          <w:b/>
          <w:sz w:val="20"/>
          <w:szCs w:val="20"/>
        </w:rPr>
      </w:pPr>
      <w:r w:rsidRPr="00E2675B">
        <w:rPr>
          <w:rFonts w:ascii="Tahoma" w:cs="Tahoma" w:hAnsi="Tahoma"/>
          <w:b/>
          <w:bCs/>
          <w:sz w:val="20"/>
          <w:szCs w:val="20"/>
        </w:rPr>
        <w:t>Art</w:t>
      </w:r>
      <w:r w:rsidR="00423715" w:rsidRPr="00E2675B">
        <w:rPr>
          <w:rFonts w:ascii="Tahoma" w:cs="Tahoma" w:hAnsi="Tahoma"/>
          <w:b/>
          <w:bCs/>
          <w:sz w:val="20"/>
          <w:szCs w:val="20"/>
        </w:rPr>
        <w:t xml:space="preserve">icle </w:t>
      </w:r>
      <w:r w:rsidR="00DE1BEA">
        <w:rPr>
          <w:rFonts w:ascii="Tahoma" w:cs="Tahoma" w:hAnsi="Tahoma"/>
          <w:b/>
          <w:bCs/>
          <w:sz w:val="20"/>
          <w:szCs w:val="20"/>
        </w:rPr>
        <w:t>4</w:t>
      </w:r>
      <w:r w:rsidRPr="00E2675B">
        <w:rPr>
          <w:rFonts w:ascii="Tahoma" w:cs="Tahoma" w:hAnsi="Tahoma"/>
          <w:b/>
          <w:bCs/>
          <w:sz w:val="20"/>
          <w:szCs w:val="20"/>
        </w:rPr>
        <w:t xml:space="preserve"> –</w:t>
      </w:r>
      <w:r w:rsidRPr="00E2675B">
        <w:rPr>
          <w:rFonts w:ascii="Tahoma" w:cs="Tahoma" w:hAnsi="Tahoma"/>
          <w:b/>
          <w:sz w:val="20"/>
          <w:szCs w:val="20"/>
        </w:rPr>
        <w:t xml:space="preserve"> CALENDRIER DES REVISIONS SALARIALES</w:t>
      </w:r>
    </w:p>
    <w:p w14:paraId="2302B70F" w14:textId="4DEF092A" w:rsidP="004779E0" w:rsidR="001E3A5E" w:rsidRDefault="004779E0" w:rsidRPr="00E2675B">
      <w:pPr>
        <w:spacing w:before="120"/>
        <w:rPr>
          <w:rFonts w:ascii="Tahoma" w:cs="Tahoma" w:hAnsi="Tahoma"/>
          <w:sz w:val="20"/>
        </w:rPr>
      </w:pPr>
      <w:r w:rsidRPr="00E2675B">
        <w:rPr>
          <w:rFonts w:ascii="Tahoma" w:cs="Tahoma" w:hAnsi="Tahoma"/>
          <w:sz w:val="20"/>
        </w:rPr>
        <w:t xml:space="preserve">Pour l’ensemble des collaborateurs, les révisions salariales interviendront </w:t>
      </w:r>
      <w:r w:rsidRPr="00E2675B">
        <w:rPr>
          <w:rFonts w:ascii="Tahoma" w:cs="Tahoma" w:hAnsi="Tahoma"/>
          <w:b/>
          <w:sz w:val="20"/>
        </w:rPr>
        <w:t xml:space="preserve">au </w:t>
      </w:r>
      <w:r w:rsidR="0008787D" w:rsidRPr="00E2675B">
        <w:rPr>
          <w:rFonts w:ascii="Tahoma" w:cs="Tahoma" w:hAnsi="Tahoma"/>
          <w:b/>
          <w:sz w:val="20"/>
        </w:rPr>
        <w:t>3</w:t>
      </w:r>
      <w:r w:rsidR="0089699A" w:rsidRPr="00E2675B">
        <w:rPr>
          <w:rFonts w:ascii="Tahoma" w:cs="Tahoma" w:hAnsi="Tahoma"/>
          <w:b/>
          <w:sz w:val="20"/>
        </w:rPr>
        <w:t>1</w:t>
      </w:r>
      <w:r w:rsidR="0008787D" w:rsidRPr="00E2675B">
        <w:rPr>
          <w:rFonts w:ascii="Tahoma" w:cs="Tahoma" w:hAnsi="Tahoma"/>
          <w:b/>
          <w:sz w:val="20"/>
        </w:rPr>
        <w:t>/0</w:t>
      </w:r>
      <w:r w:rsidR="0089699A" w:rsidRPr="00E2675B">
        <w:rPr>
          <w:rFonts w:ascii="Tahoma" w:cs="Tahoma" w:hAnsi="Tahoma"/>
          <w:b/>
          <w:sz w:val="20"/>
        </w:rPr>
        <w:t>3</w:t>
      </w:r>
      <w:r w:rsidR="0008787D" w:rsidRPr="00E2675B">
        <w:rPr>
          <w:rFonts w:ascii="Tahoma" w:cs="Tahoma" w:hAnsi="Tahoma"/>
          <w:b/>
          <w:sz w:val="20"/>
        </w:rPr>
        <w:t>/20</w:t>
      </w:r>
      <w:r w:rsidR="0089699A" w:rsidRPr="00E2675B">
        <w:rPr>
          <w:rFonts w:ascii="Tahoma" w:cs="Tahoma" w:hAnsi="Tahoma"/>
          <w:b/>
          <w:sz w:val="20"/>
        </w:rPr>
        <w:t>2</w:t>
      </w:r>
      <w:r w:rsidR="00357988" w:rsidRPr="00E2675B">
        <w:rPr>
          <w:rFonts w:ascii="Tahoma" w:cs="Tahoma" w:hAnsi="Tahoma"/>
          <w:b/>
          <w:sz w:val="20"/>
        </w:rPr>
        <w:t>2</w:t>
      </w:r>
      <w:r w:rsidRPr="00E2675B">
        <w:rPr>
          <w:rFonts w:ascii="Tahoma" w:cs="Tahoma" w:hAnsi="Tahoma"/>
          <w:sz w:val="20"/>
        </w:rPr>
        <w:t xml:space="preserve"> avec effet </w:t>
      </w:r>
      <w:r w:rsidR="0008787D" w:rsidRPr="00E2675B">
        <w:rPr>
          <w:rFonts w:ascii="Tahoma" w:cs="Tahoma" w:hAnsi="Tahoma"/>
          <w:sz w:val="20"/>
        </w:rPr>
        <w:t>rétroactif au 01/01/20</w:t>
      </w:r>
      <w:r w:rsidR="0089699A" w:rsidRPr="00E2675B">
        <w:rPr>
          <w:rFonts w:ascii="Tahoma" w:cs="Tahoma" w:hAnsi="Tahoma"/>
          <w:sz w:val="20"/>
        </w:rPr>
        <w:t>2</w:t>
      </w:r>
      <w:r w:rsidR="00357988" w:rsidRPr="00E2675B">
        <w:rPr>
          <w:rFonts w:ascii="Tahoma" w:cs="Tahoma" w:hAnsi="Tahoma"/>
          <w:sz w:val="20"/>
        </w:rPr>
        <w:t>2</w:t>
      </w:r>
      <w:r w:rsidRPr="00E2675B">
        <w:rPr>
          <w:rFonts w:ascii="Tahoma" w:cs="Tahoma" w:hAnsi="Tahoma"/>
          <w:sz w:val="20"/>
        </w:rPr>
        <w:t>.</w:t>
      </w:r>
      <w:r w:rsidR="00537190" w:rsidRPr="00E2675B">
        <w:rPr>
          <w:rFonts w:ascii="Tahoma" w:cs="Tahoma" w:hAnsi="Tahoma"/>
          <w:sz w:val="20"/>
        </w:rPr>
        <w:t xml:space="preserve"> Elles n’auront pas vocation à impacter le calcul des heures supplémentaires versées le cas échéant entre le 1</w:t>
      </w:r>
      <w:r w:rsidR="00537190" w:rsidRPr="00E2675B">
        <w:rPr>
          <w:rFonts w:ascii="Tahoma" w:cs="Tahoma" w:hAnsi="Tahoma"/>
          <w:sz w:val="20"/>
          <w:vertAlign w:val="superscript"/>
        </w:rPr>
        <w:t>er</w:t>
      </w:r>
      <w:r w:rsidR="00537190" w:rsidRPr="00E2675B">
        <w:rPr>
          <w:rFonts w:ascii="Tahoma" w:cs="Tahoma" w:hAnsi="Tahoma"/>
          <w:sz w:val="20"/>
        </w:rPr>
        <w:t xml:space="preserve"> janvier 202</w:t>
      </w:r>
      <w:r w:rsidR="00357988" w:rsidRPr="00E2675B">
        <w:rPr>
          <w:rFonts w:ascii="Tahoma" w:cs="Tahoma" w:hAnsi="Tahoma"/>
          <w:sz w:val="20"/>
        </w:rPr>
        <w:t>2</w:t>
      </w:r>
      <w:r w:rsidR="00537190" w:rsidRPr="00E2675B">
        <w:rPr>
          <w:rFonts w:ascii="Tahoma" w:cs="Tahoma" w:hAnsi="Tahoma"/>
          <w:sz w:val="20"/>
        </w:rPr>
        <w:t xml:space="preserve"> et le 28 février 202</w:t>
      </w:r>
      <w:r w:rsidR="00357988" w:rsidRPr="00E2675B">
        <w:rPr>
          <w:rFonts w:ascii="Tahoma" w:cs="Tahoma" w:hAnsi="Tahoma"/>
          <w:sz w:val="20"/>
        </w:rPr>
        <w:t>2</w:t>
      </w:r>
      <w:r w:rsidR="00537190" w:rsidRPr="00E2675B">
        <w:rPr>
          <w:rFonts w:ascii="Tahoma" w:cs="Tahoma" w:hAnsi="Tahoma"/>
          <w:sz w:val="20"/>
        </w:rPr>
        <w:t>.</w:t>
      </w:r>
    </w:p>
    <w:p w14:paraId="663F66A6" w14:textId="731E3F9B" w:rsidP="004779E0" w:rsidR="00FF1D97" w:rsidRDefault="00FF1D97">
      <w:pPr>
        <w:spacing w:before="120"/>
        <w:rPr>
          <w:rFonts w:ascii="Tahoma" w:cs="Tahoma" w:hAnsi="Tahoma"/>
          <w:sz w:val="20"/>
        </w:rPr>
      </w:pPr>
      <w:r w:rsidRPr="00E2675B">
        <w:rPr>
          <w:rFonts w:ascii="Tahoma" w:cs="Tahoma" w:hAnsi="Tahoma"/>
          <w:sz w:val="20"/>
        </w:rPr>
        <w:t xml:space="preserve">Par ailleurs, </w:t>
      </w:r>
      <w:r w:rsidR="002D590A" w:rsidRPr="00E2675B">
        <w:rPr>
          <w:rFonts w:ascii="Tahoma" w:cs="Tahoma" w:hAnsi="Tahoma"/>
          <w:sz w:val="20"/>
        </w:rPr>
        <w:t xml:space="preserve">toute autre mesure décidée en cours d’année (notamment les promotions) sera appliquée </w:t>
      </w:r>
      <w:r w:rsidR="00957570" w:rsidRPr="00E2675B">
        <w:rPr>
          <w:rFonts w:ascii="Tahoma" w:cs="Tahoma" w:hAnsi="Tahoma"/>
          <w:sz w:val="20"/>
        </w:rPr>
        <w:t>au 1</w:t>
      </w:r>
      <w:r w:rsidR="00957570" w:rsidRPr="00E2675B">
        <w:rPr>
          <w:rFonts w:ascii="Tahoma" w:cs="Tahoma" w:hAnsi="Tahoma"/>
          <w:sz w:val="20"/>
          <w:vertAlign w:val="superscript"/>
        </w:rPr>
        <w:t>er</w:t>
      </w:r>
      <w:r w:rsidR="00957570" w:rsidRPr="00E2675B">
        <w:rPr>
          <w:rFonts w:ascii="Tahoma" w:cs="Tahoma" w:hAnsi="Tahoma"/>
          <w:sz w:val="20"/>
        </w:rPr>
        <w:t xml:space="preserve"> jour du mois au cours duquel la décision sera prise.</w:t>
      </w:r>
    </w:p>
    <w:p w14:paraId="3A35745F" w14:textId="2FD13981" w:rsidP="004779E0" w:rsidR="004779E0" w:rsidRDefault="004779E0" w:rsidRPr="00E2675B">
      <w:pPr>
        <w:spacing w:before="120"/>
        <w:rPr>
          <w:rFonts w:ascii="Tahoma" w:cs="Tahoma" w:hAnsi="Tahoma"/>
          <w:sz w:val="20"/>
        </w:rPr>
      </w:pPr>
      <w:r w:rsidRPr="00E2675B">
        <w:rPr>
          <w:rFonts w:ascii="Tahoma" w:cs="Tahoma" w:hAnsi="Tahoma"/>
          <w:sz w:val="20"/>
        </w:rPr>
        <w:t>S’agissant des primes ver</w:t>
      </w:r>
      <w:r w:rsidR="0008787D" w:rsidRPr="00E2675B">
        <w:rPr>
          <w:rFonts w:ascii="Tahoma" w:cs="Tahoma" w:hAnsi="Tahoma"/>
          <w:sz w:val="20"/>
        </w:rPr>
        <w:t>sées au titre de l’exercice 20</w:t>
      </w:r>
      <w:r w:rsidR="00B665DB" w:rsidRPr="00E2675B">
        <w:rPr>
          <w:rFonts w:ascii="Tahoma" w:cs="Tahoma" w:hAnsi="Tahoma"/>
          <w:sz w:val="20"/>
        </w:rPr>
        <w:t>2</w:t>
      </w:r>
      <w:r w:rsidR="00357988" w:rsidRPr="00E2675B">
        <w:rPr>
          <w:rFonts w:ascii="Tahoma" w:cs="Tahoma" w:hAnsi="Tahoma"/>
          <w:sz w:val="20"/>
        </w:rPr>
        <w:t>1</w:t>
      </w:r>
      <w:r w:rsidRPr="00E2675B">
        <w:rPr>
          <w:rFonts w:ascii="Tahoma" w:cs="Tahoma" w:hAnsi="Tahoma"/>
          <w:sz w:val="20"/>
        </w:rPr>
        <w:t> :</w:t>
      </w:r>
    </w:p>
    <w:p w14:paraId="2FBE23A6" w14:textId="284458A0" w:rsidP="00CE19E7" w:rsidR="004779E0" w:rsidRDefault="004779E0" w:rsidRPr="00E2675B">
      <w:pPr>
        <w:numPr>
          <w:ilvl w:val="0"/>
          <w:numId w:val="1"/>
        </w:numPr>
        <w:tabs>
          <w:tab w:pos="1170" w:val="clear"/>
          <w:tab w:pos="720" w:val="num"/>
        </w:tabs>
        <w:spacing w:before="120"/>
        <w:ind w:left="720"/>
        <w:rPr>
          <w:rFonts w:ascii="Tahoma" w:cs="Tahoma" w:hAnsi="Tahoma"/>
          <w:sz w:val="20"/>
        </w:rPr>
      </w:pPr>
      <w:r w:rsidRPr="00E2675B">
        <w:rPr>
          <w:rFonts w:ascii="Tahoma" w:cs="Tahoma" w:hAnsi="Tahoma"/>
          <w:sz w:val="20"/>
        </w:rPr>
        <w:t xml:space="preserve">pour les OUVRIERS et ETAM : date de versement des GFA </w:t>
      </w:r>
      <w:r w:rsidR="00B27AB2">
        <w:rPr>
          <w:rFonts w:ascii="Tahoma" w:cs="Tahoma" w:hAnsi="Tahoma"/>
          <w:sz w:val="20"/>
        </w:rPr>
        <w:t>en Novembre 2021</w:t>
      </w:r>
      <w:r w:rsidRPr="00E2675B">
        <w:rPr>
          <w:rFonts w:ascii="Tahoma" w:cs="Tahoma" w:hAnsi="Tahoma"/>
          <w:sz w:val="20"/>
        </w:rPr>
        <w:t> ;</w:t>
      </w:r>
    </w:p>
    <w:p w14:paraId="2C6A678E" w14:textId="4449B61C" w:rsidP="00CE19E7" w:rsidR="004779E0" w:rsidRDefault="004779E0" w:rsidRPr="00E2675B">
      <w:pPr>
        <w:numPr>
          <w:ilvl w:val="0"/>
          <w:numId w:val="1"/>
        </w:numPr>
        <w:tabs>
          <w:tab w:pos="1170" w:val="clear"/>
          <w:tab w:pos="720" w:val="num"/>
        </w:tabs>
        <w:spacing w:before="120"/>
        <w:ind w:left="720"/>
        <w:rPr>
          <w:rFonts w:ascii="Tahoma" w:cs="Tahoma" w:hAnsi="Tahoma"/>
          <w:sz w:val="20"/>
        </w:rPr>
      </w:pPr>
      <w:r w:rsidRPr="00E2675B">
        <w:rPr>
          <w:rFonts w:ascii="Tahoma" w:cs="Tahoma" w:hAnsi="Tahoma"/>
          <w:sz w:val="20"/>
        </w:rPr>
        <w:t xml:space="preserve">pour les IAC : versement </w:t>
      </w:r>
      <w:r w:rsidRPr="00E2675B">
        <w:rPr>
          <w:rFonts w:ascii="Tahoma" w:cs="Tahoma" w:hAnsi="Tahoma"/>
          <w:b/>
          <w:sz w:val="20"/>
        </w:rPr>
        <w:t xml:space="preserve">en </w:t>
      </w:r>
      <w:r w:rsidR="0089699A" w:rsidRPr="00E2675B">
        <w:rPr>
          <w:rFonts w:ascii="Tahoma" w:cs="Tahoma" w:hAnsi="Tahoma"/>
          <w:b/>
          <w:sz w:val="20"/>
        </w:rPr>
        <w:t>mars</w:t>
      </w:r>
      <w:r w:rsidR="0008787D" w:rsidRPr="00E2675B">
        <w:rPr>
          <w:rFonts w:ascii="Tahoma" w:cs="Tahoma" w:hAnsi="Tahoma"/>
          <w:b/>
          <w:sz w:val="20"/>
        </w:rPr>
        <w:t xml:space="preserve"> 20</w:t>
      </w:r>
      <w:r w:rsidR="00B665DB" w:rsidRPr="00E2675B">
        <w:rPr>
          <w:rFonts w:ascii="Tahoma" w:cs="Tahoma" w:hAnsi="Tahoma"/>
          <w:b/>
          <w:sz w:val="20"/>
        </w:rPr>
        <w:t>2</w:t>
      </w:r>
      <w:r w:rsidR="00357988" w:rsidRPr="00E2675B">
        <w:rPr>
          <w:rFonts w:ascii="Tahoma" w:cs="Tahoma" w:hAnsi="Tahoma"/>
          <w:b/>
          <w:sz w:val="20"/>
        </w:rPr>
        <w:t>2</w:t>
      </w:r>
      <w:r w:rsidRPr="00E2675B">
        <w:rPr>
          <w:rFonts w:ascii="Tahoma" w:cs="Tahoma" w:hAnsi="Tahoma"/>
          <w:sz w:val="20"/>
        </w:rPr>
        <w:t xml:space="preserve"> des PVA.</w:t>
      </w:r>
    </w:p>
    <w:p w14:paraId="09137AAC" w14:textId="77777777" w:rsidP="004779E0" w:rsidR="004779E0" w:rsidRDefault="004779E0" w:rsidRPr="00E2675B">
      <w:pPr>
        <w:pStyle w:val="texte"/>
        <w:spacing w:before="120"/>
        <w:rPr>
          <w:rFonts w:ascii="Tahoma" w:cs="Tahoma" w:hAnsi="Tahoma"/>
          <w:sz w:val="20"/>
        </w:rPr>
      </w:pPr>
      <w:r w:rsidRPr="00E2675B">
        <w:rPr>
          <w:rFonts w:ascii="Tahoma" w:cs="Tahoma" w:hAnsi="Tahoma"/>
          <w:sz w:val="20"/>
        </w:rPr>
        <w:t>Indépendamment du salaire annuel brut de base contractuel, les primes ou gratifications doivent être basées sur le principe de fixation d’objectifs et d’appréciation de la performance.</w:t>
      </w:r>
    </w:p>
    <w:p w14:paraId="4B55C1EB" w14:textId="77777777" w:rsidP="002C38F9" w:rsidR="002C38F9" w:rsidRDefault="002C38F9" w:rsidRPr="00E2675B">
      <w:pPr>
        <w:pStyle w:val="texte"/>
        <w:spacing w:before="120"/>
        <w:rPr>
          <w:rFonts w:ascii="Tahoma" w:cs="Tahoma" w:hAnsi="Tahoma"/>
          <w:sz w:val="20"/>
        </w:rPr>
      </w:pPr>
    </w:p>
    <w:p w14:paraId="33FD3F5F" w14:textId="05C25850" w:rsidP="002C38F9" w:rsidR="002C38F9" w:rsidRDefault="002C38F9" w:rsidRPr="00E2675B">
      <w:pPr>
        <w:spacing w:before="120"/>
        <w:rPr>
          <w:rFonts w:ascii="Tahoma" w:cs="Tahoma" w:hAnsi="Tahoma"/>
          <w:b/>
          <w:bCs/>
          <w:sz w:val="20"/>
          <w:szCs w:val="20"/>
        </w:rPr>
      </w:pPr>
      <w:r w:rsidRPr="00E2675B">
        <w:rPr>
          <w:rFonts w:ascii="Tahoma" w:cs="Tahoma" w:hAnsi="Tahoma"/>
          <w:b/>
          <w:bCs/>
          <w:sz w:val="20"/>
          <w:szCs w:val="20"/>
        </w:rPr>
        <w:t>Art</w:t>
      </w:r>
      <w:r w:rsidR="00423715" w:rsidRPr="00E2675B">
        <w:rPr>
          <w:rFonts w:ascii="Tahoma" w:cs="Tahoma" w:hAnsi="Tahoma"/>
          <w:b/>
          <w:bCs/>
          <w:sz w:val="20"/>
          <w:szCs w:val="20"/>
        </w:rPr>
        <w:t>icle</w:t>
      </w:r>
      <w:r w:rsidRPr="00E2675B">
        <w:rPr>
          <w:rFonts w:ascii="Tahoma" w:cs="Tahoma" w:hAnsi="Tahoma"/>
          <w:b/>
          <w:bCs/>
          <w:sz w:val="20"/>
          <w:szCs w:val="20"/>
        </w:rPr>
        <w:t xml:space="preserve"> </w:t>
      </w:r>
      <w:r w:rsidR="00DE1BEA">
        <w:rPr>
          <w:rFonts w:ascii="Tahoma" w:cs="Tahoma" w:hAnsi="Tahoma"/>
          <w:b/>
          <w:bCs/>
          <w:sz w:val="20"/>
          <w:szCs w:val="20"/>
        </w:rPr>
        <w:t>5</w:t>
      </w:r>
      <w:r w:rsidR="00E54983" w:rsidRPr="00E2675B">
        <w:rPr>
          <w:rFonts w:ascii="Tahoma" w:cs="Tahoma" w:hAnsi="Tahoma"/>
          <w:b/>
          <w:bCs/>
          <w:sz w:val="20"/>
          <w:szCs w:val="20"/>
        </w:rPr>
        <w:t xml:space="preserve"> – BUDGET </w:t>
      </w:r>
      <w:r w:rsidR="0089699A" w:rsidRPr="00E2675B">
        <w:rPr>
          <w:rFonts w:ascii="Tahoma" w:cs="Tahoma" w:hAnsi="Tahoma"/>
          <w:b/>
          <w:bCs/>
          <w:sz w:val="20"/>
          <w:szCs w:val="20"/>
        </w:rPr>
        <w:t>202</w:t>
      </w:r>
      <w:r w:rsidR="00357988" w:rsidRPr="00E2675B">
        <w:rPr>
          <w:rFonts w:ascii="Tahoma" w:cs="Tahoma" w:hAnsi="Tahoma"/>
          <w:b/>
          <w:bCs/>
          <w:sz w:val="20"/>
          <w:szCs w:val="20"/>
        </w:rPr>
        <w:t>2</w:t>
      </w:r>
    </w:p>
    <w:p w14:paraId="37FF1117" w14:textId="5B4807E2" w:rsidP="00E54983" w:rsidR="00E54983" w:rsidRDefault="00E54983" w:rsidRPr="00063C6C">
      <w:pPr>
        <w:spacing w:before="120"/>
        <w:rPr>
          <w:rFonts w:ascii="Tahoma" w:cs="Tahoma" w:hAnsi="Tahoma"/>
          <w:bCs/>
          <w:sz w:val="20"/>
        </w:rPr>
      </w:pPr>
      <w:bookmarkStart w:id="0" w:name="_Hlk498584046"/>
      <w:r w:rsidRPr="00E2675B">
        <w:rPr>
          <w:rFonts w:ascii="Tahoma" w:cs="Tahoma" w:hAnsi="Tahoma"/>
          <w:bCs/>
          <w:sz w:val="20"/>
        </w:rPr>
        <w:t xml:space="preserve">Compte tenu </w:t>
      </w:r>
      <w:r w:rsidR="00051CE5" w:rsidRPr="00E2675B">
        <w:rPr>
          <w:rFonts w:ascii="Tahoma" w:cs="Tahoma" w:hAnsi="Tahoma"/>
          <w:bCs/>
          <w:sz w:val="20"/>
        </w:rPr>
        <w:t>de la si</w:t>
      </w:r>
      <w:r w:rsidR="007C7C13" w:rsidRPr="00E2675B">
        <w:rPr>
          <w:rFonts w:ascii="Tahoma" w:cs="Tahoma" w:hAnsi="Tahoma"/>
          <w:bCs/>
          <w:sz w:val="20"/>
        </w:rPr>
        <w:t>tuation</w:t>
      </w:r>
      <w:r w:rsidRPr="00E2675B">
        <w:rPr>
          <w:rFonts w:ascii="Tahoma" w:cs="Tahoma" w:hAnsi="Tahoma"/>
          <w:bCs/>
          <w:sz w:val="20"/>
        </w:rPr>
        <w:t xml:space="preserve"> économique, </w:t>
      </w:r>
      <w:r w:rsidRPr="00E2675B">
        <w:rPr>
          <w:rFonts w:ascii="Tahoma" w:cs="Tahoma" w:hAnsi="Tahoma"/>
          <w:b/>
          <w:bCs/>
          <w:sz w:val="20"/>
        </w:rPr>
        <w:t xml:space="preserve">le budget de revalorisation salariale pour l’année </w:t>
      </w:r>
      <w:r w:rsidR="002D4A8A" w:rsidRPr="00E2675B">
        <w:rPr>
          <w:rFonts w:ascii="Tahoma" w:cs="Tahoma" w:hAnsi="Tahoma"/>
          <w:b/>
          <w:bCs/>
          <w:sz w:val="20"/>
        </w:rPr>
        <w:t>202</w:t>
      </w:r>
      <w:r w:rsidR="00E939EC" w:rsidRPr="00E2675B">
        <w:rPr>
          <w:rFonts w:ascii="Tahoma" w:cs="Tahoma" w:hAnsi="Tahoma"/>
          <w:b/>
          <w:bCs/>
          <w:sz w:val="20"/>
        </w:rPr>
        <w:t>2</w:t>
      </w:r>
      <w:r w:rsidRPr="00E2675B">
        <w:rPr>
          <w:rFonts w:ascii="Tahoma" w:cs="Tahoma" w:hAnsi="Tahoma"/>
          <w:b/>
          <w:bCs/>
          <w:sz w:val="20"/>
        </w:rPr>
        <w:t xml:space="preserve"> </w:t>
      </w:r>
      <w:r w:rsidR="00C26EC2">
        <w:rPr>
          <w:rFonts w:ascii="Tahoma" w:cs="Tahoma" w:hAnsi="Tahoma"/>
          <w:b/>
          <w:bCs/>
          <w:sz w:val="20"/>
        </w:rPr>
        <w:t>est</w:t>
      </w:r>
      <w:r w:rsidR="00BB2D11">
        <w:rPr>
          <w:rFonts w:ascii="Tahoma" w:cs="Tahoma" w:hAnsi="Tahoma"/>
          <w:b/>
          <w:bCs/>
          <w:sz w:val="20"/>
        </w:rPr>
        <w:t xml:space="preserve"> de</w:t>
      </w:r>
      <w:r w:rsidRPr="00063C6C">
        <w:rPr>
          <w:rFonts w:ascii="Tahoma" w:cs="Tahoma" w:hAnsi="Tahoma"/>
          <w:b/>
          <w:bCs/>
          <w:sz w:val="20"/>
        </w:rPr>
        <w:t xml:space="preserve"> </w:t>
      </w:r>
      <w:r w:rsidR="00952D60" w:rsidRPr="00063C6C">
        <w:rPr>
          <w:rFonts w:ascii="Tahoma" w:cs="Tahoma" w:hAnsi="Tahoma"/>
          <w:b/>
          <w:bCs/>
          <w:sz w:val="20"/>
        </w:rPr>
        <w:t>3</w:t>
      </w:r>
      <w:r w:rsidR="001066B5" w:rsidRPr="00063C6C">
        <w:rPr>
          <w:rFonts w:ascii="Tahoma" w:cs="Tahoma" w:hAnsi="Tahoma"/>
          <w:b/>
          <w:bCs/>
          <w:sz w:val="20"/>
        </w:rPr>
        <w:t xml:space="preserve"> </w:t>
      </w:r>
      <w:r w:rsidRPr="00063C6C">
        <w:rPr>
          <w:rFonts w:ascii="Tahoma" w:cs="Tahoma" w:hAnsi="Tahoma"/>
          <w:b/>
          <w:bCs/>
          <w:sz w:val="20"/>
        </w:rPr>
        <w:t>%</w:t>
      </w:r>
      <w:r w:rsidRPr="00063C6C">
        <w:rPr>
          <w:rFonts w:ascii="Tahoma" w:cs="Tahoma" w:hAnsi="Tahoma"/>
          <w:bCs/>
          <w:sz w:val="20"/>
        </w:rPr>
        <w:t xml:space="preserve"> de la masse des salaires mensuels bruts de base de l’effectif permanent (présents du 01/01/20</w:t>
      </w:r>
      <w:r w:rsidR="00B665DB" w:rsidRPr="00063C6C">
        <w:rPr>
          <w:rFonts w:ascii="Tahoma" w:cs="Tahoma" w:hAnsi="Tahoma"/>
          <w:bCs/>
          <w:sz w:val="20"/>
        </w:rPr>
        <w:t>2</w:t>
      </w:r>
      <w:r w:rsidR="00565346" w:rsidRPr="00063C6C">
        <w:rPr>
          <w:rFonts w:ascii="Tahoma" w:cs="Tahoma" w:hAnsi="Tahoma"/>
          <w:bCs/>
          <w:sz w:val="20"/>
        </w:rPr>
        <w:t>1</w:t>
      </w:r>
      <w:r w:rsidRPr="00063C6C">
        <w:rPr>
          <w:rFonts w:ascii="Tahoma" w:cs="Tahoma" w:hAnsi="Tahoma"/>
          <w:bCs/>
          <w:sz w:val="20"/>
        </w:rPr>
        <w:t xml:space="preserve"> au 01/01/20</w:t>
      </w:r>
      <w:r w:rsidR="0089699A" w:rsidRPr="00063C6C">
        <w:rPr>
          <w:rFonts w:ascii="Tahoma" w:cs="Tahoma" w:hAnsi="Tahoma"/>
          <w:bCs/>
          <w:sz w:val="20"/>
        </w:rPr>
        <w:t>2</w:t>
      </w:r>
      <w:r w:rsidR="00565346" w:rsidRPr="00063C6C">
        <w:rPr>
          <w:rFonts w:ascii="Tahoma" w:cs="Tahoma" w:hAnsi="Tahoma"/>
          <w:bCs/>
          <w:sz w:val="20"/>
        </w:rPr>
        <w:t>2</w:t>
      </w:r>
      <w:r w:rsidRPr="00063C6C">
        <w:rPr>
          <w:rFonts w:ascii="Tahoma" w:cs="Tahoma" w:hAnsi="Tahoma"/>
          <w:bCs/>
          <w:sz w:val="20"/>
        </w:rPr>
        <w:t>).</w:t>
      </w:r>
      <w:r w:rsidR="002D4A8A" w:rsidRPr="00063C6C">
        <w:rPr>
          <w:rFonts w:ascii="Tahoma" w:cs="Tahoma" w:hAnsi="Tahoma"/>
          <w:bCs/>
          <w:sz w:val="20"/>
        </w:rPr>
        <w:t xml:space="preserve"> </w:t>
      </w:r>
    </w:p>
    <w:p w14:paraId="36E17F9C" w14:textId="5DDE77D5" w:rsidP="00401AF1" w:rsidR="00FC5680" w:rsidRDefault="00D34A33">
      <w:pPr>
        <w:spacing w:before="120"/>
        <w:rPr>
          <w:rFonts w:ascii="Tahoma" w:cs="Tahoma" w:hAnsi="Tahoma"/>
          <w:bCs/>
          <w:sz w:val="20"/>
        </w:rPr>
      </w:pPr>
      <w:r w:rsidRPr="00063C6C">
        <w:rPr>
          <w:rFonts w:ascii="Tahoma" w:cs="Tahoma" w:hAnsi="Tahoma"/>
          <w:bCs/>
          <w:sz w:val="20"/>
        </w:rPr>
        <w:t xml:space="preserve">Ce budget </w:t>
      </w:r>
      <w:r w:rsidRPr="00063C6C">
        <w:rPr>
          <w:rFonts w:ascii="Tahoma" w:cs="Tahoma" w:hAnsi="Tahoma"/>
          <w:b/>
          <w:sz w:val="20"/>
        </w:rPr>
        <w:t>int</w:t>
      </w:r>
      <w:r w:rsidR="00C26EC2">
        <w:rPr>
          <w:rFonts w:ascii="Tahoma" w:cs="Tahoma" w:hAnsi="Tahoma"/>
          <w:b/>
          <w:sz w:val="20"/>
        </w:rPr>
        <w:t>è</w:t>
      </w:r>
      <w:r w:rsidRPr="00063C6C">
        <w:rPr>
          <w:rFonts w:ascii="Tahoma" w:cs="Tahoma" w:hAnsi="Tahoma"/>
          <w:b/>
          <w:sz w:val="20"/>
        </w:rPr>
        <w:t>gr</w:t>
      </w:r>
      <w:r w:rsidR="00C26EC2">
        <w:rPr>
          <w:rFonts w:ascii="Tahoma" w:cs="Tahoma" w:hAnsi="Tahoma"/>
          <w:b/>
          <w:sz w:val="20"/>
        </w:rPr>
        <w:t>e</w:t>
      </w:r>
      <w:r w:rsidRPr="00063C6C">
        <w:rPr>
          <w:rFonts w:ascii="Tahoma" w:cs="Tahoma" w:hAnsi="Tahoma"/>
          <w:b/>
          <w:sz w:val="20"/>
        </w:rPr>
        <w:t xml:space="preserve"> l’ensemble des mesures salariales</w:t>
      </w:r>
      <w:r w:rsidR="00C26EC2">
        <w:rPr>
          <w:rFonts w:ascii="Tahoma" w:cs="Tahoma" w:hAnsi="Tahoma"/>
          <w:b/>
          <w:sz w:val="20"/>
        </w:rPr>
        <w:t xml:space="preserve"> de l’année 2022</w:t>
      </w:r>
      <w:r w:rsidR="00FC5680">
        <w:rPr>
          <w:rFonts w:ascii="Tahoma" w:cs="Tahoma" w:hAnsi="Tahoma"/>
          <w:b/>
          <w:sz w:val="20"/>
        </w:rPr>
        <w:t xml:space="preserve"> </w:t>
      </w:r>
      <w:r w:rsidR="00FC5680" w:rsidRPr="00FC5680">
        <w:rPr>
          <w:rFonts w:ascii="Tahoma" w:cs="Tahoma" w:hAnsi="Tahoma"/>
          <w:bCs/>
          <w:sz w:val="20"/>
        </w:rPr>
        <w:t>(y compris les minimas conventionnels)</w:t>
      </w:r>
      <w:r w:rsidRPr="00FC5680">
        <w:rPr>
          <w:rFonts w:ascii="Tahoma" w:cs="Tahoma" w:hAnsi="Tahoma"/>
          <w:bCs/>
          <w:sz w:val="20"/>
        </w:rPr>
        <w:t xml:space="preserve">, </w:t>
      </w:r>
      <w:r w:rsidR="007270B6" w:rsidRPr="00FC5680">
        <w:rPr>
          <w:rFonts w:ascii="Tahoma" w:cs="Tahoma" w:hAnsi="Tahoma"/>
          <w:b/>
          <w:sz w:val="20"/>
        </w:rPr>
        <w:t>à l’exclusion d</w:t>
      </w:r>
      <w:r w:rsidR="00952D60" w:rsidRPr="00FC5680">
        <w:rPr>
          <w:rFonts w:ascii="Tahoma" w:cs="Tahoma" w:hAnsi="Tahoma"/>
          <w:b/>
          <w:sz w:val="20"/>
        </w:rPr>
        <w:t>es changements de catégorie socio-professionnel</w:t>
      </w:r>
      <w:r w:rsidR="004C7091" w:rsidRPr="00FC5680">
        <w:rPr>
          <w:rFonts w:ascii="Tahoma" w:cs="Tahoma" w:hAnsi="Tahoma"/>
          <w:b/>
          <w:sz w:val="20"/>
        </w:rPr>
        <w:t>le</w:t>
      </w:r>
      <w:r w:rsidR="00952D60" w:rsidRPr="00063C6C">
        <w:rPr>
          <w:rFonts w:ascii="Tahoma" w:cs="Tahoma" w:hAnsi="Tahoma"/>
          <w:bCs/>
          <w:sz w:val="20"/>
        </w:rPr>
        <w:t xml:space="preserve"> </w:t>
      </w:r>
      <w:r w:rsidR="0079215A" w:rsidRPr="00063C6C">
        <w:rPr>
          <w:rFonts w:ascii="Tahoma" w:cs="Tahoma" w:hAnsi="Tahoma"/>
          <w:sz w:val="20"/>
        </w:rPr>
        <w:t>(</w:t>
      </w:r>
      <w:r w:rsidR="00C26EC2">
        <w:rPr>
          <w:rFonts w:ascii="Tahoma" w:cs="Tahoma" w:hAnsi="Tahoma"/>
          <w:sz w:val="20"/>
        </w:rPr>
        <w:t>O</w:t>
      </w:r>
      <w:r w:rsidR="0079215A" w:rsidRPr="00063C6C">
        <w:rPr>
          <w:rFonts w:ascii="Tahoma" w:cs="Tahoma" w:hAnsi="Tahoma"/>
          <w:sz w:val="20"/>
        </w:rPr>
        <w:t xml:space="preserve">uvrier vers ETAM ou ETAM vers </w:t>
      </w:r>
      <w:r w:rsidR="00C26EC2">
        <w:rPr>
          <w:rFonts w:ascii="Tahoma" w:cs="Tahoma" w:hAnsi="Tahoma"/>
          <w:sz w:val="20"/>
        </w:rPr>
        <w:t>C</w:t>
      </w:r>
      <w:r w:rsidR="0079215A" w:rsidRPr="00063C6C">
        <w:rPr>
          <w:rFonts w:ascii="Tahoma" w:cs="Tahoma" w:hAnsi="Tahoma"/>
          <w:sz w:val="20"/>
        </w:rPr>
        <w:t>adre</w:t>
      </w:r>
      <w:r w:rsidR="00063C6C">
        <w:rPr>
          <w:rFonts w:ascii="Tahoma" w:cs="Tahoma" w:hAnsi="Tahoma"/>
          <w:sz w:val="20"/>
        </w:rPr>
        <w:t xml:space="preserve">) </w:t>
      </w:r>
      <w:r w:rsidR="00952D60" w:rsidRPr="00FC5680">
        <w:rPr>
          <w:rFonts w:ascii="Tahoma" w:cs="Tahoma" w:hAnsi="Tahoma"/>
          <w:b/>
          <w:sz w:val="20"/>
        </w:rPr>
        <w:t xml:space="preserve">et </w:t>
      </w:r>
      <w:r w:rsidR="007270B6" w:rsidRPr="00FC5680">
        <w:rPr>
          <w:rFonts w:ascii="Tahoma" w:cs="Tahoma" w:hAnsi="Tahoma"/>
          <w:b/>
          <w:sz w:val="20"/>
        </w:rPr>
        <w:t>d</w:t>
      </w:r>
      <w:r w:rsidR="00952D60" w:rsidRPr="00FC5680">
        <w:rPr>
          <w:rFonts w:ascii="Tahoma" w:cs="Tahoma" w:hAnsi="Tahoma"/>
          <w:b/>
          <w:sz w:val="20"/>
        </w:rPr>
        <w:t xml:space="preserve">es effets </w:t>
      </w:r>
      <w:r w:rsidR="007270B6" w:rsidRPr="00FC5680">
        <w:rPr>
          <w:rFonts w:ascii="Tahoma" w:cs="Tahoma" w:hAnsi="Tahoma"/>
          <w:b/>
          <w:sz w:val="20"/>
        </w:rPr>
        <w:t xml:space="preserve">de l’application </w:t>
      </w:r>
      <w:r w:rsidR="00952D60" w:rsidRPr="00FC5680">
        <w:rPr>
          <w:rFonts w:ascii="Tahoma" w:cs="Tahoma" w:hAnsi="Tahoma"/>
          <w:b/>
          <w:sz w:val="20"/>
        </w:rPr>
        <w:t xml:space="preserve">du salaire </w:t>
      </w:r>
      <w:r w:rsidR="004C7091" w:rsidRPr="00FC5680">
        <w:rPr>
          <w:rFonts w:ascii="Tahoma" w:cs="Tahoma" w:hAnsi="Tahoma"/>
          <w:b/>
          <w:sz w:val="20"/>
        </w:rPr>
        <w:t xml:space="preserve">mensuel brut </w:t>
      </w:r>
      <w:r w:rsidR="00952D60" w:rsidRPr="00FC5680">
        <w:rPr>
          <w:rFonts w:ascii="Tahoma" w:cs="Tahoma" w:hAnsi="Tahoma"/>
          <w:b/>
          <w:sz w:val="20"/>
        </w:rPr>
        <w:t>minimum INEO</w:t>
      </w:r>
      <w:r w:rsidR="00FC5680">
        <w:rPr>
          <w:rFonts w:ascii="Tahoma" w:cs="Tahoma" w:hAnsi="Tahoma"/>
          <w:bCs/>
          <w:sz w:val="20"/>
        </w:rPr>
        <w:t>.</w:t>
      </w:r>
    </w:p>
    <w:p w14:paraId="7C2D2F7D" w14:textId="3F5E9AF4" w:rsidP="00401AF1" w:rsidR="001138C3" w:rsidRDefault="00FC5680" w:rsidRPr="00E2675B">
      <w:pPr>
        <w:spacing w:before="120"/>
        <w:rPr>
          <w:rFonts w:ascii="Tahoma" w:cs="Tahoma" w:hAnsi="Tahoma"/>
          <w:bCs/>
          <w:sz w:val="20"/>
        </w:rPr>
      </w:pPr>
      <w:r>
        <w:rPr>
          <w:rFonts w:ascii="Tahoma" w:cs="Tahoma" w:hAnsi="Tahoma"/>
          <w:bCs/>
          <w:sz w:val="20"/>
        </w:rPr>
        <w:t>L</w:t>
      </w:r>
      <w:r w:rsidR="00C26EC2">
        <w:rPr>
          <w:rFonts w:ascii="Tahoma" w:cs="Tahoma" w:hAnsi="Tahoma"/>
          <w:bCs/>
          <w:sz w:val="20"/>
        </w:rPr>
        <w:t xml:space="preserve">es </w:t>
      </w:r>
      <w:r>
        <w:rPr>
          <w:rFonts w:ascii="Tahoma" w:cs="Tahoma" w:hAnsi="Tahoma"/>
          <w:bCs/>
          <w:sz w:val="20"/>
        </w:rPr>
        <w:t>actions</w:t>
      </w:r>
      <w:r w:rsidR="00E54983" w:rsidRPr="00063C6C">
        <w:rPr>
          <w:rFonts w:ascii="Tahoma" w:cs="Tahoma" w:hAnsi="Tahoma"/>
          <w:bCs/>
          <w:sz w:val="20"/>
        </w:rPr>
        <w:t xml:space="preserve"> spécifiques </w:t>
      </w:r>
      <w:r w:rsidR="00F17121">
        <w:rPr>
          <w:rFonts w:ascii="Tahoma" w:cs="Tahoma" w:hAnsi="Tahoma"/>
          <w:bCs/>
          <w:sz w:val="20"/>
        </w:rPr>
        <w:t xml:space="preserve">en cours d’année 2022 </w:t>
      </w:r>
      <w:r w:rsidR="00E54983" w:rsidRPr="00063C6C">
        <w:rPr>
          <w:rFonts w:ascii="Tahoma" w:cs="Tahoma" w:hAnsi="Tahoma"/>
          <w:bCs/>
          <w:sz w:val="20"/>
        </w:rPr>
        <w:t>lié</w:t>
      </w:r>
      <w:r>
        <w:rPr>
          <w:rFonts w:ascii="Tahoma" w:cs="Tahoma" w:hAnsi="Tahoma"/>
          <w:bCs/>
          <w:sz w:val="20"/>
        </w:rPr>
        <w:t>e</w:t>
      </w:r>
      <w:r w:rsidR="00E54983" w:rsidRPr="00063C6C">
        <w:rPr>
          <w:rFonts w:ascii="Tahoma" w:cs="Tahoma" w:hAnsi="Tahoma"/>
          <w:bCs/>
          <w:sz w:val="20"/>
        </w:rPr>
        <w:t xml:space="preserve">s notamment au traitement de populations ciblées (par exemple </w:t>
      </w:r>
      <w:r w:rsidR="004C7091" w:rsidRPr="00063C6C">
        <w:rPr>
          <w:rFonts w:ascii="Tahoma" w:cs="Tahoma" w:hAnsi="Tahoma"/>
          <w:bCs/>
          <w:sz w:val="20"/>
        </w:rPr>
        <w:t xml:space="preserve">effet rétention ou </w:t>
      </w:r>
      <w:r w:rsidR="00F17121">
        <w:rPr>
          <w:rFonts w:ascii="Tahoma" w:cs="Tahoma" w:hAnsi="Tahoma"/>
          <w:bCs/>
          <w:sz w:val="20"/>
        </w:rPr>
        <w:t>promotion</w:t>
      </w:r>
      <w:r w:rsidR="00E54983" w:rsidRPr="00063C6C">
        <w:rPr>
          <w:rFonts w:ascii="Tahoma" w:cs="Tahoma" w:hAnsi="Tahoma"/>
          <w:bCs/>
          <w:sz w:val="20"/>
        </w:rPr>
        <w:t>)</w:t>
      </w:r>
      <w:r w:rsidR="00C26EC2">
        <w:rPr>
          <w:rFonts w:ascii="Tahoma" w:cs="Tahoma" w:hAnsi="Tahoma"/>
          <w:bCs/>
          <w:sz w:val="20"/>
        </w:rPr>
        <w:t xml:space="preserve"> seront ainsi pris</w:t>
      </w:r>
      <w:r>
        <w:rPr>
          <w:rFonts w:ascii="Tahoma" w:cs="Tahoma" w:hAnsi="Tahoma"/>
          <w:bCs/>
          <w:sz w:val="20"/>
        </w:rPr>
        <w:t>es</w:t>
      </w:r>
      <w:r w:rsidR="00C26EC2">
        <w:rPr>
          <w:rFonts w:ascii="Tahoma" w:cs="Tahoma" w:hAnsi="Tahoma"/>
          <w:bCs/>
          <w:sz w:val="20"/>
        </w:rPr>
        <w:t xml:space="preserve"> en compte</w:t>
      </w:r>
      <w:r>
        <w:rPr>
          <w:rFonts w:ascii="Tahoma" w:cs="Tahoma" w:hAnsi="Tahoma"/>
          <w:bCs/>
          <w:sz w:val="20"/>
        </w:rPr>
        <w:t xml:space="preserve"> dans le budget</w:t>
      </w:r>
      <w:r w:rsidR="00E54983" w:rsidRPr="00063C6C">
        <w:rPr>
          <w:rFonts w:ascii="Tahoma" w:cs="Tahoma" w:hAnsi="Tahoma"/>
          <w:bCs/>
          <w:sz w:val="20"/>
        </w:rPr>
        <w:t>.</w:t>
      </w:r>
      <w:r w:rsidR="00401AF1" w:rsidRPr="00063C6C">
        <w:rPr>
          <w:rFonts w:ascii="Tahoma" w:cs="Tahoma" w:hAnsi="Tahoma"/>
          <w:bCs/>
          <w:sz w:val="20"/>
        </w:rPr>
        <w:t xml:space="preserve"> </w:t>
      </w:r>
      <w:r w:rsidR="00F17121">
        <w:rPr>
          <w:rFonts w:ascii="Tahoma" w:cs="Tahoma" w:hAnsi="Tahoma"/>
          <w:bCs/>
          <w:sz w:val="20"/>
        </w:rPr>
        <w:t>I</w:t>
      </w:r>
      <w:r w:rsidR="001138C3" w:rsidRPr="00063C6C">
        <w:rPr>
          <w:rFonts w:ascii="Tahoma" w:cs="Tahoma" w:hAnsi="Tahoma"/>
          <w:sz w:val="20"/>
          <w:szCs w:val="20"/>
        </w:rPr>
        <w:t xml:space="preserve">l est </w:t>
      </w:r>
      <w:r w:rsidR="00F17121">
        <w:rPr>
          <w:rFonts w:ascii="Tahoma" w:cs="Tahoma" w:hAnsi="Tahoma"/>
          <w:sz w:val="20"/>
          <w:szCs w:val="20"/>
        </w:rPr>
        <w:t xml:space="preserve">également </w:t>
      </w:r>
      <w:r w:rsidR="001138C3" w:rsidRPr="00063C6C">
        <w:rPr>
          <w:rFonts w:ascii="Tahoma" w:cs="Tahoma" w:hAnsi="Tahoma"/>
          <w:sz w:val="20"/>
          <w:szCs w:val="20"/>
        </w:rPr>
        <w:t>précisé que si l’enveloppe dédiée aux révisions salariales sera utilisée en mars pour un effet rétroactif au 1</w:t>
      </w:r>
      <w:r w:rsidR="001138C3" w:rsidRPr="00063C6C">
        <w:rPr>
          <w:rFonts w:ascii="Tahoma" w:cs="Tahoma" w:hAnsi="Tahoma"/>
          <w:sz w:val="20"/>
          <w:szCs w:val="20"/>
          <w:vertAlign w:val="superscript"/>
        </w:rPr>
        <w:t>er</w:t>
      </w:r>
      <w:r w:rsidR="001138C3" w:rsidRPr="00063C6C">
        <w:rPr>
          <w:rFonts w:ascii="Tahoma" w:cs="Tahoma" w:hAnsi="Tahoma"/>
          <w:sz w:val="20"/>
          <w:szCs w:val="20"/>
        </w:rPr>
        <w:t xml:space="preserve"> janvier, </w:t>
      </w:r>
      <w:r w:rsidR="00AD60AE" w:rsidRPr="00063C6C">
        <w:rPr>
          <w:rFonts w:ascii="Tahoma" w:cs="Tahoma" w:hAnsi="Tahoma"/>
          <w:sz w:val="20"/>
          <w:szCs w:val="20"/>
        </w:rPr>
        <w:t>celle propre</w:t>
      </w:r>
      <w:r w:rsidR="001138C3" w:rsidRPr="00063C6C">
        <w:rPr>
          <w:rFonts w:ascii="Tahoma" w:cs="Tahoma" w:hAnsi="Tahoma"/>
          <w:sz w:val="20"/>
          <w:szCs w:val="20"/>
        </w:rPr>
        <w:t xml:space="preserve"> au traitement de populations ciblées pourr</w:t>
      </w:r>
      <w:r w:rsidR="00AD60AE" w:rsidRPr="00063C6C">
        <w:rPr>
          <w:rFonts w:ascii="Tahoma" w:cs="Tahoma" w:hAnsi="Tahoma"/>
          <w:sz w:val="20"/>
          <w:szCs w:val="20"/>
        </w:rPr>
        <w:t>a</w:t>
      </w:r>
      <w:r w:rsidR="001138C3" w:rsidRPr="00063C6C">
        <w:rPr>
          <w:rFonts w:ascii="Tahoma" w:cs="Tahoma" w:hAnsi="Tahoma"/>
          <w:sz w:val="20"/>
          <w:szCs w:val="20"/>
        </w:rPr>
        <w:t xml:space="preserve"> être utilisée tout au long de l’année sans effet rétroactif.  </w:t>
      </w:r>
      <w:r w:rsidR="00AD60AE" w:rsidRPr="00063C6C">
        <w:rPr>
          <w:rFonts w:ascii="Tahoma" w:cs="Tahoma" w:hAnsi="Tahoma"/>
          <w:sz w:val="20"/>
          <w:szCs w:val="20"/>
        </w:rPr>
        <w:t xml:space="preserve">Cette dernière part de l’enveloppe fera </w:t>
      </w:r>
      <w:r w:rsidR="001138C3" w:rsidRPr="00063C6C">
        <w:rPr>
          <w:rFonts w:ascii="Tahoma" w:cs="Tahoma" w:hAnsi="Tahoma"/>
          <w:sz w:val="20"/>
          <w:szCs w:val="20"/>
        </w:rPr>
        <w:t>par ailleurs l’objet d’un suivi spécifique.</w:t>
      </w:r>
    </w:p>
    <w:p w14:paraId="24FD513A" w14:textId="172124D6" w:rsidP="00E54983" w:rsidR="00E54983" w:rsidRDefault="00D061C8" w:rsidRPr="00E2675B">
      <w:pPr>
        <w:spacing w:before="120"/>
        <w:rPr>
          <w:rFonts w:ascii="Tahoma" w:cs="Tahoma" w:hAnsi="Tahoma"/>
          <w:bCs/>
          <w:sz w:val="20"/>
        </w:rPr>
      </w:pPr>
      <w:r w:rsidRPr="00E2675B">
        <w:rPr>
          <w:rFonts w:ascii="Tahoma" w:cs="Tahoma" w:hAnsi="Tahoma"/>
          <w:bCs/>
          <w:sz w:val="20"/>
        </w:rPr>
        <w:t>Enfin</w:t>
      </w:r>
      <w:r w:rsidR="00E54983" w:rsidRPr="00E2675B">
        <w:rPr>
          <w:rFonts w:ascii="Tahoma" w:cs="Tahoma" w:hAnsi="Tahoma"/>
          <w:bCs/>
          <w:sz w:val="20"/>
        </w:rPr>
        <w:t>, il est convenu entre les parties que dès lors qu’un salarié bénéficierait d’une revalorisation salariale</w:t>
      </w:r>
      <w:r w:rsidR="00BC7BE4" w:rsidRPr="00E2675B">
        <w:rPr>
          <w:rFonts w:ascii="Tahoma" w:cs="Tahoma" w:hAnsi="Tahoma"/>
          <w:bCs/>
          <w:sz w:val="20"/>
        </w:rPr>
        <w:t xml:space="preserve"> individuelle</w:t>
      </w:r>
      <w:r w:rsidR="00E54983" w:rsidRPr="00E2675B">
        <w:rPr>
          <w:rFonts w:ascii="Tahoma" w:cs="Tahoma" w:hAnsi="Tahoma"/>
          <w:bCs/>
          <w:sz w:val="20"/>
        </w:rPr>
        <w:t>, celle</w:t>
      </w:r>
      <w:r w:rsidR="008F1B71" w:rsidRPr="00E2675B">
        <w:rPr>
          <w:rFonts w:ascii="Tahoma" w:cs="Tahoma" w:hAnsi="Tahoma"/>
          <w:bCs/>
          <w:sz w:val="20"/>
        </w:rPr>
        <w:t>-ci</w:t>
      </w:r>
      <w:r w:rsidR="00E54983" w:rsidRPr="00E2675B">
        <w:rPr>
          <w:rFonts w:ascii="Tahoma" w:cs="Tahoma" w:hAnsi="Tahoma"/>
          <w:bCs/>
          <w:sz w:val="20"/>
        </w:rPr>
        <w:t xml:space="preserve"> ne pourrait être inférieur</w:t>
      </w:r>
      <w:r w:rsidR="008F1B71" w:rsidRPr="00E2675B">
        <w:rPr>
          <w:rFonts w:ascii="Tahoma" w:cs="Tahoma" w:hAnsi="Tahoma"/>
          <w:bCs/>
          <w:sz w:val="20"/>
        </w:rPr>
        <w:t>e</w:t>
      </w:r>
      <w:r w:rsidR="00E54983" w:rsidRPr="00E2675B">
        <w:rPr>
          <w:rFonts w:ascii="Tahoma" w:cs="Tahoma" w:hAnsi="Tahoma"/>
          <w:bCs/>
          <w:sz w:val="20"/>
        </w:rPr>
        <w:t xml:space="preserve"> </w:t>
      </w:r>
      <w:r w:rsidR="00E54983" w:rsidRPr="00063C6C">
        <w:rPr>
          <w:rFonts w:ascii="Tahoma" w:cs="Tahoma" w:hAnsi="Tahoma"/>
          <w:bCs/>
          <w:sz w:val="20"/>
        </w:rPr>
        <w:t xml:space="preserve">à </w:t>
      </w:r>
      <w:r w:rsidR="00952D60" w:rsidRPr="00063C6C">
        <w:rPr>
          <w:rFonts w:ascii="Tahoma" w:cs="Tahoma" w:hAnsi="Tahoma"/>
          <w:b/>
          <w:bCs/>
          <w:sz w:val="20"/>
        </w:rPr>
        <w:t>3</w:t>
      </w:r>
      <w:r w:rsidR="002D4A8A" w:rsidRPr="00063C6C">
        <w:rPr>
          <w:rFonts w:ascii="Tahoma" w:cs="Tahoma" w:hAnsi="Tahoma"/>
          <w:b/>
          <w:bCs/>
          <w:sz w:val="20"/>
        </w:rPr>
        <w:t>5</w:t>
      </w:r>
      <w:r w:rsidR="008F1B71" w:rsidRPr="00063C6C">
        <w:rPr>
          <w:rFonts w:ascii="Tahoma" w:cs="Tahoma" w:hAnsi="Tahoma"/>
          <w:b/>
          <w:bCs/>
          <w:sz w:val="20"/>
        </w:rPr>
        <w:t xml:space="preserve"> € bruts</w:t>
      </w:r>
      <w:r w:rsidR="00155FDF" w:rsidRPr="00063C6C">
        <w:rPr>
          <w:rFonts w:ascii="Tahoma" w:cs="Tahoma" w:hAnsi="Tahoma"/>
          <w:b/>
          <w:bCs/>
          <w:sz w:val="20"/>
        </w:rPr>
        <w:t>,</w:t>
      </w:r>
      <w:r w:rsidR="00522ACF" w:rsidRPr="00063C6C">
        <w:rPr>
          <w:rFonts w:ascii="Tahoma" w:cs="Tahoma" w:hAnsi="Tahoma"/>
          <w:b/>
          <w:bCs/>
          <w:sz w:val="20"/>
        </w:rPr>
        <w:t xml:space="preserve"> pour un </w:t>
      </w:r>
      <w:r w:rsidR="00694CEE" w:rsidRPr="00063C6C">
        <w:rPr>
          <w:rFonts w:ascii="Tahoma" w:cs="Tahoma" w:hAnsi="Tahoma"/>
          <w:b/>
          <w:bCs/>
          <w:sz w:val="20"/>
        </w:rPr>
        <w:t xml:space="preserve">équivalent </w:t>
      </w:r>
      <w:r w:rsidR="00522ACF" w:rsidRPr="00063C6C">
        <w:rPr>
          <w:rFonts w:ascii="Tahoma" w:cs="Tahoma" w:hAnsi="Tahoma"/>
          <w:b/>
          <w:bCs/>
          <w:sz w:val="20"/>
        </w:rPr>
        <w:t>temps plein</w:t>
      </w:r>
      <w:r w:rsidR="008F1B71" w:rsidRPr="00063C6C">
        <w:rPr>
          <w:rFonts w:ascii="Tahoma" w:cs="Tahoma" w:hAnsi="Tahoma"/>
          <w:b/>
          <w:bCs/>
          <w:sz w:val="20"/>
        </w:rPr>
        <w:t>.</w:t>
      </w:r>
      <w:r w:rsidR="00AA3485" w:rsidRPr="00063C6C">
        <w:rPr>
          <w:rFonts w:ascii="Tahoma" w:cs="Tahoma" w:hAnsi="Tahoma"/>
          <w:b/>
          <w:bCs/>
          <w:sz w:val="20"/>
        </w:rPr>
        <w:t xml:space="preserve"> </w:t>
      </w:r>
      <w:r w:rsidR="00AA3485" w:rsidRPr="00063C6C">
        <w:rPr>
          <w:rFonts w:ascii="Tahoma" w:cs="Tahoma" w:hAnsi="Tahoma"/>
          <w:bCs/>
          <w:sz w:val="20"/>
        </w:rPr>
        <w:t>Il est précisé que ce montant minimal d’augmentation</w:t>
      </w:r>
      <w:r w:rsidR="00F14BEF" w:rsidRPr="00063C6C">
        <w:rPr>
          <w:rFonts w:ascii="Tahoma" w:cs="Tahoma" w:hAnsi="Tahoma"/>
          <w:bCs/>
          <w:sz w:val="20"/>
        </w:rPr>
        <w:t xml:space="preserve"> </w:t>
      </w:r>
      <w:r w:rsidR="00AA3485" w:rsidRPr="00063C6C">
        <w:rPr>
          <w:rFonts w:ascii="Tahoma" w:cs="Tahoma" w:hAnsi="Tahoma"/>
          <w:bCs/>
          <w:sz w:val="20"/>
        </w:rPr>
        <w:t>n’aura pas vocation à être renégocié chaque année, mais devra s’intégrer dans le cadre de bonnes pratiques managériales.</w:t>
      </w:r>
    </w:p>
    <w:p w14:paraId="2521F417" w14:textId="0EB51E6A" w:rsidP="00E54983" w:rsidR="00E54983" w:rsidRDefault="00E54983" w:rsidRPr="00E2675B">
      <w:pPr>
        <w:spacing w:before="120"/>
        <w:rPr>
          <w:rFonts w:ascii="Tahoma" w:cs="Tahoma" w:hAnsi="Tahoma"/>
          <w:sz w:val="20"/>
        </w:rPr>
      </w:pPr>
      <w:r w:rsidRPr="00E2675B">
        <w:rPr>
          <w:rFonts w:ascii="Tahoma" w:cs="Tahoma" w:hAnsi="Tahoma"/>
          <w:sz w:val="20"/>
        </w:rPr>
        <w:t>Concernant les promotions, il conviendra de distinguer les éléments suivants</w:t>
      </w:r>
      <w:r w:rsidR="008D23E5" w:rsidRPr="00E2675B">
        <w:rPr>
          <w:rFonts w:ascii="Tahoma" w:cs="Tahoma" w:hAnsi="Tahoma"/>
          <w:sz w:val="20"/>
        </w:rPr>
        <w:t xml:space="preserve"> qui seront tous intégrés dans l’enveloppe négociée</w:t>
      </w:r>
      <w:r w:rsidRPr="00E2675B">
        <w:rPr>
          <w:rFonts w:ascii="Tahoma" w:cs="Tahoma" w:hAnsi="Tahoma"/>
          <w:sz w:val="20"/>
        </w:rPr>
        <w:t> :</w:t>
      </w:r>
    </w:p>
    <w:p w14:paraId="1D571F65" w14:textId="38A9EAC8" w:rsidP="00063C6C" w:rsidR="00E54983" w:rsidRDefault="00E54983" w:rsidRPr="00063C6C">
      <w:pPr>
        <w:numPr>
          <w:ilvl w:val="0"/>
          <w:numId w:val="7"/>
        </w:numPr>
        <w:spacing w:before="60"/>
        <w:ind w:hanging="357" w:left="714"/>
        <w:rPr>
          <w:rFonts w:ascii="Tahoma" w:cs="Tahoma" w:hAnsi="Tahoma"/>
          <w:sz w:val="20"/>
        </w:rPr>
      </w:pPr>
      <w:r w:rsidRPr="00E2675B">
        <w:rPr>
          <w:rFonts w:ascii="Tahoma" w:cs="Tahoma" w:hAnsi="Tahoma"/>
          <w:sz w:val="20"/>
        </w:rPr>
        <w:t>Changement de coefficient à l’intérieur d’une même catégorie socio-professionnelle ;</w:t>
      </w:r>
    </w:p>
    <w:p w14:paraId="325C20D0" w14:textId="33D396A8" w:rsidP="00CE19E7" w:rsidR="00E54983" w:rsidRDefault="00E54983" w:rsidRPr="00E2675B">
      <w:pPr>
        <w:numPr>
          <w:ilvl w:val="0"/>
          <w:numId w:val="7"/>
        </w:numPr>
        <w:ind w:hanging="357" w:left="714"/>
        <w:rPr>
          <w:rFonts w:ascii="Tahoma" w:cs="Tahoma" w:hAnsi="Tahoma"/>
          <w:sz w:val="20"/>
        </w:rPr>
      </w:pPr>
      <w:r w:rsidRPr="00E2675B">
        <w:rPr>
          <w:rFonts w:ascii="Tahoma" w:cs="Tahoma" w:hAnsi="Tahoma"/>
          <w:sz w:val="20"/>
        </w:rPr>
        <w:t>Evolution professionnelle entraînant un changement de poste en cours d’année et justifiant une revalorisation salariale</w:t>
      </w:r>
      <w:r w:rsidR="00066464">
        <w:rPr>
          <w:rFonts w:ascii="Tahoma" w:cs="Tahoma" w:hAnsi="Tahoma"/>
          <w:sz w:val="20"/>
        </w:rPr>
        <w:t xml:space="preserve"> : </w:t>
      </w:r>
      <w:r w:rsidR="00875E3C" w:rsidRPr="005C1CE8">
        <w:rPr>
          <w:rFonts w:ascii="Tahoma" w:cs="Tahoma" w:hAnsi="Tahoma"/>
          <w:sz w:val="20"/>
        </w:rPr>
        <w:t xml:space="preserve">traitement </w:t>
      </w:r>
      <w:r w:rsidR="00066464">
        <w:rPr>
          <w:rFonts w:ascii="Tahoma" w:cs="Tahoma" w:hAnsi="Tahoma"/>
          <w:sz w:val="20"/>
        </w:rPr>
        <w:t>dans l’</w:t>
      </w:r>
      <w:r w:rsidR="00875E3C" w:rsidRPr="005C1CE8">
        <w:rPr>
          <w:rFonts w:ascii="Tahoma" w:cs="Tahoma" w:hAnsi="Tahoma"/>
          <w:sz w:val="20"/>
        </w:rPr>
        <w:t>enveloppe à la date de la prise des nouvelles fonctions</w:t>
      </w:r>
      <w:r w:rsidRPr="00E2675B">
        <w:rPr>
          <w:rFonts w:ascii="Tahoma" w:cs="Tahoma" w:hAnsi="Tahoma"/>
          <w:sz w:val="20"/>
        </w:rPr>
        <w:t>.</w:t>
      </w:r>
    </w:p>
    <w:p w14:paraId="13638B1B" w14:textId="77777777" w:rsidP="00E54983" w:rsidR="00E54983" w:rsidRDefault="00E54983" w:rsidRPr="00E2675B">
      <w:pPr>
        <w:spacing w:before="120"/>
        <w:rPr>
          <w:rFonts w:ascii="Tahoma" w:cs="Tahoma" w:hAnsi="Tahoma"/>
          <w:sz w:val="20"/>
        </w:rPr>
      </w:pPr>
      <w:r w:rsidRPr="00E2675B">
        <w:rPr>
          <w:rFonts w:ascii="Tahoma" w:cs="Tahoma" w:hAnsi="Tahoma"/>
          <w:sz w:val="20"/>
        </w:rPr>
        <w:t>Il est entendu que ces dispositions ne sont pas applicables en cas de congé sabbatique, de congé parental d’éducation et tout autre type de congé sans solde en cours à la date d’application de la revalorisation. La situation des salariés en longue maladie (plus de 90 jours) devra être examinée individuellement lors de la reprise du travail, le salaire de base pouvant ainsi être réactualisé sur la base des mesures d’augmentation généralisée non appliquées du fait de l’absence du salarié.</w:t>
      </w:r>
    </w:p>
    <w:p w14:paraId="02187428" w14:textId="77777777" w:rsidP="00A2641B" w:rsidR="00A2641B" w:rsidRDefault="00E54983" w:rsidRPr="00E2675B">
      <w:pPr>
        <w:spacing w:before="120"/>
        <w:rPr>
          <w:rFonts w:ascii="Tahoma" w:cs="Tahoma" w:hAnsi="Tahoma"/>
          <w:sz w:val="20"/>
          <w:szCs w:val="20"/>
        </w:rPr>
      </w:pPr>
      <w:r w:rsidRPr="00E2675B">
        <w:rPr>
          <w:rFonts w:ascii="Tahoma" w:cs="Tahoma" w:hAnsi="Tahoma"/>
          <w:sz w:val="20"/>
        </w:rPr>
        <w:t xml:space="preserve">La Direction précise </w:t>
      </w:r>
      <w:r w:rsidR="00D82A0B" w:rsidRPr="00E2675B">
        <w:rPr>
          <w:rFonts w:ascii="Tahoma" w:cs="Tahoma" w:hAnsi="Tahoma"/>
          <w:sz w:val="20"/>
        </w:rPr>
        <w:t>qu’à compter du 01/01/2022</w:t>
      </w:r>
      <w:r w:rsidR="00066CAC" w:rsidRPr="00E2675B">
        <w:rPr>
          <w:rFonts w:ascii="Tahoma" w:cs="Tahoma" w:hAnsi="Tahoma"/>
          <w:sz w:val="20"/>
        </w:rPr>
        <w:t>,</w:t>
      </w:r>
      <w:r w:rsidRPr="00E2675B">
        <w:rPr>
          <w:rFonts w:ascii="Tahoma" w:cs="Tahoma" w:hAnsi="Tahoma"/>
          <w:sz w:val="20"/>
        </w:rPr>
        <w:t xml:space="preserve"> aucun salaire mensuel brut de base pour un horaire à temps complet ne sera inférieur à </w:t>
      </w:r>
      <w:r w:rsidRPr="00E2675B">
        <w:rPr>
          <w:rFonts w:ascii="Tahoma" w:cs="Tahoma" w:hAnsi="Tahoma"/>
          <w:b/>
          <w:sz w:val="20"/>
        </w:rPr>
        <w:t xml:space="preserve">1 </w:t>
      </w:r>
      <w:r w:rsidR="00476074" w:rsidRPr="00E2675B">
        <w:rPr>
          <w:rFonts w:ascii="Tahoma" w:cs="Tahoma" w:hAnsi="Tahoma"/>
          <w:b/>
          <w:sz w:val="20"/>
        </w:rPr>
        <w:t>800</w:t>
      </w:r>
      <w:r w:rsidRPr="00E2675B">
        <w:rPr>
          <w:rFonts w:ascii="Tahoma" w:cs="Tahoma" w:hAnsi="Tahoma"/>
          <w:b/>
          <w:sz w:val="20"/>
        </w:rPr>
        <w:t> €</w:t>
      </w:r>
      <w:r w:rsidRPr="00E2675B">
        <w:rPr>
          <w:rFonts w:ascii="Tahoma" w:cs="Tahoma" w:hAnsi="Tahoma"/>
          <w:sz w:val="20"/>
        </w:rPr>
        <w:t>.</w:t>
      </w:r>
      <w:r w:rsidR="00A2641B" w:rsidRPr="00E2675B">
        <w:rPr>
          <w:rFonts w:ascii="Tahoma" w:cs="Tahoma" w:hAnsi="Tahoma"/>
          <w:sz w:val="20"/>
        </w:rPr>
        <w:t xml:space="preserve"> </w:t>
      </w:r>
      <w:r w:rsidR="00A2641B" w:rsidRPr="00E2675B">
        <w:rPr>
          <w:rFonts w:ascii="Tahoma" w:cs="Tahoma" w:hAnsi="Tahoma"/>
          <w:sz w:val="20"/>
          <w:szCs w:val="20"/>
        </w:rPr>
        <w:t>Il est rappelé que les régularisations afférentes interviendront concomitamment aux révisions salariales sur la paie du mois de mars.</w:t>
      </w:r>
    </w:p>
    <w:p w14:paraId="4E9A0992" w14:textId="752287B4" w:rsidP="00E54983" w:rsidR="00E54983" w:rsidRDefault="00E54983">
      <w:pPr>
        <w:spacing w:before="120"/>
        <w:rPr>
          <w:rFonts w:ascii="Tahoma" w:cs="Tahoma" w:hAnsi="Tahoma"/>
          <w:bCs/>
          <w:sz w:val="20"/>
        </w:rPr>
      </w:pPr>
      <w:r w:rsidRPr="00E2675B">
        <w:rPr>
          <w:rFonts w:ascii="Tahoma" w:cs="Tahoma" w:hAnsi="Tahoma"/>
          <w:bCs/>
          <w:sz w:val="20"/>
        </w:rPr>
        <w:t>Enfin, tout salarié qui n’aurait bénéficié d’aucune revalorisation salariale pendant 3 années consécutives bénéficiera d’un entretien spécifique avec sa hiérarchie, distinct de l’entretien individuel d’appréciation, afin d’évoquer sa situation.</w:t>
      </w:r>
      <w:r w:rsidRPr="00E2675B">
        <w:t xml:space="preserve"> </w:t>
      </w:r>
      <w:r w:rsidRPr="00E2675B">
        <w:rPr>
          <w:rFonts w:ascii="Tahoma" w:cs="Tahoma" w:hAnsi="Tahoma"/>
          <w:bCs/>
          <w:sz w:val="20"/>
        </w:rPr>
        <w:t>Afin d’attester de la tenue de cet entretien et d’apprécier le degré des échanges, ce document devra être cosigné et transmis au service RH. Un état sera dressé pour recenser les personnes concernées.</w:t>
      </w:r>
    </w:p>
    <w:p w14:paraId="48BCF898" w14:textId="45A22E20" w:rsidP="00E54983" w:rsidR="00650B4F" w:rsidRDefault="00B12EA5" w:rsidRPr="00E2675B">
      <w:pPr>
        <w:spacing w:before="120"/>
        <w:rPr>
          <w:rFonts w:ascii="Tahoma" w:cs="Tahoma" w:hAnsi="Tahoma"/>
          <w:bCs/>
          <w:sz w:val="20"/>
        </w:rPr>
      </w:pPr>
      <w:r>
        <w:rPr>
          <w:rFonts w:ascii="Tahoma" w:cs="Tahoma" w:hAnsi="Tahoma"/>
          <w:bCs/>
          <w:sz w:val="20"/>
        </w:rPr>
        <w:t>L</w:t>
      </w:r>
      <w:r w:rsidR="00650B4F">
        <w:rPr>
          <w:rFonts w:ascii="Tahoma" w:cs="Tahoma" w:hAnsi="Tahoma"/>
          <w:bCs/>
          <w:sz w:val="20"/>
        </w:rPr>
        <w:t xml:space="preserve">a Direction s’engage </w:t>
      </w:r>
      <w:r>
        <w:rPr>
          <w:rFonts w:ascii="Tahoma" w:cs="Tahoma" w:hAnsi="Tahoma"/>
          <w:bCs/>
          <w:sz w:val="20"/>
        </w:rPr>
        <w:t xml:space="preserve">également </w:t>
      </w:r>
      <w:r w:rsidR="00650B4F">
        <w:rPr>
          <w:rFonts w:ascii="Tahoma" w:cs="Tahoma" w:hAnsi="Tahoma"/>
          <w:bCs/>
          <w:sz w:val="20"/>
        </w:rPr>
        <w:t xml:space="preserve">à identifier et </w:t>
      </w:r>
      <w:r>
        <w:rPr>
          <w:rFonts w:ascii="Tahoma" w:cs="Tahoma" w:hAnsi="Tahoma"/>
          <w:bCs/>
          <w:sz w:val="20"/>
        </w:rPr>
        <w:t>analyser</w:t>
      </w:r>
      <w:r w:rsidR="00650B4F">
        <w:rPr>
          <w:rFonts w:ascii="Tahoma" w:cs="Tahoma" w:hAnsi="Tahoma"/>
          <w:bCs/>
          <w:sz w:val="20"/>
        </w:rPr>
        <w:t xml:space="preserve"> les situations des salariés qui </w:t>
      </w:r>
      <w:r>
        <w:rPr>
          <w:rFonts w:ascii="Tahoma" w:cs="Tahoma" w:hAnsi="Tahoma"/>
          <w:bCs/>
          <w:sz w:val="20"/>
        </w:rPr>
        <w:t>ne</w:t>
      </w:r>
      <w:r w:rsidR="00650B4F">
        <w:rPr>
          <w:rFonts w:ascii="Tahoma" w:cs="Tahoma" w:hAnsi="Tahoma"/>
          <w:bCs/>
          <w:sz w:val="20"/>
        </w:rPr>
        <w:t xml:space="preserve"> bénéfici</w:t>
      </w:r>
      <w:r>
        <w:rPr>
          <w:rFonts w:ascii="Tahoma" w:cs="Tahoma" w:hAnsi="Tahoma"/>
          <w:bCs/>
          <w:sz w:val="20"/>
        </w:rPr>
        <w:t>eraient pas</w:t>
      </w:r>
      <w:r w:rsidR="00650B4F">
        <w:rPr>
          <w:rFonts w:ascii="Tahoma" w:cs="Tahoma" w:hAnsi="Tahoma"/>
          <w:bCs/>
          <w:sz w:val="20"/>
        </w:rPr>
        <w:t xml:space="preserve"> d’une augmentation en 2022, </w:t>
      </w:r>
      <w:r>
        <w:rPr>
          <w:rFonts w:ascii="Tahoma" w:cs="Tahoma" w:hAnsi="Tahoma"/>
          <w:bCs/>
          <w:sz w:val="20"/>
        </w:rPr>
        <w:t>pour en dresser un état récapitulatif (</w:t>
      </w:r>
      <w:r w:rsidR="00650B4F">
        <w:rPr>
          <w:rFonts w:ascii="Tahoma" w:cs="Tahoma" w:hAnsi="Tahoma"/>
          <w:bCs/>
          <w:sz w:val="20"/>
        </w:rPr>
        <w:t>nombre</w:t>
      </w:r>
      <w:r>
        <w:rPr>
          <w:rFonts w:ascii="Tahoma" w:cs="Tahoma" w:hAnsi="Tahoma"/>
          <w:bCs/>
          <w:sz w:val="20"/>
        </w:rPr>
        <w:t xml:space="preserve"> de salariés concernés / motivation de la décision associée).</w:t>
      </w:r>
      <w:r w:rsidR="00650B4F" w:rsidRPr="00650B4F">
        <w:rPr>
          <w:rFonts w:ascii="Tahoma" w:cs="Tahoma" w:hAnsi="Tahoma"/>
          <w:bCs/>
          <w:sz w:val="20"/>
        </w:rPr>
        <w:t xml:space="preserve"> </w:t>
      </w:r>
    </w:p>
    <w:p w14:paraId="362A0CFD" w14:textId="77777777" w:rsidP="00E54983" w:rsidR="00A74E5F" w:rsidRDefault="00A74E5F" w:rsidRPr="00E2675B">
      <w:pPr>
        <w:spacing w:before="120"/>
        <w:rPr>
          <w:rFonts w:ascii="Tahoma" w:cs="Tahoma" w:hAnsi="Tahoma"/>
          <w:bCs/>
          <w:sz w:val="20"/>
        </w:rPr>
      </w:pPr>
    </w:p>
    <w:bookmarkEnd w:id="0"/>
    <w:p w14:paraId="45D29249" w14:textId="32D5DB87" w:rsidP="002C38F9" w:rsidR="009D561D" w:rsidRDefault="002C38F9" w:rsidRPr="00E2675B">
      <w:pPr>
        <w:spacing w:before="120"/>
        <w:rPr>
          <w:rFonts w:ascii="Tahoma" w:cs="Tahoma" w:hAnsi="Tahoma"/>
          <w:b/>
          <w:bCs/>
          <w:sz w:val="20"/>
          <w:szCs w:val="20"/>
        </w:rPr>
      </w:pPr>
      <w:r w:rsidRPr="00E2675B">
        <w:rPr>
          <w:rFonts w:ascii="Tahoma" w:cs="Tahoma" w:hAnsi="Tahoma"/>
          <w:b/>
          <w:bCs/>
          <w:sz w:val="20"/>
          <w:szCs w:val="20"/>
        </w:rPr>
        <w:t>Art</w:t>
      </w:r>
      <w:r w:rsidR="00423715" w:rsidRPr="00E2675B">
        <w:rPr>
          <w:rFonts w:ascii="Tahoma" w:cs="Tahoma" w:hAnsi="Tahoma"/>
          <w:b/>
          <w:bCs/>
          <w:sz w:val="20"/>
          <w:szCs w:val="20"/>
        </w:rPr>
        <w:t xml:space="preserve">icle </w:t>
      </w:r>
      <w:r w:rsidR="00B24CB2">
        <w:rPr>
          <w:rFonts w:ascii="Tahoma" w:cs="Tahoma" w:hAnsi="Tahoma"/>
          <w:b/>
          <w:bCs/>
          <w:sz w:val="20"/>
          <w:szCs w:val="20"/>
        </w:rPr>
        <w:t>6</w:t>
      </w:r>
      <w:r w:rsidRPr="00E2675B">
        <w:rPr>
          <w:rFonts w:ascii="Tahoma" w:cs="Tahoma" w:hAnsi="Tahoma"/>
          <w:b/>
          <w:bCs/>
          <w:sz w:val="20"/>
          <w:szCs w:val="20"/>
        </w:rPr>
        <w:t xml:space="preserve"> – </w:t>
      </w:r>
      <w:r w:rsidR="009D561D" w:rsidRPr="00E2675B">
        <w:rPr>
          <w:rFonts w:ascii="Tahoma" w:cs="Tahoma" w:hAnsi="Tahoma"/>
          <w:b/>
          <w:bCs/>
          <w:sz w:val="20"/>
        </w:rPr>
        <w:t>PROTECTION SOCIALE COMPLEMENTAIRE</w:t>
      </w:r>
    </w:p>
    <w:p w14:paraId="3A42C453" w14:textId="23BB6DEC" w:rsidP="009D561D" w:rsidR="009D561D" w:rsidRDefault="009D561D" w:rsidRPr="00E2675B">
      <w:pPr>
        <w:pStyle w:val="Corpsdetexte3"/>
        <w:spacing w:before="120"/>
        <w:rPr>
          <w:rFonts w:ascii="Tahoma" w:cs="Tahoma" w:hAnsi="Tahoma"/>
          <w:b w:val="0"/>
          <w:bCs w:val="0"/>
          <w:sz w:val="20"/>
          <w:szCs w:val="20"/>
        </w:rPr>
      </w:pPr>
      <w:r w:rsidRPr="00E2675B">
        <w:rPr>
          <w:rFonts w:ascii="Tahoma" w:cs="Tahoma" w:hAnsi="Tahoma"/>
          <w:b w:val="0"/>
          <w:bCs w:val="0"/>
          <w:sz w:val="20"/>
          <w:szCs w:val="20"/>
        </w:rPr>
        <w:t>Un régime de protection social</w:t>
      </w:r>
      <w:r w:rsidR="00847635" w:rsidRPr="00E2675B">
        <w:rPr>
          <w:rFonts w:ascii="Tahoma" w:cs="Tahoma" w:hAnsi="Tahoma"/>
          <w:b w:val="0"/>
          <w:bCs w:val="0"/>
          <w:sz w:val="20"/>
          <w:szCs w:val="20"/>
        </w:rPr>
        <w:t>e</w:t>
      </w:r>
      <w:r w:rsidRPr="00E2675B">
        <w:rPr>
          <w:rFonts w:ascii="Tahoma" w:cs="Tahoma" w:hAnsi="Tahoma"/>
          <w:b w:val="0"/>
          <w:bCs w:val="0"/>
          <w:sz w:val="20"/>
          <w:szCs w:val="20"/>
        </w:rPr>
        <w:t xml:space="preserve"> complémentaire intégrant des dispositifs de retraite complémentaire, de prévoyance et de couverture des frais de santé est en vigueur au sein de l’UES ENGIE Ineo par accord collectif depuis 2003.</w:t>
      </w:r>
    </w:p>
    <w:p w14:paraId="2E727AC5" w14:textId="77777777" w:rsidP="009D561D" w:rsidR="009D561D" w:rsidRDefault="009D561D" w:rsidRPr="00E2675B">
      <w:pPr>
        <w:pStyle w:val="Corpsdetexte3"/>
        <w:spacing w:before="120"/>
        <w:rPr>
          <w:rFonts w:ascii="Tahoma" w:cs="Tahoma" w:hAnsi="Tahoma"/>
          <w:b w:val="0"/>
          <w:bCs w:val="0"/>
          <w:sz w:val="20"/>
          <w:szCs w:val="20"/>
        </w:rPr>
      </w:pPr>
      <w:r w:rsidRPr="00E2675B">
        <w:rPr>
          <w:rFonts w:ascii="Tahoma" w:cs="Tahoma" w:hAnsi="Tahoma"/>
          <w:b w:val="0"/>
          <w:bCs w:val="0"/>
          <w:sz w:val="20"/>
          <w:szCs w:val="20"/>
        </w:rPr>
        <w:t>En dernier lieu, les cotisations frais de santé ont été renégociées en 2014 puis les cotisations prévoyance en 201</w:t>
      </w:r>
      <w:r w:rsidR="00C527BC" w:rsidRPr="00E2675B">
        <w:rPr>
          <w:rFonts w:ascii="Tahoma" w:cs="Tahoma" w:hAnsi="Tahoma"/>
          <w:b w:val="0"/>
          <w:bCs w:val="0"/>
          <w:sz w:val="20"/>
          <w:szCs w:val="20"/>
        </w:rPr>
        <w:t>7 (à effet du premier janvier 2018)</w:t>
      </w:r>
      <w:r w:rsidRPr="00E2675B">
        <w:rPr>
          <w:rFonts w:ascii="Tahoma" w:cs="Tahoma" w:hAnsi="Tahoma"/>
          <w:b w:val="0"/>
          <w:bCs w:val="0"/>
          <w:sz w:val="20"/>
          <w:szCs w:val="20"/>
        </w:rPr>
        <w:t>.</w:t>
      </w:r>
    </w:p>
    <w:p w14:paraId="78DCB081" w14:textId="279390E8" w:rsidP="002D4A8A" w:rsidR="002D4A8A" w:rsidRDefault="002D4A8A">
      <w:pPr>
        <w:pStyle w:val="Corpsdetexte3"/>
        <w:spacing w:before="120"/>
        <w:rPr>
          <w:rFonts w:ascii="Tahoma" w:cs="Tahoma" w:hAnsi="Tahoma"/>
          <w:b w:val="0"/>
          <w:bCs w:val="0"/>
          <w:sz w:val="20"/>
          <w:szCs w:val="20"/>
        </w:rPr>
      </w:pPr>
      <w:r w:rsidRPr="00E2675B">
        <w:rPr>
          <w:rFonts w:ascii="Tahoma" w:cs="Tahoma" w:hAnsi="Tahoma"/>
          <w:b w:val="0"/>
          <w:bCs w:val="0"/>
          <w:sz w:val="20"/>
          <w:szCs w:val="20"/>
        </w:rPr>
        <w:t xml:space="preserve">Un avenant n°11 à l’accord sur la protection sociale complémentaire ENGIE Ineo a par ailleurs été signé le 4 novembre 2019 aux fins d’acter les modifications qui </w:t>
      </w:r>
      <w:r w:rsidR="00537190" w:rsidRPr="00E2675B">
        <w:rPr>
          <w:rFonts w:ascii="Tahoma" w:cs="Tahoma" w:hAnsi="Tahoma"/>
          <w:b w:val="0"/>
          <w:bCs w:val="0"/>
          <w:sz w:val="20"/>
          <w:szCs w:val="20"/>
        </w:rPr>
        <w:t>ont été</w:t>
      </w:r>
      <w:r w:rsidRPr="00E2675B">
        <w:rPr>
          <w:rFonts w:ascii="Tahoma" w:cs="Tahoma" w:hAnsi="Tahoma"/>
          <w:b w:val="0"/>
          <w:bCs w:val="0"/>
          <w:sz w:val="20"/>
          <w:szCs w:val="20"/>
        </w:rPr>
        <w:t xml:space="preserve"> apportées au 1</w:t>
      </w:r>
      <w:r w:rsidRPr="00E2675B">
        <w:rPr>
          <w:rFonts w:ascii="Tahoma" w:cs="Tahoma" w:hAnsi="Tahoma"/>
          <w:b w:val="0"/>
          <w:bCs w:val="0"/>
          <w:sz w:val="20"/>
          <w:szCs w:val="20"/>
          <w:vertAlign w:val="superscript"/>
        </w:rPr>
        <w:t>er</w:t>
      </w:r>
      <w:r w:rsidRPr="00E2675B">
        <w:rPr>
          <w:rFonts w:ascii="Tahoma" w:cs="Tahoma" w:hAnsi="Tahoma"/>
          <w:b w:val="0"/>
          <w:bCs w:val="0"/>
          <w:sz w:val="20"/>
          <w:szCs w:val="20"/>
        </w:rPr>
        <w:t xml:space="preserve"> janvier 2020 </w:t>
      </w:r>
      <w:r w:rsidRPr="00E2675B">
        <w:rPr>
          <w:rFonts w:ascii="Tahoma" w:cs="Tahoma" w:hAnsi="Tahoma"/>
          <w:b w:val="0"/>
          <w:bCs w:val="0"/>
          <w:sz w:val="20"/>
          <w:szCs w:val="20"/>
        </w:rPr>
        <w:lastRenderedPageBreak/>
        <w:t xml:space="preserve">au contrat frais de santé suite à la mise en place du « 100% santé » conformément aux dispositions prévues dans la loi santé n°2016-41 du 26 janvier 2016 et dans le décret n°2019-21 du 11 janvier 2019. </w:t>
      </w:r>
    </w:p>
    <w:p w14:paraId="632AD312" w14:textId="7B8FEEB4" w:rsidP="002D4A8A" w:rsidR="00952D60" w:rsidRDefault="00952D60" w:rsidRPr="00E2675B">
      <w:pPr>
        <w:pStyle w:val="Corpsdetexte3"/>
        <w:spacing w:before="120"/>
        <w:rPr>
          <w:rFonts w:ascii="Tahoma" w:cs="Tahoma" w:hAnsi="Tahoma"/>
          <w:b w:val="0"/>
          <w:bCs w:val="0"/>
          <w:sz w:val="20"/>
          <w:szCs w:val="20"/>
        </w:rPr>
      </w:pPr>
      <w:r w:rsidRPr="00063C6C">
        <w:rPr>
          <w:rFonts w:ascii="Tahoma" w:cs="Tahoma" w:hAnsi="Tahoma"/>
          <w:b w:val="0"/>
          <w:bCs w:val="0"/>
          <w:sz w:val="20"/>
          <w:szCs w:val="20"/>
        </w:rPr>
        <w:t>La Direction Générale rappelle qu</w:t>
      </w:r>
      <w:r w:rsidR="0039727D" w:rsidRPr="00063C6C">
        <w:rPr>
          <w:rFonts w:ascii="Tahoma" w:cs="Tahoma" w:hAnsi="Tahoma"/>
          <w:b w:val="0"/>
          <w:bCs w:val="0"/>
          <w:sz w:val="20"/>
          <w:szCs w:val="20"/>
        </w:rPr>
        <w:t xml:space="preserve">’à la suite de la présentation des comptes de la protection sociale </w:t>
      </w:r>
      <w:r w:rsidRPr="00063C6C">
        <w:rPr>
          <w:rFonts w:ascii="Tahoma" w:cs="Tahoma" w:hAnsi="Tahoma"/>
          <w:b w:val="0"/>
          <w:bCs w:val="0"/>
          <w:sz w:val="20"/>
          <w:szCs w:val="20"/>
        </w:rPr>
        <w:t xml:space="preserve"> 202</w:t>
      </w:r>
      <w:r w:rsidR="00BD4E50" w:rsidRPr="00063C6C">
        <w:rPr>
          <w:rFonts w:ascii="Tahoma" w:cs="Tahoma" w:hAnsi="Tahoma"/>
          <w:b w:val="0"/>
          <w:bCs w:val="0"/>
          <w:sz w:val="20"/>
          <w:szCs w:val="20"/>
        </w:rPr>
        <w:t>1</w:t>
      </w:r>
      <w:r w:rsidRPr="00063C6C">
        <w:rPr>
          <w:rFonts w:ascii="Tahoma" w:cs="Tahoma" w:hAnsi="Tahoma"/>
          <w:b w:val="0"/>
          <w:bCs w:val="0"/>
          <w:sz w:val="20"/>
          <w:szCs w:val="20"/>
        </w:rPr>
        <w:t xml:space="preserve">, des </w:t>
      </w:r>
      <w:r w:rsidR="003D4AF9" w:rsidRPr="00063C6C">
        <w:rPr>
          <w:rFonts w:ascii="Tahoma" w:cs="Tahoma" w:hAnsi="Tahoma"/>
          <w:b w:val="0"/>
          <w:bCs w:val="0"/>
          <w:sz w:val="20"/>
          <w:szCs w:val="20"/>
        </w:rPr>
        <w:t xml:space="preserve">discussions </w:t>
      </w:r>
      <w:r w:rsidRPr="00063C6C">
        <w:rPr>
          <w:rFonts w:ascii="Tahoma" w:cs="Tahoma" w:hAnsi="Tahoma"/>
          <w:b w:val="0"/>
          <w:bCs w:val="0"/>
          <w:sz w:val="20"/>
          <w:szCs w:val="20"/>
        </w:rPr>
        <w:t xml:space="preserve">devront </w:t>
      </w:r>
      <w:r w:rsidR="00BD4E50" w:rsidRPr="00063C6C">
        <w:rPr>
          <w:rFonts w:ascii="Tahoma" w:cs="Tahoma" w:hAnsi="Tahoma"/>
          <w:b w:val="0"/>
          <w:bCs w:val="0"/>
          <w:sz w:val="20"/>
          <w:szCs w:val="20"/>
        </w:rPr>
        <w:t>être ouvertes</w:t>
      </w:r>
      <w:r w:rsidRPr="00063C6C">
        <w:rPr>
          <w:rFonts w:ascii="Tahoma" w:cs="Tahoma" w:hAnsi="Tahoma"/>
          <w:b w:val="0"/>
          <w:bCs w:val="0"/>
          <w:sz w:val="20"/>
          <w:szCs w:val="20"/>
        </w:rPr>
        <w:t xml:space="preserve"> avec les organisations syndicales représentatives </w:t>
      </w:r>
      <w:r w:rsidR="00116097" w:rsidRPr="00063C6C">
        <w:rPr>
          <w:rFonts w:ascii="Tahoma" w:cs="Tahoma" w:hAnsi="Tahoma"/>
          <w:b w:val="0"/>
          <w:bCs w:val="0"/>
          <w:sz w:val="20"/>
          <w:szCs w:val="20"/>
        </w:rPr>
        <w:t>en vue de réadapter</w:t>
      </w:r>
      <w:r w:rsidR="00BD4E50" w:rsidRPr="00063C6C">
        <w:rPr>
          <w:rFonts w:ascii="Tahoma" w:cs="Tahoma" w:hAnsi="Tahoma"/>
          <w:b w:val="0"/>
          <w:bCs w:val="0"/>
          <w:sz w:val="20"/>
          <w:szCs w:val="20"/>
        </w:rPr>
        <w:t xml:space="preserve"> </w:t>
      </w:r>
      <w:r w:rsidR="00116097" w:rsidRPr="00063C6C">
        <w:rPr>
          <w:rFonts w:ascii="Tahoma" w:cs="Tahoma" w:hAnsi="Tahoma"/>
          <w:b w:val="0"/>
          <w:bCs w:val="0"/>
          <w:sz w:val="20"/>
          <w:szCs w:val="20"/>
        </w:rPr>
        <w:t>le</w:t>
      </w:r>
      <w:r w:rsidRPr="00063C6C">
        <w:rPr>
          <w:rFonts w:ascii="Tahoma" w:cs="Tahoma" w:hAnsi="Tahoma"/>
          <w:b w:val="0"/>
          <w:bCs w:val="0"/>
          <w:sz w:val="20"/>
          <w:szCs w:val="20"/>
        </w:rPr>
        <w:t xml:space="preserve"> financement du régime de </w:t>
      </w:r>
      <w:r w:rsidR="00891FC0" w:rsidRPr="00063C6C">
        <w:rPr>
          <w:rFonts w:ascii="Tahoma" w:cs="Tahoma" w:hAnsi="Tahoma"/>
          <w:b w:val="0"/>
          <w:bCs w:val="0"/>
          <w:sz w:val="20"/>
          <w:szCs w:val="20"/>
        </w:rPr>
        <w:t>frais de santé</w:t>
      </w:r>
      <w:r w:rsidRPr="00063C6C">
        <w:rPr>
          <w:rFonts w:ascii="Tahoma" w:cs="Tahoma" w:hAnsi="Tahoma"/>
          <w:b w:val="0"/>
          <w:bCs w:val="0"/>
          <w:sz w:val="20"/>
          <w:szCs w:val="20"/>
        </w:rPr>
        <w:t>.</w:t>
      </w:r>
    </w:p>
    <w:p w14:paraId="456C3601" w14:textId="77777777" w:rsidP="002D4A8A" w:rsidR="002D4A8A" w:rsidRDefault="002D4A8A" w:rsidRPr="00E2675B">
      <w:pPr>
        <w:pStyle w:val="Corpsdetexte3"/>
        <w:spacing w:before="120"/>
        <w:rPr>
          <w:rFonts w:ascii="Tahoma" w:cs="Tahoma" w:hAnsi="Tahoma"/>
          <w:b w:val="0"/>
          <w:bCs w:val="0"/>
          <w:sz w:val="20"/>
          <w:szCs w:val="20"/>
        </w:rPr>
      </w:pPr>
    </w:p>
    <w:p w14:paraId="6360A8FD" w14:textId="0DFFC697" w:rsidP="009D561D" w:rsidR="009D561D" w:rsidRDefault="009D561D" w:rsidRPr="00E2675B">
      <w:pPr>
        <w:spacing w:before="120"/>
        <w:rPr>
          <w:rFonts w:ascii="Tahoma" w:cs="Tahoma" w:hAnsi="Tahoma"/>
          <w:b/>
          <w:bCs/>
          <w:sz w:val="20"/>
        </w:rPr>
      </w:pPr>
      <w:r w:rsidRPr="00E2675B">
        <w:rPr>
          <w:rFonts w:ascii="Tahoma" w:cs="Tahoma" w:hAnsi="Tahoma"/>
          <w:b/>
          <w:bCs/>
          <w:sz w:val="20"/>
        </w:rPr>
        <w:t>Art</w:t>
      </w:r>
      <w:r w:rsidR="00423715" w:rsidRPr="00E2675B">
        <w:rPr>
          <w:rFonts w:ascii="Tahoma" w:cs="Tahoma" w:hAnsi="Tahoma"/>
          <w:b/>
          <w:bCs/>
          <w:sz w:val="20"/>
        </w:rPr>
        <w:t>icle</w:t>
      </w:r>
      <w:r w:rsidRPr="00E2675B">
        <w:rPr>
          <w:rFonts w:ascii="Tahoma" w:cs="Tahoma" w:hAnsi="Tahoma"/>
          <w:b/>
          <w:bCs/>
          <w:sz w:val="20"/>
        </w:rPr>
        <w:t xml:space="preserve"> </w:t>
      </w:r>
      <w:r w:rsidR="00B24CB2">
        <w:rPr>
          <w:rFonts w:ascii="Tahoma" w:cs="Tahoma" w:hAnsi="Tahoma"/>
          <w:b/>
          <w:bCs/>
          <w:sz w:val="20"/>
        </w:rPr>
        <w:t>7</w:t>
      </w:r>
      <w:r w:rsidRPr="00E2675B">
        <w:rPr>
          <w:rFonts w:ascii="Tahoma" w:cs="Tahoma" w:hAnsi="Tahoma"/>
          <w:b/>
          <w:bCs/>
          <w:sz w:val="20"/>
        </w:rPr>
        <w:t xml:space="preserve"> – ORGANISATION DU TEMPS DE TRAVAIL</w:t>
      </w:r>
    </w:p>
    <w:p w14:paraId="0E3FEFF1" w14:textId="77777777" w:rsidP="009D561D" w:rsidR="009D561D" w:rsidRDefault="009D561D" w:rsidRPr="00E2675B">
      <w:pPr>
        <w:spacing w:before="120"/>
        <w:rPr>
          <w:rFonts w:ascii="Tahoma" w:cs="Tahoma" w:hAnsi="Tahoma"/>
          <w:sz w:val="20"/>
        </w:rPr>
      </w:pPr>
      <w:r w:rsidRPr="00E2675B">
        <w:rPr>
          <w:rFonts w:ascii="Tahoma" w:cs="Tahoma" w:hAnsi="Tahoma"/>
          <w:sz w:val="20"/>
        </w:rPr>
        <w:t xml:space="preserve">S’agissant de l’organisation du temps de travail et plus particulièrement des « 35 heures », </w:t>
      </w:r>
      <w:smartTag w:element="PersonName" w:uri="urn:schemas-microsoft-com:office:smarttags">
        <w:smartTagPr>
          <w:attr w:name="ProductID" w:val="La Direction"/>
        </w:smartTagPr>
        <w:r w:rsidRPr="00E2675B">
          <w:rPr>
            <w:rFonts w:ascii="Tahoma" w:cs="Tahoma" w:hAnsi="Tahoma"/>
            <w:sz w:val="20"/>
          </w:rPr>
          <w:t>la Direction</w:t>
        </w:r>
      </w:smartTag>
      <w:r w:rsidRPr="00E2675B">
        <w:rPr>
          <w:rFonts w:ascii="Tahoma" w:cs="Tahoma" w:hAnsi="Tahoma"/>
          <w:sz w:val="20"/>
        </w:rPr>
        <w:t xml:space="preserve"> rappelle que les accords d’aménagement du temps de travail sont négociés au niveau des entités concernées.</w:t>
      </w:r>
    </w:p>
    <w:p w14:paraId="45E4B7F5" w14:textId="77777777" w:rsidP="009D561D" w:rsidR="009D561D" w:rsidRDefault="009D561D" w:rsidRPr="00E2675B">
      <w:pPr>
        <w:spacing w:before="120"/>
        <w:rPr>
          <w:rFonts w:ascii="Tahoma" w:cs="Tahoma" w:hAnsi="Tahoma"/>
          <w:sz w:val="20"/>
        </w:rPr>
      </w:pPr>
      <w:r w:rsidRPr="00E2675B">
        <w:rPr>
          <w:rFonts w:ascii="Tahoma" w:cs="Tahoma" w:hAnsi="Tahoma"/>
          <w:sz w:val="20"/>
        </w:rPr>
        <w:t>En effet, au regard de la diversité des activités de spécialité (communication d’entreprise, systèmes de communication secteur militaire et civil, aéronautique, nucléaire, postes et lignes, ferroviaire, audio-visuel, externali</w:t>
      </w:r>
      <w:r w:rsidR="00A85A3D" w:rsidRPr="00E2675B">
        <w:rPr>
          <w:rFonts w:ascii="Tahoma" w:cs="Tahoma" w:hAnsi="Tahoma"/>
          <w:sz w:val="20"/>
        </w:rPr>
        <w:t>sation, etc.) et de proximité (</w:t>
      </w:r>
      <w:r w:rsidRPr="00E2675B">
        <w:rPr>
          <w:rFonts w:ascii="Tahoma" w:cs="Tahoma" w:hAnsi="Tahoma"/>
          <w:sz w:val="20"/>
        </w:rPr>
        <w:t xml:space="preserve">réseaux, éclairage public , tertiaire, industrie, infrastructures, etc.) au sein de </w:t>
      </w:r>
      <w:r w:rsidR="00C527BC" w:rsidRPr="00E2675B">
        <w:rPr>
          <w:rFonts w:ascii="Tahoma" w:cs="Tahoma" w:hAnsi="Tahoma"/>
          <w:sz w:val="20"/>
        </w:rPr>
        <w:t>ENGIE</w:t>
      </w:r>
      <w:r w:rsidRPr="00E2675B">
        <w:rPr>
          <w:rFonts w:ascii="Tahoma" w:cs="Tahoma" w:hAnsi="Tahoma"/>
          <w:sz w:val="20"/>
        </w:rPr>
        <w:t xml:space="preserve"> Ineo, l’évolution tant des accords d’aménagement du temps de travail, liée notamment aux opérations juridiques, que des processus d’harmonisation sociale ne peut être dissociée de l’exploitation des sociétés concernées.</w:t>
      </w:r>
    </w:p>
    <w:p w14:paraId="32E90E53" w14:textId="77777777" w:rsidP="009D561D" w:rsidR="007E01D6" w:rsidRDefault="007E01D6" w:rsidRPr="00E2675B">
      <w:pPr>
        <w:spacing w:before="120"/>
        <w:rPr>
          <w:rFonts w:ascii="Tahoma" w:cs="Tahoma" w:hAnsi="Tahoma"/>
          <w:sz w:val="20"/>
        </w:rPr>
      </w:pPr>
    </w:p>
    <w:p w14:paraId="1C233B7F" w14:textId="77777777" w:rsidP="00D06E66" w:rsidR="00D06E66" w:rsidRDefault="00D06E66" w:rsidRPr="00D748DB">
      <w:pPr>
        <w:rPr>
          <w:rFonts w:ascii="Tahoma" w:cs="Tahoma" w:hAnsi="Tahoma"/>
          <w:b/>
          <w:bCs/>
          <w:sz w:val="20"/>
          <w:szCs w:val="20"/>
        </w:rPr>
      </w:pPr>
      <w:r w:rsidRPr="00D748DB">
        <w:rPr>
          <w:rFonts w:ascii="Tahoma" w:cs="Tahoma" w:hAnsi="Tahoma"/>
          <w:b/>
          <w:bCs/>
          <w:sz w:val="20"/>
          <w:szCs w:val="20"/>
        </w:rPr>
        <w:t>Article 8 – JOURS DE RTT EMPLOYEURS</w:t>
      </w:r>
    </w:p>
    <w:p w14:paraId="0EAE4703" w14:textId="77777777" w:rsidP="00D06E66" w:rsidR="00D06E66" w:rsidRDefault="00D06E66" w:rsidRPr="00D748DB">
      <w:pPr>
        <w:rPr>
          <w:rFonts w:ascii="Tahoma" w:cs="Tahoma" w:hAnsi="Tahoma"/>
          <w:b/>
          <w:bCs/>
          <w:sz w:val="20"/>
          <w:szCs w:val="20"/>
        </w:rPr>
      </w:pPr>
    </w:p>
    <w:p w14:paraId="4EE709B1" w14:textId="07D67982" w:rsidP="00D06E66" w:rsidR="00D06E66" w:rsidRDefault="00D06E66">
      <w:pPr>
        <w:rPr>
          <w:rFonts w:ascii="Tahoma" w:cs="Tahoma" w:hAnsi="Tahoma"/>
          <w:bCs/>
          <w:sz w:val="20"/>
          <w:szCs w:val="20"/>
        </w:rPr>
      </w:pPr>
      <w:r w:rsidRPr="00D748DB">
        <w:rPr>
          <w:rFonts w:ascii="Tahoma" w:cs="Tahoma" w:hAnsi="Tahoma"/>
          <w:bCs/>
          <w:sz w:val="20"/>
          <w:szCs w:val="20"/>
        </w:rPr>
        <w:t>Sont définis les JRTTE suivants :</w:t>
      </w:r>
    </w:p>
    <w:p w14:paraId="106BAFB5" w14:textId="705D5AF7" w:rsidP="00837B22" w:rsidR="00D06E66" w:rsidRDefault="008975E7" w:rsidRPr="00D748DB">
      <w:pPr>
        <w:numPr>
          <w:ilvl w:val="0"/>
          <w:numId w:val="15"/>
        </w:numPr>
        <w:spacing w:before="120"/>
        <w:rPr>
          <w:rFonts w:ascii="Tahoma" w:cs="Tahoma" w:eastAsia="Times" w:hAnsi="Tahoma"/>
          <w:bCs/>
          <w:sz w:val="20"/>
          <w:szCs w:val="20"/>
        </w:rPr>
      </w:pPr>
      <w:r w:rsidRPr="00D748DB">
        <w:rPr>
          <w:rFonts w:ascii="Tahoma" w:cs="Tahoma" w:eastAsia="Times" w:hAnsi="Tahoma"/>
          <w:bCs/>
          <w:sz w:val="20"/>
          <w:szCs w:val="20"/>
        </w:rPr>
        <w:t>Vendredi 27 mai 2022</w:t>
      </w:r>
    </w:p>
    <w:p w14:paraId="0E407585" w14:textId="7C0FD218" w:rsidP="00D06E66" w:rsidR="00D06E66" w:rsidRDefault="008975E7" w:rsidRPr="00D748DB">
      <w:pPr>
        <w:numPr>
          <w:ilvl w:val="0"/>
          <w:numId w:val="15"/>
        </w:numPr>
        <w:rPr>
          <w:rFonts w:ascii="Tahoma" w:cs="Tahoma" w:eastAsia="Times" w:hAnsi="Tahoma"/>
          <w:bCs/>
          <w:sz w:val="20"/>
          <w:szCs w:val="20"/>
        </w:rPr>
      </w:pPr>
      <w:r w:rsidRPr="00D748DB">
        <w:rPr>
          <w:rFonts w:ascii="Tahoma" w:cs="Tahoma" w:eastAsia="Times" w:hAnsi="Tahoma"/>
          <w:bCs/>
          <w:sz w:val="20"/>
          <w:szCs w:val="20"/>
        </w:rPr>
        <w:t>Lundi 31 octobre 2022</w:t>
      </w:r>
    </w:p>
    <w:p w14:paraId="59E91CB9" w14:textId="5295C364" w:rsidP="00D06E66" w:rsidR="00D06E66" w:rsidRDefault="008975E7" w:rsidRPr="00D748DB">
      <w:pPr>
        <w:numPr>
          <w:ilvl w:val="0"/>
          <w:numId w:val="15"/>
        </w:numPr>
        <w:rPr>
          <w:rFonts w:ascii="Tahoma" w:cs="Tahoma" w:eastAsia="Times" w:hAnsi="Tahoma"/>
          <w:bCs/>
          <w:sz w:val="20"/>
          <w:szCs w:val="20"/>
        </w:rPr>
      </w:pPr>
      <w:r w:rsidRPr="00D748DB">
        <w:rPr>
          <w:rFonts w:ascii="Tahoma" w:cs="Tahoma" w:eastAsia="Times" w:hAnsi="Tahoma"/>
          <w:bCs/>
          <w:sz w:val="20"/>
          <w:szCs w:val="20"/>
        </w:rPr>
        <w:t>Vendredi 23 décembre 2022</w:t>
      </w:r>
    </w:p>
    <w:p w14:paraId="5EFFC1E4" w14:textId="3ED047FF" w:rsidP="00D06E66" w:rsidR="00D06E66" w:rsidRDefault="008975E7" w:rsidRPr="00D748DB">
      <w:pPr>
        <w:numPr>
          <w:ilvl w:val="0"/>
          <w:numId w:val="15"/>
        </w:numPr>
        <w:rPr>
          <w:rFonts w:ascii="Tahoma" w:cs="Tahoma" w:eastAsia="Times" w:hAnsi="Tahoma"/>
          <w:bCs/>
          <w:sz w:val="20"/>
          <w:szCs w:val="20"/>
        </w:rPr>
      </w:pPr>
      <w:r w:rsidRPr="00D748DB">
        <w:rPr>
          <w:rFonts w:ascii="Tahoma" w:cs="Tahoma" w:eastAsia="Times" w:hAnsi="Tahoma"/>
          <w:bCs/>
          <w:sz w:val="20"/>
          <w:szCs w:val="20"/>
        </w:rPr>
        <w:t>Vendredi 30 décembre 2022</w:t>
      </w:r>
    </w:p>
    <w:p w14:paraId="14BE3C1F" w14:textId="77777777" w:rsidP="00D06E66" w:rsidR="00D06E66" w:rsidRDefault="00D06E66" w:rsidRPr="00D748DB">
      <w:pPr>
        <w:spacing w:before="120"/>
        <w:rPr>
          <w:rFonts w:ascii="Tahoma" w:cs="Tahoma" w:eastAsia="Times" w:hAnsi="Tahoma"/>
          <w:bCs/>
          <w:sz w:val="20"/>
          <w:szCs w:val="20"/>
        </w:rPr>
      </w:pPr>
      <w:r w:rsidRPr="00D748DB">
        <w:rPr>
          <w:rFonts w:ascii="Tahoma" w:cs="Tahoma" w:eastAsia="Times" w:hAnsi="Tahoma"/>
          <w:bCs/>
          <w:sz w:val="20"/>
          <w:szCs w:val="20"/>
        </w:rPr>
        <w:t>En cas de nécessité de chantier et à titre exceptionnel, un JRTTE pourra être travaillé sur la base du volontariat. Le JRTTE non pris sera alors pris ultérieurement à l’initiative du salarié et après validation de sa hiérarchie.</w:t>
      </w:r>
    </w:p>
    <w:p w14:paraId="61152124" w14:textId="6C0F2E60" w:rsidP="00D06E66" w:rsidR="00D06E66" w:rsidRDefault="00D06E66" w:rsidRPr="00D748DB">
      <w:pPr>
        <w:spacing w:before="120"/>
        <w:rPr>
          <w:rFonts w:ascii="Tahoma" w:cs="Tahoma" w:eastAsia="Times" w:hAnsi="Tahoma"/>
          <w:bCs/>
          <w:sz w:val="20"/>
          <w:szCs w:val="20"/>
        </w:rPr>
      </w:pPr>
      <w:r w:rsidRPr="00D748DB">
        <w:rPr>
          <w:rFonts w:ascii="Tahoma" w:cs="Tahoma" w:eastAsia="Times" w:hAnsi="Tahoma"/>
          <w:bCs/>
          <w:sz w:val="20"/>
          <w:szCs w:val="20"/>
        </w:rPr>
        <w:t xml:space="preserve">Par ailleurs, </w:t>
      </w:r>
      <w:r w:rsidR="008975E7" w:rsidRPr="00D748DB">
        <w:rPr>
          <w:rFonts w:ascii="Tahoma" w:cs="Tahoma" w:eastAsia="Times" w:hAnsi="Tahoma"/>
          <w:bCs/>
          <w:sz w:val="20"/>
          <w:szCs w:val="20"/>
        </w:rPr>
        <w:t xml:space="preserve">la Direction maintient la prime de 50 euros bruts </w:t>
      </w:r>
      <w:r w:rsidR="00BE1367" w:rsidRPr="00D748DB">
        <w:rPr>
          <w:rFonts w:ascii="Tahoma" w:cs="Tahoma" w:eastAsia="Times" w:hAnsi="Tahoma"/>
          <w:bCs/>
          <w:sz w:val="20"/>
          <w:szCs w:val="20"/>
        </w:rPr>
        <w:t>pour tout</w:t>
      </w:r>
      <w:r w:rsidR="008975E7" w:rsidRPr="00D748DB">
        <w:rPr>
          <w:rFonts w:ascii="Tahoma" w:cs="Tahoma" w:eastAsia="Times" w:hAnsi="Tahoma"/>
          <w:bCs/>
          <w:sz w:val="20"/>
          <w:szCs w:val="20"/>
        </w:rPr>
        <w:t xml:space="preserve"> JRTTE travaillé</w:t>
      </w:r>
      <w:r w:rsidR="00BE1367" w:rsidRPr="00D748DB">
        <w:rPr>
          <w:rFonts w:ascii="Tahoma" w:cs="Tahoma" w:eastAsia="Times" w:hAnsi="Tahoma"/>
          <w:bCs/>
          <w:sz w:val="20"/>
          <w:szCs w:val="20"/>
        </w:rPr>
        <w:t>, versée au</w:t>
      </w:r>
      <w:r w:rsidRPr="00D748DB">
        <w:rPr>
          <w:rFonts w:ascii="Tahoma" w:cs="Tahoma" w:eastAsia="Times" w:hAnsi="Tahoma"/>
          <w:bCs/>
          <w:sz w:val="20"/>
          <w:szCs w:val="20"/>
        </w:rPr>
        <w:t xml:space="preserve"> collaborateur volontaire</w:t>
      </w:r>
      <w:r w:rsidR="00DF243F">
        <w:rPr>
          <w:rFonts w:ascii="Tahoma" w:cs="Tahoma" w:eastAsia="Times" w:hAnsi="Tahoma"/>
          <w:bCs/>
          <w:sz w:val="20"/>
          <w:szCs w:val="20"/>
        </w:rPr>
        <w:t xml:space="preserve"> qui aura signé un ordre de mission spécifique</w:t>
      </w:r>
      <w:r w:rsidRPr="00D748DB">
        <w:rPr>
          <w:rFonts w:ascii="Tahoma" w:cs="Tahoma" w:eastAsia="Times" w:hAnsi="Tahoma"/>
          <w:bCs/>
          <w:sz w:val="20"/>
          <w:szCs w:val="20"/>
        </w:rPr>
        <w:t xml:space="preserve">. Il est expressément convenu que ce dispositif </w:t>
      </w:r>
      <w:r w:rsidR="008975E7" w:rsidRPr="00D748DB">
        <w:rPr>
          <w:rFonts w:ascii="Tahoma" w:cs="Tahoma" w:eastAsia="Times" w:hAnsi="Tahoma"/>
          <w:bCs/>
          <w:sz w:val="20"/>
          <w:szCs w:val="20"/>
        </w:rPr>
        <w:t>n’</w:t>
      </w:r>
      <w:r w:rsidRPr="00D748DB">
        <w:rPr>
          <w:rFonts w:ascii="Tahoma" w:cs="Tahoma" w:eastAsia="Times" w:hAnsi="Tahoma"/>
          <w:bCs/>
          <w:sz w:val="20"/>
          <w:szCs w:val="20"/>
        </w:rPr>
        <w:t xml:space="preserve">est </w:t>
      </w:r>
      <w:r w:rsidR="008975E7" w:rsidRPr="00D748DB">
        <w:rPr>
          <w:rFonts w:ascii="Tahoma" w:cs="Tahoma" w:eastAsia="Times" w:hAnsi="Tahoma"/>
          <w:bCs/>
          <w:sz w:val="20"/>
          <w:szCs w:val="20"/>
        </w:rPr>
        <w:t>reconduit que pour</w:t>
      </w:r>
      <w:r w:rsidRPr="00D748DB">
        <w:rPr>
          <w:rFonts w:ascii="Tahoma" w:cs="Tahoma" w:eastAsia="Times" w:hAnsi="Tahoma"/>
          <w:bCs/>
          <w:sz w:val="20"/>
          <w:szCs w:val="20"/>
        </w:rPr>
        <w:t xml:space="preserve"> l’exercice 202</w:t>
      </w:r>
      <w:r w:rsidR="008975E7" w:rsidRPr="00D748DB">
        <w:rPr>
          <w:rFonts w:ascii="Tahoma" w:cs="Tahoma" w:eastAsia="Times" w:hAnsi="Tahoma"/>
          <w:bCs/>
          <w:sz w:val="20"/>
          <w:szCs w:val="20"/>
        </w:rPr>
        <w:t>2,</w:t>
      </w:r>
      <w:r w:rsidRPr="00D748DB">
        <w:rPr>
          <w:rFonts w:ascii="Tahoma" w:cs="Tahoma" w:eastAsia="Times" w:hAnsi="Tahoma"/>
          <w:bCs/>
          <w:sz w:val="20"/>
          <w:szCs w:val="20"/>
        </w:rPr>
        <w:t xml:space="preserve"> et qu’un bilan en sera fait en fin d’exercice</w:t>
      </w:r>
      <w:r w:rsidR="00DF243F">
        <w:rPr>
          <w:rFonts w:ascii="Tahoma" w:cs="Tahoma" w:eastAsia="Times" w:hAnsi="Tahoma"/>
          <w:bCs/>
          <w:sz w:val="20"/>
          <w:szCs w:val="20"/>
        </w:rPr>
        <w:t>,</w:t>
      </w:r>
      <w:r w:rsidRPr="00D748DB">
        <w:rPr>
          <w:rFonts w:ascii="Tahoma" w:cs="Tahoma" w:eastAsia="Times" w:hAnsi="Tahoma"/>
          <w:bCs/>
          <w:sz w:val="20"/>
          <w:szCs w:val="20"/>
        </w:rPr>
        <w:t xml:space="preserve"> afin d’étudier le renouvellement </w:t>
      </w:r>
      <w:r w:rsidR="008975E7" w:rsidRPr="00D748DB">
        <w:rPr>
          <w:rFonts w:ascii="Tahoma" w:cs="Tahoma" w:eastAsia="Times" w:hAnsi="Tahoma"/>
          <w:bCs/>
          <w:sz w:val="20"/>
          <w:szCs w:val="20"/>
        </w:rPr>
        <w:t xml:space="preserve">éventuel </w:t>
      </w:r>
      <w:r w:rsidRPr="00D748DB">
        <w:rPr>
          <w:rFonts w:ascii="Tahoma" w:cs="Tahoma" w:eastAsia="Times" w:hAnsi="Tahoma"/>
          <w:bCs/>
          <w:sz w:val="20"/>
          <w:szCs w:val="20"/>
        </w:rPr>
        <w:t xml:space="preserve">de cette mesure </w:t>
      </w:r>
      <w:r w:rsidR="008975E7" w:rsidRPr="00D748DB">
        <w:rPr>
          <w:rFonts w:ascii="Tahoma" w:cs="Tahoma" w:eastAsia="Times" w:hAnsi="Tahoma"/>
          <w:bCs/>
          <w:sz w:val="20"/>
          <w:szCs w:val="20"/>
        </w:rPr>
        <w:t>l’année suivante</w:t>
      </w:r>
      <w:r w:rsidRPr="00D748DB">
        <w:rPr>
          <w:rFonts w:ascii="Tahoma" w:cs="Tahoma" w:eastAsia="Times" w:hAnsi="Tahoma"/>
          <w:bCs/>
          <w:sz w:val="20"/>
          <w:szCs w:val="20"/>
        </w:rPr>
        <w:t>.</w:t>
      </w:r>
    </w:p>
    <w:p w14:paraId="02A53E8B" w14:textId="7C4235F8" w:rsidP="00D06E66" w:rsidR="00D06E66" w:rsidRDefault="00D06E66">
      <w:pPr>
        <w:spacing w:before="120"/>
        <w:rPr>
          <w:rFonts w:ascii="Tahoma" w:cs="Tahoma" w:eastAsia="Times" w:hAnsi="Tahoma"/>
          <w:bCs/>
          <w:sz w:val="20"/>
          <w:szCs w:val="20"/>
        </w:rPr>
      </w:pPr>
      <w:r w:rsidRPr="00D748DB">
        <w:rPr>
          <w:rFonts w:ascii="Tahoma" w:cs="Tahoma" w:eastAsia="Times" w:hAnsi="Tahoma"/>
          <w:bCs/>
          <w:sz w:val="20"/>
          <w:szCs w:val="20"/>
        </w:rPr>
        <w:t>Un JRTTE supplémentaire sera octroyé en raison de la journée de solidarité.</w:t>
      </w:r>
    </w:p>
    <w:p w14:paraId="131D5E1D" w14:textId="77777777" w:rsidP="00D06E66" w:rsidR="00D748DB" w:rsidRDefault="00D748DB" w:rsidRPr="00D748DB">
      <w:pPr>
        <w:spacing w:before="120"/>
        <w:rPr>
          <w:rFonts w:ascii="Tahoma" w:cs="Tahoma" w:eastAsia="Times" w:hAnsi="Tahoma"/>
          <w:bCs/>
          <w:sz w:val="20"/>
          <w:szCs w:val="20"/>
        </w:rPr>
      </w:pPr>
    </w:p>
    <w:p w14:paraId="5A3C0C67" w14:textId="77777777" w:rsidP="000635BC" w:rsidR="000635BC" w:rsidRDefault="000635BC" w:rsidRPr="00E2675B">
      <w:pPr>
        <w:spacing w:before="120"/>
        <w:rPr>
          <w:rFonts w:ascii="Tahoma" w:cs="Tahoma" w:hAnsi="Tahoma"/>
          <w:b/>
          <w:bCs/>
          <w:sz w:val="20"/>
        </w:rPr>
      </w:pPr>
      <w:r w:rsidRPr="00E2675B">
        <w:rPr>
          <w:rFonts w:ascii="Tahoma" w:cs="Tahoma" w:hAnsi="Tahoma"/>
          <w:b/>
          <w:bCs/>
          <w:sz w:val="20"/>
        </w:rPr>
        <w:t xml:space="preserve">Article </w:t>
      </w:r>
      <w:r>
        <w:rPr>
          <w:rFonts w:ascii="Tahoma" w:cs="Tahoma" w:hAnsi="Tahoma"/>
          <w:b/>
          <w:bCs/>
          <w:sz w:val="20"/>
        </w:rPr>
        <w:t>9</w:t>
      </w:r>
      <w:r w:rsidRPr="00E2675B">
        <w:rPr>
          <w:rFonts w:ascii="Tahoma" w:cs="Tahoma" w:hAnsi="Tahoma"/>
          <w:b/>
          <w:bCs/>
          <w:sz w:val="20"/>
        </w:rPr>
        <w:t xml:space="preserve"> – JOURNEE DE SOLIDARITE </w:t>
      </w:r>
    </w:p>
    <w:p w14:paraId="4CB4AAA7" w14:textId="77777777" w:rsidP="000635BC" w:rsidR="000635BC" w:rsidRDefault="000635BC" w:rsidRPr="00E2675B">
      <w:pPr>
        <w:spacing w:before="120"/>
        <w:rPr>
          <w:rFonts w:ascii="Tahoma" w:cs="Tahoma" w:hAnsi="Tahoma"/>
          <w:sz w:val="20"/>
        </w:rPr>
      </w:pPr>
      <w:r w:rsidRPr="00E2675B">
        <w:rPr>
          <w:rFonts w:ascii="Tahoma" w:cs="Tahoma" w:hAnsi="Tahoma"/>
          <w:sz w:val="20"/>
        </w:rPr>
        <w:t>La date retenue pour la journée de solidarité sera par principe le lundi de Pentecôte.</w:t>
      </w:r>
    </w:p>
    <w:p w14:paraId="4A039D56" w14:textId="77777777" w:rsidP="000635BC" w:rsidR="000635BC" w:rsidRDefault="000635BC" w:rsidRPr="00E2675B">
      <w:pPr>
        <w:spacing w:before="120"/>
        <w:rPr>
          <w:rFonts w:ascii="Tahoma" w:cs="Tahoma" w:hAnsi="Tahoma"/>
          <w:sz w:val="20"/>
        </w:rPr>
      </w:pPr>
      <w:r w:rsidRPr="00E2675B">
        <w:rPr>
          <w:rFonts w:ascii="Tahoma" w:cs="Tahoma" w:hAnsi="Tahoma"/>
          <w:sz w:val="20"/>
        </w:rPr>
        <w:t>Il est précisé par ailleurs que cette journée ne sera pas travaillée et qu’une journée sera déduite du contingent annuel des jours de RTT attribués aux salariés parmi ceux fixés à l’initiative de l’employeur.</w:t>
      </w:r>
    </w:p>
    <w:p w14:paraId="07B7CFD3" w14:textId="77777777" w:rsidP="000635BC" w:rsidR="000635BC" w:rsidRDefault="000635BC" w:rsidRPr="00E2675B">
      <w:pPr>
        <w:spacing w:before="120"/>
        <w:rPr>
          <w:rFonts w:ascii="Tahoma" w:cs="Tahoma" w:hAnsi="Tahoma"/>
          <w:sz w:val="20"/>
        </w:rPr>
      </w:pPr>
      <w:r w:rsidRPr="00E2675B">
        <w:rPr>
          <w:rFonts w:ascii="Tahoma" w:cs="Tahoma" w:hAnsi="Tahoma"/>
          <w:sz w:val="20"/>
        </w:rPr>
        <w:t>Au cas où certains salariés seraient amenés pour des motifs de service ou d’organisation à travailler ce jour, un droit à récupération leur sera le cas échéant ouvert.</w:t>
      </w:r>
    </w:p>
    <w:p w14:paraId="31AC947D" w14:textId="77777777" w:rsidP="000635BC" w:rsidR="000635BC" w:rsidRDefault="000635BC" w:rsidRPr="00E2675B">
      <w:pPr>
        <w:pStyle w:val="texte"/>
        <w:spacing w:before="120"/>
        <w:rPr>
          <w:rFonts w:ascii="Tahoma" w:cs="Tahoma" w:hAnsi="Tahoma"/>
          <w:sz w:val="20"/>
        </w:rPr>
      </w:pPr>
    </w:p>
    <w:p w14:paraId="7DA7F230" w14:textId="699230D6" w:rsidP="00210C4D" w:rsidR="00210C4D" w:rsidRDefault="00210C4D" w:rsidRPr="00E2675B">
      <w:pPr>
        <w:spacing w:before="120"/>
        <w:rPr>
          <w:rFonts w:ascii="Tahoma" w:cs="Tahoma" w:hAnsi="Tahoma"/>
          <w:b/>
          <w:bCs/>
          <w:sz w:val="20"/>
        </w:rPr>
      </w:pPr>
      <w:r w:rsidRPr="00E2675B">
        <w:rPr>
          <w:rFonts w:ascii="Tahoma" w:cs="Tahoma" w:hAnsi="Tahoma"/>
          <w:b/>
          <w:bCs/>
          <w:sz w:val="20"/>
        </w:rPr>
        <w:t xml:space="preserve">Article </w:t>
      </w:r>
      <w:r>
        <w:rPr>
          <w:rFonts w:ascii="Tahoma" w:cs="Tahoma" w:hAnsi="Tahoma"/>
          <w:b/>
          <w:bCs/>
          <w:sz w:val="20"/>
        </w:rPr>
        <w:t>10</w:t>
      </w:r>
      <w:r w:rsidRPr="00E2675B">
        <w:rPr>
          <w:rFonts w:ascii="Tahoma" w:cs="Tahoma" w:hAnsi="Tahoma"/>
          <w:b/>
          <w:bCs/>
          <w:sz w:val="20"/>
        </w:rPr>
        <w:t xml:space="preserve"> – </w:t>
      </w:r>
      <w:r>
        <w:rPr>
          <w:rFonts w:ascii="Tahoma" w:cs="Tahoma" w:hAnsi="Tahoma"/>
          <w:b/>
          <w:bCs/>
          <w:sz w:val="20"/>
        </w:rPr>
        <w:t>INDEMNITES DE GRANDS DEPLACEMENTS</w:t>
      </w:r>
      <w:r w:rsidRPr="00E2675B">
        <w:rPr>
          <w:rFonts w:ascii="Tahoma" w:cs="Tahoma" w:hAnsi="Tahoma"/>
          <w:b/>
          <w:bCs/>
          <w:sz w:val="20"/>
        </w:rPr>
        <w:t xml:space="preserve"> </w:t>
      </w:r>
    </w:p>
    <w:p w14:paraId="2453DF65" w14:textId="0F5716FE" w:rsidP="00210C4D" w:rsidR="00210C4D" w:rsidRDefault="00210C4D">
      <w:pPr>
        <w:spacing w:before="120"/>
        <w:rPr>
          <w:rFonts w:ascii="Tahoma" w:cs="Tahoma" w:hAnsi="Tahoma"/>
          <w:sz w:val="20"/>
        </w:rPr>
      </w:pPr>
      <w:r w:rsidRPr="00E2675B">
        <w:rPr>
          <w:rFonts w:ascii="Tahoma" w:cs="Tahoma" w:hAnsi="Tahoma"/>
          <w:sz w:val="20"/>
        </w:rPr>
        <w:t xml:space="preserve">La </w:t>
      </w:r>
      <w:r>
        <w:rPr>
          <w:rFonts w:ascii="Tahoma" w:cs="Tahoma" w:hAnsi="Tahoma"/>
          <w:sz w:val="20"/>
        </w:rPr>
        <w:t>Direction accepte de revaloriser les montants des Indemnités de Grands Déplacements</w:t>
      </w:r>
      <w:r w:rsidR="00380C93">
        <w:rPr>
          <w:rFonts w:ascii="Tahoma" w:cs="Tahoma" w:hAnsi="Tahoma"/>
          <w:sz w:val="20"/>
        </w:rPr>
        <w:t xml:space="preserve"> (IGD)</w:t>
      </w:r>
      <w:r>
        <w:rPr>
          <w:rFonts w:ascii="Tahoma" w:cs="Tahoma" w:hAnsi="Tahoma"/>
          <w:sz w:val="20"/>
        </w:rPr>
        <w:t xml:space="preserve"> fixés dans le cadre de l’accord </w:t>
      </w:r>
      <w:r w:rsidR="00380C93">
        <w:rPr>
          <w:rFonts w:ascii="Tahoma" w:cs="Tahoma" w:hAnsi="Tahoma"/>
          <w:sz w:val="20"/>
        </w:rPr>
        <w:t xml:space="preserve">relatif à l’indemnisation des déplacements au sein de la </w:t>
      </w:r>
      <w:r w:rsidR="006B488F">
        <w:rPr>
          <w:rFonts w:ascii="Tahoma" w:cs="Tahoma" w:hAnsi="Tahoma"/>
          <w:sz w:val="20"/>
        </w:rPr>
        <w:t>S</w:t>
      </w:r>
      <w:r w:rsidR="00380C93">
        <w:rPr>
          <w:rFonts w:ascii="Tahoma" w:cs="Tahoma" w:hAnsi="Tahoma"/>
          <w:sz w:val="20"/>
        </w:rPr>
        <w:t>ociété signé en date du 28 mars 2017, en annexe 1</w:t>
      </w:r>
      <w:r w:rsidRPr="00E2675B">
        <w:rPr>
          <w:rFonts w:ascii="Tahoma" w:cs="Tahoma" w:hAnsi="Tahoma"/>
          <w:sz w:val="20"/>
        </w:rPr>
        <w:t>.</w:t>
      </w:r>
    </w:p>
    <w:p w14:paraId="04A87C09" w14:textId="2516C082" w:rsidP="00210C4D" w:rsidR="00380C93" w:rsidRDefault="00380C93" w:rsidRPr="00A662E0">
      <w:pPr>
        <w:spacing w:before="120"/>
        <w:rPr>
          <w:rFonts w:ascii="Tahoma" w:cs="Tahoma" w:hAnsi="Tahoma"/>
          <w:sz w:val="20"/>
          <w:szCs w:val="20"/>
        </w:rPr>
      </w:pPr>
      <w:r w:rsidRPr="00A662E0">
        <w:rPr>
          <w:rFonts w:ascii="Tahoma" w:cs="Tahoma" w:hAnsi="Tahoma"/>
          <w:sz w:val="20"/>
          <w:szCs w:val="20"/>
        </w:rPr>
        <w:t xml:space="preserve">Aussi, les montants seront les suivants </w:t>
      </w:r>
      <w:r w:rsidRPr="00A662E0">
        <w:rPr>
          <w:rFonts w:ascii="Tahoma" w:cs="Tahoma" w:hAnsi="Tahoma"/>
          <w:b/>
          <w:bCs/>
          <w:sz w:val="20"/>
          <w:szCs w:val="20"/>
        </w:rPr>
        <w:t>à compter du 1</w:t>
      </w:r>
      <w:r w:rsidRPr="00A662E0">
        <w:rPr>
          <w:rFonts w:ascii="Tahoma" w:cs="Tahoma" w:hAnsi="Tahoma"/>
          <w:b/>
          <w:bCs/>
          <w:sz w:val="20"/>
          <w:szCs w:val="20"/>
          <w:vertAlign w:val="superscript"/>
        </w:rPr>
        <w:t>er</w:t>
      </w:r>
      <w:r w:rsidRPr="00A662E0">
        <w:rPr>
          <w:rFonts w:ascii="Tahoma" w:cs="Tahoma" w:hAnsi="Tahoma"/>
          <w:b/>
          <w:bCs/>
          <w:sz w:val="20"/>
          <w:szCs w:val="20"/>
        </w:rPr>
        <w:t xml:space="preserve"> janvier 2022</w:t>
      </w:r>
      <w:r w:rsidRPr="00A662E0">
        <w:rPr>
          <w:rFonts w:ascii="Tahoma" w:cs="Tahoma" w:hAnsi="Tahoma"/>
          <w:sz w:val="20"/>
          <w:szCs w:val="20"/>
        </w:rPr>
        <w:t> :</w:t>
      </w:r>
    </w:p>
    <w:p w14:paraId="74E3F37F" w14:textId="680138C9" w:rsidP="00210C4D" w:rsidR="00380C93" w:rsidRDefault="00380C93" w:rsidRPr="00A662E0">
      <w:pPr>
        <w:spacing w:before="120"/>
        <w:rPr>
          <w:rFonts w:ascii="Tahoma" w:cs="Tahoma" w:hAnsi="Tahoma"/>
          <w:sz w:val="20"/>
          <w:szCs w:val="20"/>
        </w:rPr>
      </w:pPr>
    </w:p>
    <w:p w14:paraId="34A5066C" w14:textId="782938F1" w:rsidP="006B488F" w:rsidR="006B488F" w:rsidRDefault="006B488F" w:rsidRPr="00A662E0">
      <w:pPr>
        <w:pStyle w:val="Paragraphedeliste"/>
        <w:numPr>
          <w:ilvl w:val="1"/>
          <w:numId w:val="16"/>
        </w:numPr>
        <w:ind w:left="426"/>
        <w:jc w:val="both"/>
        <w:rPr>
          <w:rFonts w:ascii="Tahoma" w:cs="Tahoma" w:hAnsi="Tahoma"/>
          <w:sz w:val="20"/>
          <w:szCs w:val="20"/>
        </w:rPr>
      </w:pPr>
      <w:r w:rsidRPr="00A662E0">
        <w:rPr>
          <w:rFonts w:ascii="Tahoma" w:cs="Tahoma" w:hAnsi="Tahoma"/>
          <w:b/>
          <w:bCs/>
          <w:sz w:val="20"/>
          <w:szCs w:val="20"/>
        </w:rPr>
        <w:t>105 €</w:t>
      </w:r>
      <w:r w:rsidRPr="00A662E0">
        <w:rPr>
          <w:rFonts w:ascii="Tahoma" w:cs="Tahoma" w:hAnsi="Tahoma"/>
          <w:sz w:val="20"/>
          <w:szCs w:val="20"/>
        </w:rPr>
        <w:t xml:space="preserve"> pour Paris (75) et les départements des Hauts de Seine (92), de la Seine Saint Denis (93) et du Val de Marne (94)</w:t>
      </w:r>
      <w:r w:rsidR="00A662E0">
        <w:rPr>
          <w:rFonts w:ascii="Tahoma" w:cs="Tahoma" w:hAnsi="Tahoma"/>
          <w:sz w:val="20"/>
          <w:szCs w:val="20"/>
        </w:rPr>
        <w:t> ;</w:t>
      </w:r>
    </w:p>
    <w:p w14:paraId="39F4217F" w14:textId="505C623E" w:rsidP="006B488F" w:rsidR="006B488F" w:rsidRDefault="006B488F" w:rsidRPr="00A662E0">
      <w:pPr>
        <w:pStyle w:val="Paragraphedeliste"/>
        <w:numPr>
          <w:ilvl w:val="1"/>
          <w:numId w:val="16"/>
        </w:numPr>
        <w:ind w:left="426"/>
        <w:jc w:val="both"/>
        <w:rPr>
          <w:rFonts w:ascii="Tahoma" w:cs="Tahoma" w:hAnsi="Tahoma"/>
          <w:sz w:val="20"/>
          <w:szCs w:val="20"/>
        </w:rPr>
      </w:pPr>
      <w:r w:rsidRPr="00A662E0">
        <w:rPr>
          <w:rFonts w:ascii="Tahoma" w:cs="Tahoma" w:hAnsi="Tahoma"/>
          <w:b/>
          <w:bCs/>
          <w:sz w:val="20"/>
          <w:szCs w:val="20"/>
        </w:rPr>
        <w:t>90 €</w:t>
      </w:r>
      <w:r w:rsidRPr="00A662E0">
        <w:rPr>
          <w:rFonts w:ascii="Tahoma" w:cs="Tahoma" w:hAnsi="Tahoma"/>
          <w:sz w:val="20"/>
          <w:szCs w:val="20"/>
        </w:rPr>
        <w:t xml:space="preserve"> pour les autres départements</w:t>
      </w:r>
      <w:r w:rsidR="00A662E0">
        <w:rPr>
          <w:rFonts w:ascii="Tahoma" w:cs="Tahoma" w:hAnsi="Tahoma"/>
          <w:sz w:val="20"/>
          <w:szCs w:val="20"/>
        </w:rPr>
        <w:t>.</w:t>
      </w:r>
    </w:p>
    <w:p w14:paraId="4ABA85B8" w14:textId="77777777" w:rsidP="002C38F9" w:rsidR="00210C4D" w:rsidRDefault="00210C4D" w:rsidRPr="00A662E0">
      <w:pPr>
        <w:spacing w:before="120"/>
        <w:rPr>
          <w:rFonts w:ascii="Tahoma" w:cs="Tahoma" w:hAnsi="Tahoma"/>
          <w:sz w:val="20"/>
          <w:szCs w:val="20"/>
        </w:rPr>
      </w:pPr>
    </w:p>
    <w:p w14:paraId="46DA3DBF" w14:textId="6C491514" w:rsidP="002C38F9" w:rsidR="002C38F9" w:rsidRDefault="009D561D" w:rsidRPr="00A662E0">
      <w:pPr>
        <w:spacing w:before="120"/>
        <w:rPr>
          <w:rFonts w:ascii="Tahoma" w:cs="Tahoma" w:hAnsi="Tahoma"/>
          <w:b/>
          <w:bCs/>
          <w:sz w:val="20"/>
          <w:szCs w:val="20"/>
        </w:rPr>
      </w:pPr>
      <w:r w:rsidRPr="00A662E0">
        <w:rPr>
          <w:rFonts w:ascii="Tahoma" w:cs="Tahoma" w:hAnsi="Tahoma"/>
          <w:b/>
          <w:bCs/>
          <w:sz w:val="20"/>
          <w:szCs w:val="20"/>
        </w:rPr>
        <w:t>Art</w:t>
      </w:r>
      <w:r w:rsidR="00423715" w:rsidRPr="00A662E0">
        <w:rPr>
          <w:rFonts w:ascii="Tahoma" w:cs="Tahoma" w:hAnsi="Tahoma"/>
          <w:b/>
          <w:bCs/>
          <w:sz w:val="20"/>
          <w:szCs w:val="20"/>
        </w:rPr>
        <w:t>icle</w:t>
      </w:r>
      <w:r w:rsidRPr="00A662E0">
        <w:rPr>
          <w:rFonts w:ascii="Tahoma" w:cs="Tahoma" w:hAnsi="Tahoma"/>
          <w:b/>
          <w:bCs/>
          <w:sz w:val="20"/>
          <w:szCs w:val="20"/>
        </w:rPr>
        <w:t xml:space="preserve"> </w:t>
      </w:r>
      <w:r w:rsidR="000635BC" w:rsidRPr="00A662E0">
        <w:rPr>
          <w:rFonts w:ascii="Tahoma" w:cs="Tahoma" w:hAnsi="Tahoma"/>
          <w:b/>
          <w:bCs/>
          <w:sz w:val="20"/>
          <w:szCs w:val="20"/>
        </w:rPr>
        <w:t>1</w:t>
      </w:r>
      <w:r w:rsidR="00807101" w:rsidRPr="00A662E0">
        <w:rPr>
          <w:rFonts w:ascii="Tahoma" w:cs="Tahoma" w:hAnsi="Tahoma"/>
          <w:b/>
          <w:bCs/>
          <w:sz w:val="20"/>
          <w:szCs w:val="20"/>
        </w:rPr>
        <w:t>1</w:t>
      </w:r>
      <w:r w:rsidR="002C38F9" w:rsidRPr="00A662E0">
        <w:rPr>
          <w:rFonts w:ascii="Tahoma" w:cs="Tahoma" w:hAnsi="Tahoma"/>
          <w:b/>
          <w:bCs/>
          <w:sz w:val="20"/>
          <w:szCs w:val="20"/>
        </w:rPr>
        <w:t xml:space="preserve"> – EPARGNE SALARIALE </w:t>
      </w:r>
    </w:p>
    <w:p w14:paraId="3D7FB170" w14:textId="77777777" w:rsidP="009D561D" w:rsidR="009D561D" w:rsidRDefault="009D561D" w:rsidRPr="00E2675B">
      <w:pPr>
        <w:spacing w:before="120"/>
        <w:rPr>
          <w:rFonts w:ascii="Tahoma" w:cs="Tahoma" w:hAnsi="Tahoma"/>
          <w:sz w:val="20"/>
        </w:rPr>
      </w:pPr>
      <w:r w:rsidRPr="00E2675B">
        <w:rPr>
          <w:rFonts w:ascii="Tahoma" w:cs="Tahoma" w:hAnsi="Tahoma"/>
          <w:sz w:val="20"/>
        </w:rPr>
        <w:t>Suite à l’engagement pris dans le cadre de la NAO pour 2017, un accord de méthodologie relatif à l’intéressement collectif au sein de l’UES, contenant une partie liée aux résultats consolidés afin que le modèle de mutualisation des frais transverses de l’Entreprise ne pénalise pas les salariés des entités locales, a été conclu le 14 juin 2017</w:t>
      </w:r>
      <w:r w:rsidR="006334ED" w:rsidRPr="00E2675B">
        <w:rPr>
          <w:rFonts w:ascii="Tahoma" w:cs="Tahoma" w:hAnsi="Tahoma"/>
          <w:sz w:val="20"/>
        </w:rPr>
        <w:t>, puis révisé</w:t>
      </w:r>
      <w:r w:rsidR="0096394B" w:rsidRPr="00E2675B">
        <w:rPr>
          <w:rFonts w:ascii="Tahoma" w:cs="Tahoma" w:hAnsi="Tahoma"/>
          <w:sz w:val="20"/>
        </w:rPr>
        <w:t xml:space="preserve"> le 11 décembre 2017, </w:t>
      </w:r>
      <w:r w:rsidR="006334ED" w:rsidRPr="00E2675B">
        <w:rPr>
          <w:rFonts w:ascii="Tahoma" w:cs="Tahoma" w:hAnsi="Tahoma"/>
          <w:sz w:val="20"/>
        </w:rPr>
        <w:t xml:space="preserve"> le 27 avril 2018</w:t>
      </w:r>
      <w:r w:rsidR="00323181" w:rsidRPr="00E2675B">
        <w:rPr>
          <w:rFonts w:ascii="Tahoma" w:cs="Tahoma" w:hAnsi="Tahoma"/>
          <w:sz w:val="20"/>
        </w:rPr>
        <w:t xml:space="preserve"> et le 18 avril 2019</w:t>
      </w:r>
      <w:r w:rsidRPr="00E2675B">
        <w:rPr>
          <w:rFonts w:ascii="Tahoma" w:cs="Tahoma" w:hAnsi="Tahoma"/>
          <w:sz w:val="20"/>
        </w:rPr>
        <w:t xml:space="preserve">. </w:t>
      </w:r>
    </w:p>
    <w:p w14:paraId="66C6E27D" w14:textId="23E92CC0" w:rsidP="009D561D" w:rsidR="00323181" w:rsidRDefault="00323181" w:rsidRPr="00E2675B">
      <w:pPr>
        <w:spacing w:before="120"/>
        <w:rPr>
          <w:rFonts w:ascii="Tahoma" w:cs="Tahoma" w:hAnsi="Tahoma"/>
          <w:sz w:val="20"/>
        </w:rPr>
      </w:pPr>
      <w:r w:rsidRPr="00E2675B">
        <w:rPr>
          <w:rFonts w:ascii="Tahoma" w:cs="Tahoma" w:hAnsi="Tahoma"/>
          <w:sz w:val="20"/>
        </w:rPr>
        <w:t>Au titre de</w:t>
      </w:r>
      <w:r w:rsidR="003529C7" w:rsidRPr="00E2675B">
        <w:rPr>
          <w:rFonts w:ascii="Tahoma" w:cs="Tahoma" w:hAnsi="Tahoma"/>
          <w:sz w:val="20"/>
        </w:rPr>
        <w:t xml:space="preserve">s </w:t>
      </w:r>
      <w:r w:rsidRPr="00E2675B">
        <w:rPr>
          <w:rFonts w:ascii="Tahoma" w:cs="Tahoma" w:hAnsi="Tahoma"/>
          <w:sz w:val="20"/>
        </w:rPr>
        <w:t>exercice</w:t>
      </w:r>
      <w:r w:rsidR="003529C7" w:rsidRPr="00E2675B">
        <w:rPr>
          <w:rFonts w:ascii="Tahoma" w:cs="Tahoma" w:hAnsi="Tahoma"/>
          <w:sz w:val="20"/>
        </w:rPr>
        <w:t>s</w:t>
      </w:r>
      <w:r w:rsidRPr="00E2675B">
        <w:rPr>
          <w:rFonts w:ascii="Tahoma" w:cs="Tahoma" w:hAnsi="Tahoma"/>
          <w:sz w:val="20"/>
        </w:rPr>
        <w:t xml:space="preserve"> 2020</w:t>
      </w:r>
      <w:r w:rsidR="003529C7" w:rsidRPr="00E2675B">
        <w:rPr>
          <w:rFonts w:ascii="Tahoma" w:cs="Tahoma" w:hAnsi="Tahoma"/>
          <w:sz w:val="20"/>
        </w:rPr>
        <w:t xml:space="preserve"> et 2021</w:t>
      </w:r>
      <w:r w:rsidRPr="00E2675B">
        <w:rPr>
          <w:rFonts w:ascii="Tahoma" w:cs="Tahoma" w:hAnsi="Tahoma"/>
          <w:sz w:val="20"/>
        </w:rPr>
        <w:t>, les parties à l’accord susvisé ne sont pas parvenues à conclure un nouvel avenant révisant les objectifs de la part centrale.  Ainsi, l</w:t>
      </w:r>
      <w:r w:rsidR="0096394B" w:rsidRPr="00E2675B">
        <w:rPr>
          <w:rFonts w:ascii="Tahoma" w:cs="Tahoma" w:hAnsi="Tahoma"/>
          <w:sz w:val="20"/>
        </w:rPr>
        <w:t>es objectifs fixés aux termes de l’avenant n°3 du 18 avril 2019</w:t>
      </w:r>
      <w:r w:rsidR="003F7A7F" w:rsidRPr="00E2675B">
        <w:rPr>
          <w:rFonts w:ascii="Tahoma" w:cs="Tahoma" w:hAnsi="Tahoma"/>
          <w:sz w:val="20"/>
        </w:rPr>
        <w:t xml:space="preserve"> trouvent application </w:t>
      </w:r>
      <w:r w:rsidR="00995DF8" w:rsidRPr="00E2675B">
        <w:rPr>
          <w:rFonts w:ascii="Tahoma" w:cs="Tahoma" w:hAnsi="Tahoma"/>
          <w:sz w:val="20"/>
        </w:rPr>
        <w:t>jusqu’à</w:t>
      </w:r>
      <w:r w:rsidR="003F7A7F" w:rsidRPr="00E2675B">
        <w:rPr>
          <w:rFonts w:ascii="Tahoma" w:cs="Tahoma" w:hAnsi="Tahoma"/>
          <w:sz w:val="20"/>
        </w:rPr>
        <w:t xml:space="preserve"> l’exercice </w:t>
      </w:r>
      <w:r w:rsidR="00325D82" w:rsidRPr="00E2675B">
        <w:rPr>
          <w:rFonts w:ascii="Tahoma" w:cs="Tahoma" w:hAnsi="Tahoma"/>
          <w:sz w:val="20"/>
        </w:rPr>
        <w:t>202</w:t>
      </w:r>
      <w:r w:rsidR="00995DF8" w:rsidRPr="00E2675B">
        <w:rPr>
          <w:rFonts w:ascii="Tahoma" w:cs="Tahoma" w:hAnsi="Tahoma"/>
          <w:sz w:val="20"/>
        </w:rPr>
        <w:t>1</w:t>
      </w:r>
      <w:r w:rsidR="0096394B" w:rsidRPr="00E2675B">
        <w:rPr>
          <w:rFonts w:ascii="Tahoma" w:cs="Tahoma" w:hAnsi="Tahoma"/>
          <w:sz w:val="20"/>
        </w:rPr>
        <w:t>.</w:t>
      </w:r>
      <w:r w:rsidR="002E5DEE" w:rsidRPr="00E2675B">
        <w:rPr>
          <w:rFonts w:ascii="Tahoma" w:cs="Tahoma" w:hAnsi="Tahoma"/>
          <w:sz w:val="20"/>
        </w:rPr>
        <w:t xml:space="preserve"> </w:t>
      </w:r>
      <w:r w:rsidR="00CD20EC" w:rsidRPr="00E2675B">
        <w:rPr>
          <w:rFonts w:ascii="Tahoma" w:cs="Tahoma" w:hAnsi="Tahoma"/>
          <w:sz w:val="20"/>
        </w:rPr>
        <w:t>De nouvelles négociations seront ouvertes sur cette thématique au cours du premier semestre 2022.</w:t>
      </w:r>
    </w:p>
    <w:p w14:paraId="76EBB637" w14:textId="77777777" w:rsidP="009D561D" w:rsidR="009D561D" w:rsidRDefault="009D561D" w:rsidRPr="00E2675B">
      <w:pPr>
        <w:pStyle w:val="texte"/>
        <w:spacing w:before="120"/>
        <w:rPr>
          <w:rFonts w:ascii="Tahoma" w:cs="Tahoma" w:hAnsi="Tahoma"/>
          <w:sz w:val="20"/>
        </w:rPr>
      </w:pPr>
      <w:r w:rsidRPr="00E2675B">
        <w:rPr>
          <w:rFonts w:ascii="Tahoma" w:cs="Tahoma" w:hAnsi="Tahoma"/>
          <w:sz w:val="20"/>
        </w:rPr>
        <w:t xml:space="preserve">Par ailleurs, </w:t>
      </w:r>
      <w:r w:rsidR="0096394B" w:rsidRPr="00E2675B">
        <w:rPr>
          <w:rFonts w:ascii="Tahoma" w:cs="Tahoma" w:hAnsi="Tahoma"/>
          <w:sz w:val="20"/>
        </w:rPr>
        <w:t>un accord</w:t>
      </w:r>
      <w:r w:rsidRPr="00E2675B">
        <w:rPr>
          <w:rFonts w:ascii="Tahoma" w:cs="Tahoma" w:hAnsi="Tahoma"/>
          <w:sz w:val="20"/>
        </w:rPr>
        <w:t xml:space="preserve"> portant sur la mise en place d’un dispositif de compte épargne temps (CET) au niveau de l’UES pour les entités qui n’auraient pas déjà mis en place cet outil, </w:t>
      </w:r>
      <w:r w:rsidR="00A70892" w:rsidRPr="00E2675B">
        <w:rPr>
          <w:rFonts w:ascii="Tahoma" w:cs="Tahoma" w:hAnsi="Tahoma"/>
          <w:sz w:val="20"/>
        </w:rPr>
        <w:t>est en vigueur depuis le</w:t>
      </w:r>
      <w:r w:rsidR="006334ED" w:rsidRPr="00E2675B">
        <w:rPr>
          <w:rFonts w:ascii="Tahoma" w:cs="Tahoma" w:hAnsi="Tahoma"/>
          <w:sz w:val="20"/>
        </w:rPr>
        <w:t xml:space="preserve"> 1</w:t>
      </w:r>
      <w:r w:rsidR="006334ED" w:rsidRPr="00E2675B">
        <w:rPr>
          <w:rFonts w:ascii="Tahoma" w:cs="Tahoma" w:hAnsi="Tahoma"/>
          <w:sz w:val="20"/>
          <w:vertAlign w:val="superscript"/>
        </w:rPr>
        <w:t>er</w:t>
      </w:r>
      <w:r w:rsidR="006334ED" w:rsidRPr="00E2675B">
        <w:rPr>
          <w:rFonts w:ascii="Tahoma" w:cs="Tahoma" w:hAnsi="Tahoma"/>
          <w:sz w:val="20"/>
        </w:rPr>
        <w:t xml:space="preserve"> décembre 2017 pour une mise en œuvre à compter de l’exercice 2018 pour les périmètres de l’UES ne disposant pas déjà d’un CET</w:t>
      </w:r>
      <w:r w:rsidRPr="00E2675B">
        <w:rPr>
          <w:rFonts w:ascii="Tahoma" w:cs="Tahoma" w:hAnsi="Tahoma"/>
          <w:sz w:val="20"/>
        </w:rPr>
        <w:t>.</w:t>
      </w:r>
    </w:p>
    <w:p w14:paraId="4BBA4FE5" w14:textId="430615B3" w:rsidP="009D561D" w:rsidR="009D561D" w:rsidRDefault="009D561D" w:rsidRPr="00E2675B">
      <w:pPr>
        <w:pStyle w:val="texte"/>
        <w:spacing w:before="120"/>
        <w:rPr>
          <w:rFonts w:ascii="Tahoma" w:cs="Tahoma" w:hAnsi="Tahoma"/>
          <w:sz w:val="20"/>
        </w:rPr>
      </w:pPr>
    </w:p>
    <w:p w14:paraId="31B8CC4E" w14:textId="63899089" w:rsidP="002C38F9" w:rsidR="002C38F9" w:rsidRDefault="00581E01" w:rsidRPr="00E2675B">
      <w:pPr>
        <w:spacing w:before="120"/>
        <w:rPr>
          <w:rFonts w:ascii="Tahoma" w:cs="Tahoma" w:hAnsi="Tahoma"/>
          <w:b/>
          <w:bCs/>
          <w:sz w:val="20"/>
          <w:szCs w:val="20"/>
        </w:rPr>
      </w:pPr>
      <w:r w:rsidRPr="00E2675B">
        <w:rPr>
          <w:rFonts w:ascii="Tahoma" w:cs="Tahoma" w:hAnsi="Tahoma"/>
          <w:b/>
          <w:bCs/>
          <w:sz w:val="20"/>
          <w:szCs w:val="20"/>
        </w:rPr>
        <w:t>Art</w:t>
      </w:r>
      <w:r w:rsidR="00423715" w:rsidRPr="00E2675B">
        <w:rPr>
          <w:rFonts w:ascii="Tahoma" w:cs="Tahoma" w:hAnsi="Tahoma"/>
          <w:b/>
          <w:bCs/>
          <w:sz w:val="20"/>
          <w:szCs w:val="20"/>
        </w:rPr>
        <w:t>icle</w:t>
      </w:r>
      <w:r w:rsidRPr="00E2675B">
        <w:rPr>
          <w:rFonts w:ascii="Tahoma" w:cs="Tahoma" w:hAnsi="Tahoma"/>
          <w:b/>
          <w:bCs/>
          <w:sz w:val="20"/>
          <w:szCs w:val="20"/>
        </w:rPr>
        <w:t xml:space="preserve"> </w:t>
      </w:r>
      <w:r w:rsidR="00B24CB2">
        <w:rPr>
          <w:rFonts w:ascii="Tahoma" w:cs="Tahoma" w:hAnsi="Tahoma"/>
          <w:b/>
          <w:bCs/>
          <w:sz w:val="20"/>
          <w:szCs w:val="20"/>
        </w:rPr>
        <w:t>1</w:t>
      </w:r>
      <w:r w:rsidR="00807101">
        <w:rPr>
          <w:rFonts w:ascii="Tahoma" w:cs="Tahoma" w:hAnsi="Tahoma"/>
          <w:b/>
          <w:bCs/>
          <w:sz w:val="20"/>
          <w:szCs w:val="20"/>
        </w:rPr>
        <w:t>2</w:t>
      </w:r>
      <w:r w:rsidR="002C38F9" w:rsidRPr="00E2675B">
        <w:rPr>
          <w:rFonts w:ascii="Tahoma" w:cs="Tahoma" w:hAnsi="Tahoma"/>
          <w:b/>
          <w:bCs/>
          <w:sz w:val="20"/>
          <w:szCs w:val="20"/>
        </w:rPr>
        <w:t xml:space="preserve"> – GESTION PREVISIONNELLE DE L’EMPLOI ET DES COMPETENCES</w:t>
      </w:r>
    </w:p>
    <w:p w14:paraId="1982873B" w14:textId="09243E12" w:rsidP="00F719A9" w:rsidR="00F719A9" w:rsidRDefault="00F719A9" w:rsidRPr="00E2675B">
      <w:pPr>
        <w:pStyle w:val="texte"/>
        <w:spacing w:before="120"/>
        <w:rPr>
          <w:rFonts w:ascii="Tahoma" w:cs="Tahoma" w:hAnsi="Tahoma"/>
          <w:sz w:val="20"/>
        </w:rPr>
      </w:pPr>
      <w:r w:rsidRPr="00E2675B">
        <w:rPr>
          <w:rFonts w:ascii="Tahoma" w:cs="Tahoma" w:hAnsi="Tahoma"/>
          <w:sz w:val="20"/>
        </w:rPr>
        <w:t xml:space="preserve">L’accord relatif à la Gestion Anticipative des Emplois et des Compétences (GAEC) signé à </w:t>
      </w:r>
      <w:r w:rsidR="00C5494D" w:rsidRPr="00E2675B">
        <w:rPr>
          <w:rFonts w:ascii="Tahoma" w:cs="Tahoma" w:hAnsi="Tahoma"/>
          <w:sz w:val="20"/>
        </w:rPr>
        <w:t>la majorité</w:t>
      </w:r>
      <w:r w:rsidRPr="00E2675B">
        <w:rPr>
          <w:rFonts w:ascii="Tahoma" w:cs="Tahoma" w:hAnsi="Tahoma"/>
          <w:sz w:val="20"/>
        </w:rPr>
        <w:t xml:space="preserve"> </w:t>
      </w:r>
      <w:r w:rsidR="004D7A3B" w:rsidRPr="00E2675B">
        <w:rPr>
          <w:rFonts w:ascii="Tahoma" w:cs="Tahoma" w:hAnsi="Tahoma"/>
          <w:sz w:val="20"/>
        </w:rPr>
        <w:t>d</w:t>
      </w:r>
      <w:r w:rsidRPr="00E2675B">
        <w:rPr>
          <w:rFonts w:ascii="Tahoma" w:cs="Tahoma" w:hAnsi="Tahoma"/>
          <w:sz w:val="20"/>
        </w:rPr>
        <w:t xml:space="preserve">es Organisations syndicales représentatives au niveau de l’UES le </w:t>
      </w:r>
      <w:r w:rsidR="00C5494D" w:rsidRPr="00E2675B">
        <w:rPr>
          <w:rFonts w:ascii="Tahoma" w:cs="Tahoma" w:hAnsi="Tahoma"/>
          <w:sz w:val="20"/>
        </w:rPr>
        <w:t>7 juillet 2019</w:t>
      </w:r>
      <w:r w:rsidRPr="00E2675B">
        <w:rPr>
          <w:rFonts w:ascii="Tahoma" w:cs="Tahoma" w:hAnsi="Tahoma"/>
          <w:sz w:val="20"/>
        </w:rPr>
        <w:t xml:space="preserve"> </w:t>
      </w:r>
      <w:r w:rsidR="00C5494D" w:rsidRPr="00E2675B">
        <w:rPr>
          <w:rFonts w:ascii="Tahoma" w:cs="Tahoma" w:hAnsi="Tahoma"/>
          <w:sz w:val="20"/>
        </w:rPr>
        <w:t>arrivera</w:t>
      </w:r>
      <w:r w:rsidRPr="00E2675B">
        <w:rPr>
          <w:rFonts w:ascii="Tahoma" w:cs="Tahoma" w:hAnsi="Tahoma"/>
          <w:sz w:val="20"/>
        </w:rPr>
        <w:t xml:space="preserve"> à échéance en </w:t>
      </w:r>
      <w:r w:rsidR="00C5494D" w:rsidRPr="00E2675B">
        <w:rPr>
          <w:rFonts w:ascii="Tahoma" w:cs="Tahoma" w:hAnsi="Tahoma"/>
          <w:sz w:val="20"/>
        </w:rPr>
        <w:t>2022</w:t>
      </w:r>
      <w:r w:rsidRPr="00E2675B">
        <w:rPr>
          <w:rFonts w:ascii="Tahoma" w:cs="Tahoma" w:hAnsi="Tahoma"/>
          <w:sz w:val="20"/>
        </w:rPr>
        <w:t>.</w:t>
      </w:r>
    </w:p>
    <w:p w14:paraId="3F8AB36E" w14:textId="56312BFE" w:rsidP="00F719A9" w:rsidR="00F719A9" w:rsidRDefault="00F719A9" w:rsidRPr="00E2675B">
      <w:pPr>
        <w:pStyle w:val="texte"/>
        <w:spacing w:before="120"/>
        <w:rPr>
          <w:rFonts w:ascii="Tahoma" w:cs="Tahoma" w:hAnsi="Tahoma"/>
          <w:sz w:val="20"/>
        </w:rPr>
      </w:pPr>
      <w:r w:rsidRPr="00E2675B">
        <w:rPr>
          <w:rFonts w:ascii="Tahoma" w:cs="Tahoma" w:hAnsi="Tahoma"/>
          <w:sz w:val="20"/>
        </w:rPr>
        <w:t xml:space="preserve">Une négociation relative à son renouvellement </w:t>
      </w:r>
      <w:r w:rsidR="00C5494D" w:rsidRPr="00E2675B">
        <w:rPr>
          <w:rFonts w:ascii="Tahoma" w:cs="Tahoma" w:hAnsi="Tahoma"/>
          <w:sz w:val="20"/>
        </w:rPr>
        <w:t xml:space="preserve">sera ainsi initiée sur le premier </w:t>
      </w:r>
      <w:r w:rsidR="00E56D7C" w:rsidRPr="00E2675B">
        <w:rPr>
          <w:rFonts w:ascii="Tahoma" w:cs="Tahoma" w:hAnsi="Tahoma"/>
          <w:sz w:val="20"/>
        </w:rPr>
        <w:t>semestre</w:t>
      </w:r>
      <w:r w:rsidR="00C5494D" w:rsidRPr="00E2675B">
        <w:rPr>
          <w:rFonts w:ascii="Tahoma" w:cs="Tahoma" w:hAnsi="Tahoma"/>
          <w:sz w:val="20"/>
        </w:rPr>
        <w:t xml:space="preserve"> 2022</w:t>
      </w:r>
      <w:r w:rsidRPr="00E2675B">
        <w:rPr>
          <w:rFonts w:ascii="Tahoma" w:cs="Tahoma" w:hAnsi="Tahoma"/>
          <w:sz w:val="20"/>
        </w:rPr>
        <w:t xml:space="preserve">. </w:t>
      </w:r>
    </w:p>
    <w:p w14:paraId="47126A5D" w14:textId="77777777" w:rsidP="002C38F9" w:rsidR="008A037A" w:rsidRDefault="008A037A" w:rsidRPr="00E2675B">
      <w:pPr>
        <w:pStyle w:val="texte"/>
        <w:spacing w:before="120"/>
        <w:rPr>
          <w:rFonts w:ascii="Tahoma" w:cs="Tahoma" w:hAnsi="Tahoma"/>
          <w:sz w:val="20"/>
        </w:rPr>
      </w:pPr>
    </w:p>
    <w:p w14:paraId="28873EBD" w14:textId="13DC5E3D" w:rsidP="00581E01" w:rsidR="00581E01" w:rsidRDefault="00581E01" w:rsidRPr="00E2675B">
      <w:pPr>
        <w:spacing w:before="120"/>
        <w:rPr>
          <w:rFonts w:ascii="Tahoma" w:cs="Tahoma" w:hAnsi="Tahoma"/>
          <w:b/>
          <w:bCs/>
          <w:sz w:val="20"/>
        </w:rPr>
      </w:pPr>
      <w:r w:rsidRPr="00E2675B">
        <w:rPr>
          <w:rFonts w:ascii="Tahoma" w:cs="Tahoma" w:hAnsi="Tahoma"/>
          <w:b/>
          <w:bCs/>
          <w:sz w:val="20"/>
        </w:rPr>
        <w:t>Art</w:t>
      </w:r>
      <w:r w:rsidR="00423715" w:rsidRPr="00E2675B">
        <w:rPr>
          <w:rFonts w:ascii="Tahoma" w:cs="Tahoma" w:hAnsi="Tahoma"/>
          <w:b/>
          <w:bCs/>
          <w:sz w:val="20"/>
        </w:rPr>
        <w:t>icle</w:t>
      </w:r>
      <w:r w:rsidRPr="00E2675B">
        <w:rPr>
          <w:rFonts w:ascii="Tahoma" w:cs="Tahoma" w:hAnsi="Tahoma"/>
          <w:b/>
          <w:bCs/>
          <w:sz w:val="20"/>
        </w:rPr>
        <w:t xml:space="preserve"> 1</w:t>
      </w:r>
      <w:r w:rsidR="00807101">
        <w:rPr>
          <w:rFonts w:ascii="Tahoma" w:cs="Tahoma" w:hAnsi="Tahoma"/>
          <w:b/>
          <w:bCs/>
          <w:sz w:val="20"/>
        </w:rPr>
        <w:t>3</w:t>
      </w:r>
      <w:r w:rsidRPr="00E2675B">
        <w:rPr>
          <w:rFonts w:ascii="Tahoma" w:cs="Tahoma" w:hAnsi="Tahoma"/>
          <w:b/>
          <w:bCs/>
          <w:sz w:val="20"/>
        </w:rPr>
        <w:t xml:space="preserve"> – EGALITE PROFESSIONNELLE ENTRE LES FEMMES ET LES HOMMES</w:t>
      </w:r>
    </w:p>
    <w:p w14:paraId="677EA10A" w14:textId="510F371A" w:rsidP="00325D9F" w:rsidR="00325D9F" w:rsidRDefault="00325D9F" w:rsidRPr="00E2675B">
      <w:pPr>
        <w:spacing w:before="120"/>
        <w:rPr>
          <w:rFonts w:ascii="Tahoma" w:cs="Tahoma" w:hAnsi="Tahoma"/>
          <w:sz w:val="20"/>
        </w:rPr>
      </w:pPr>
      <w:r w:rsidRPr="00E2675B">
        <w:rPr>
          <w:rFonts w:ascii="Tahoma" w:cs="Tahoma" w:hAnsi="Tahoma"/>
          <w:sz w:val="20"/>
        </w:rPr>
        <w:t xml:space="preserve">L’accord sur </w:t>
      </w:r>
      <w:r w:rsidR="006F4545" w:rsidRPr="00E2675B">
        <w:rPr>
          <w:rFonts w:ascii="Tahoma" w:cs="Tahoma" w:hAnsi="Tahoma"/>
          <w:sz w:val="20"/>
        </w:rPr>
        <w:t>l’égalité professionnelle</w:t>
      </w:r>
      <w:r w:rsidRPr="00E2675B">
        <w:rPr>
          <w:rFonts w:ascii="Tahoma" w:cs="Tahoma" w:hAnsi="Tahoma"/>
          <w:sz w:val="20"/>
        </w:rPr>
        <w:t xml:space="preserve"> conclu à l’unanimité avec les Organisations syndicales représentatives au niveau de l’UES le 23 décembre 2015 est arrivé à échéance en fin d’année 2018.</w:t>
      </w:r>
    </w:p>
    <w:p w14:paraId="7FF4E84D" w14:textId="0C57E90A" w:rsidP="00325D9F" w:rsidR="004B7053" w:rsidRDefault="00325D9F" w:rsidRPr="00E2675B">
      <w:pPr>
        <w:pStyle w:val="texte"/>
        <w:spacing w:before="120"/>
        <w:rPr>
          <w:rFonts w:ascii="Tahoma" w:cs="Tahoma" w:hAnsi="Tahoma"/>
          <w:sz w:val="20"/>
        </w:rPr>
      </w:pPr>
      <w:r w:rsidRPr="00E2675B">
        <w:rPr>
          <w:rFonts w:ascii="Tahoma" w:cs="Tahoma" w:hAnsi="Tahoma"/>
          <w:sz w:val="20"/>
        </w:rPr>
        <w:t xml:space="preserve">Un nouvel accord unanime a été signé le 28 mai 2019, réaffirmant les engagements pris par ENGIE Ineo en matière notamment de recrutement, de formation, de rémunération. </w:t>
      </w:r>
    </w:p>
    <w:p w14:paraId="2CBE569B" w14:textId="2C6DE0F0" w:rsidP="00325D9F" w:rsidR="007D7B28" w:rsidRDefault="002E1EB8" w:rsidRPr="00D253D3">
      <w:pPr>
        <w:pStyle w:val="texte"/>
        <w:spacing w:before="120"/>
        <w:rPr>
          <w:rFonts w:ascii="Tahoma" w:cs="Tahoma" w:hAnsi="Tahoma"/>
          <w:sz w:val="20"/>
        </w:rPr>
      </w:pPr>
      <w:r w:rsidRPr="00D253D3">
        <w:rPr>
          <w:rFonts w:ascii="Tahoma" w:cs="Tahoma" w:hAnsi="Tahoma"/>
          <w:sz w:val="20"/>
        </w:rPr>
        <w:t xml:space="preserve">Cet accord arrivant à échéance au 31 décembre 2022, une nouvelle négociation devrait s’ouvrir </w:t>
      </w:r>
      <w:r w:rsidR="00251145" w:rsidRPr="00D253D3">
        <w:rPr>
          <w:rFonts w:ascii="Tahoma" w:cs="Tahoma" w:hAnsi="Tahoma"/>
          <w:sz w:val="20"/>
        </w:rPr>
        <w:t>sur le 2</w:t>
      </w:r>
      <w:r w:rsidR="00251145" w:rsidRPr="00D253D3">
        <w:rPr>
          <w:rFonts w:ascii="Tahoma" w:cs="Tahoma" w:hAnsi="Tahoma"/>
          <w:sz w:val="20"/>
          <w:vertAlign w:val="superscript"/>
        </w:rPr>
        <w:t>nd</w:t>
      </w:r>
      <w:r w:rsidR="00251145" w:rsidRPr="00D253D3">
        <w:rPr>
          <w:rFonts w:ascii="Tahoma" w:cs="Tahoma" w:hAnsi="Tahoma"/>
          <w:sz w:val="20"/>
        </w:rPr>
        <w:t xml:space="preserve"> semestre 2022.</w:t>
      </w:r>
    </w:p>
    <w:p w14:paraId="0D19CAD0" w14:textId="318647A2" w:rsidP="00063C6C" w:rsidR="00D253D3" w:rsidRDefault="00325D9F" w:rsidRPr="00D253D3">
      <w:pPr>
        <w:pStyle w:val="texte"/>
        <w:spacing w:before="120"/>
        <w:rPr>
          <w:rFonts w:ascii="Tahoma" w:cs="Tahoma" w:eastAsia="Times" w:hAnsi="Tahoma"/>
          <w:sz w:val="20"/>
        </w:rPr>
      </w:pPr>
      <w:r w:rsidRPr="00D253D3">
        <w:rPr>
          <w:rFonts w:ascii="Tahoma" w:cs="Tahoma" w:eastAsia="Times" w:hAnsi="Tahoma"/>
          <w:sz w:val="20"/>
        </w:rPr>
        <w:t xml:space="preserve">Par ailleurs, en matière d’égalité salariale, </w:t>
      </w:r>
      <w:r w:rsidR="00251145" w:rsidRPr="00D253D3">
        <w:rPr>
          <w:rFonts w:ascii="Tahoma" w:cs="Tahoma" w:eastAsia="Times" w:hAnsi="Tahoma"/>
          <w:sz w:val="20"/>
        </w:rPr>
        <w:t>l’UES</w:t>
      </w:r>
      <w:r w:rsidRPr="00D253D3">
        <w:rPr>
          <w:rFonts w:ascii="Tahoma" w:cs="Tahoma" w:eastAsia="Times" w:hAnsi="Tahoma"/>
          <w:sz w:val="20"/>
        </w:rPr>
        <w:t xml:space="preserve"> Ineo </w:t>
      </w:r>
      <w:r w:rsidR="00251145" w:rsidRPr="00D253D3">
        <w:rPr>
          <w:rFonts w:ascii="Tahoma" w:cs="Tahoma" w:eastAsia="Times" w:hAnsi="Tahoma"/>
          <w:sz w:val="20"/>
        </w:rPr>
        <w:t>a atteint au titre de l’année 2020</w:t>
      </w:r>
      <w:r w:rsidRPr="00D253D3">
        <w:rPr>
          <w:rFonts w:ascii="Tahoma" w:cs="Tahoma" w:eastAsia="Times" w:hAnsi="Tahoma"/>
          <w:sz w:val="20"/>
        </w:rPr>
        <w:t xml:space="preserve"> </w:t>
      </w:r>
      <w:r w:rsidR="00034056" w:rsidRPr="00D253D3">
        <w:rPr>
          <w:rFonts w:ascii="Tahoma" w:cs="Tahoma" w:eastAsia="Times" w:hAnsi="Tahoma"/>
          <w:sz w:val="20"/>
        </w:rPr>
        <w:t>89</w:t>
      </w:r>
      <w:r w:rsidRPr="00D253D3">
        <w:rPr>
          <w:rFonts w:ascii="Tahoma" w:cs="Tahoma" w:eastAsia="Times" w:hAnsi="Tahoma"/>
          <w:sz w:val="20"/>
        </w:rPr>
        <w:t xml:space="preserve"> points en application de l’index « Ega pro »</w:t>
      </w:r>
      <w:r w:rsidR="00034056" w:rsidRPr="00D253D3">
        <w:rPr>
          <w:rFonts w:ascii="Tahoma" w:cs="Tahoma" w:eastAsia="Times" w:hAnsi="Tahoma"/>
          <w:sz w:val="20"/>
        </w:rPr>
        <w:t xml:space="preserve">, </w:t>
      </w:r>
      <w:r w:rsidR="00BA47CF" w:rsidRPr="00D253D3">
        <w:rPr>
          <w:rFonts w:ascii="Tahoma" w:cs="Tahoma" w:eastAsia="Times" w:hAnsi="Tahoma"/>
          <w:sz w:val="20"/>
        </w:rPr>
        <w:t>soit un résultat supérieur à ses objectifs fixés à hauteur de 85 points</w:t>
      </w:r>
      <w:r w:rsidRPr="00D253D3">
        <w:rPr>
          <w:rFonts w:ascii="Tahoma" w:cs="Tahoma" w:eastAsia="Times" w:hAnsi="Tahoma"/>
          <w:sz w:val="20"/>
        </w:rPr>
        <w:t>.</w:t>
      </w:r>
    </w:p>
    <w:p w14:paraId="3006EE72" w14:textId="485CBB7D" w:rsidP="00D253D3" w:rsidR="00D253D3" w:rsidRDefault="00D253D3" w:rsidRPr="00D253D3">
      <w:pPr>
        <w:spacing w:before="120"/>
        <w:rPr>
          <w:rFonts w:ascii="Tahoma" w:cs="Tahoma" w:hAnsi="Tahoma"/>
          <w:sz w:val="20"/>
          <w:szCs w:val="20"/>
        </w:rPr>
      </w:pPr>
      <w:r w:rsidRPr="00D253D3">
        <w:rPr>
          <w:rFonts w:ascii="Tahoma" w:cs="Tahoma" w:eastAsia="Times" w:hAnsi="Tahoma"/>
          <w:sz w:val="20"/>
          <w:szCs w:val="20"/>
        </w:rPr>
        <w:t xml:space="preserve">De plus, la Direction réaffirme </w:t>
      </w:r>
      <w:r w:rsidRPr="00D253D3">
        <w:rPr>
          <w:rFonts w:ascii="Tahoma" w:cs="Tahoma" w:hAnsi="Tahoma"/>
          <w:sz w:val="20"/>
          <w:szCs w:val="20"/>
        </w:rPr>
        <w:t xml:space="preserve">son engagement </w:t>
      </w:r>
      <w:r w:rsidRPr="00D253D3">
        <w:rPr>
          <w:rFonts w:ascii="Tahoma" w:cs="Tahoma" w:hAnsi="Tahoma"/>
          <w:b/>
          <w:sz w:val="20"/>
          <w:szCs w:val="20"/>
        </w:rPr>
        <w:t>à examiner toutes les situations salariales</w:t>
      </w:r>
      <w:r w:rsidRPr="00D253D3">
        <w:rPr>
          <w:rFonts w:ascii="Tahoma" w:cs="Tahoma" w:hAnsi="Tahoma"/>
          <w:sz w:val="20"/>
          <w:szCs w:val="20"/>
        </w:rPr>
        <w:t xml:space="preserve"> entre les Femmes et les Hommes au sein d’un même service à poste équivalent de même que l’ancienneté. Si des situations étaient identifiées, la Direction s’engage à les traiter hors enveloppe. </w:t>
      </w:r>
    </w:p>
    <w:p w14:paraId="7A8A966D" w14:textId="14F64A22" w:rsidP="00063C6C" w:rsidR="00D253D3" w:rsidRDefault="00D253D3" w:rsidRPr="00D253D3">
      <w:pPr>
        <w:pStyle w:val="texte"/>
        <w:spacing w:before="120"/>
        <w:rPr>
          <w:rFonts w:ascii="Tahoma" w:cs="Tahoma" w:eastAsia="Times" w:hAnsi="Tahoma"/>
          <w:sz w:val="20"/>
        </w:rPr>
      </w:pPr>
    </w:p>
    <w:p w14:paraId="2031844D" w14:textId="1E38C78F" w:rsidP="00581E01" w:rsidR="00581E01" w:rsidRDefault="00581E01" w:rsidRPr="00E2675B">
      <w:pPr>
        <w:spacing w:before="120"/>
        <w:rPr>
          <w:rFonts w:ascii="Tahoma" w:cs="Tahoma" w:hAnsi="Tahoma"/>
          <w:b/>
          <w:bCs/>
          <w:sz w:val="20"/>
        </w:rPr>
      </w:pPr>
      <w:r w:rsidRPr="00E2675B">
        <w:rPr>
          <w:rFonts w:ascii="Tahoma" w:cs="Tahoma" w:hAnsi="Tahoma"/>
          <w:b/>
          <w:bCs/>
          <w:sz w:val="20"/>
        </w:rPr>
        <w:t>Art</w:t>
      </w:r>
      <w:r w:rsidR="00423715" w:rsidRPr="00E2675B">
        <w:rPr>
          <w:rFonts w:ascii="Tahoma" w:cs="Tahoma" w:hAnsi="Tahoma"/>
          <w:b/>
          <w:bCs/>
          <w:sz w:val="20"/>
        </w:rPr>
        <w:t>icle</w:t>
      </w:r>
      <w:r w:rsidRPr="00E2675B">
        <w:rPr>
          <w:rFonts w:ascii="Tahoma" w:cs="Tahoma" w:hAnsi="Tahoma"/>
          <w:b/>
          <w:bCs/>
          <w:sz w:val="20"/>
        </w:rPr>
        <w:t xml:space="preserve"> 1</w:t>
      </w:r>
      <w:r w:rsidR="00807101">
        <w:rPr>
          <w:rFonts w:ascii="Tahoma" w:cs="Tahoma" w:hAnsi="Tahoma"/>
          <w:b/>
          <w:bCs/>
          <w:sz w:val="20"/>
        </w:rPr>
        <w:t>4</w:t>
      </w:r>
      <w:r w:rsidRPr="00E2675B">
        <w:rPr>
          <w:rFonts w:ascii="Tahoma" w:cs="Tahoma" w:hAnsi="Tahoma"/>
          <w:b/>
          <w:bCs/>
          <w:sz w:val="20"/>
        </w:rPr>
        <w:t xml:space="preserve"> – RSE</w:t>
      </w:r>
    </w:p>
    <w:p w14:paraId="26AD3040" w14:textId="218BC460" w:rsidP="00EB335D" w:rsidR="004B7053" w:rsidRDefault="006334ED" w:rsidRPr="00E2675B">
      <w:pPr>
        <w:pStyle w:val="Corpsdetexte3"/>
        <w:spacing w:before="120"/>
        <w:rPr>
          <w:rFonts w:ascii="Tahoma" w:cs="Tahoma" w:hAnsi="Tahoma"/>
          <w:bCs w:val="0"/>
        </w:rPr>
      </w:pPr>
      <w:r w:rsidRPr="00E2675B">
        <w:rPr>
          <w:rFonts w:ascii="Tahoma" w:cs="Tahoma" w:hAnsi="Tahoma"/>
          <w:b w:val="0"/>
          <w:bCs w:val="0"/>
          <w:sz w:val="20"/>
          <w:szCs w:val="20"/>
        </w:rPr>
        <w:t xml:space="preserve">Un nouvel accord en faveur des personnes en situation de Handicap au sein de l’UES ENGIE a été signé </w:t>
      </w:r>
      <w:r w:rsidRPr="00E2675B">
        <w:rPr>
          <w:rFonts w:ascii="Tahoma" w:cs="Tahoma" w:hAnsi="Tahoma"/>
          <w:b w:val="0"/>
          <w:sz w:val="20"/>
        </w:rPr>
        <w:t>à l’unanimité avec les Organisations syndicales représentatives au niveau de l’UES</w:t>
      </w:r>
      <w:r w:rsidRPr="00E2675B">
        <w:rPr>
          <w:rFonts w:ascii="Tahoma" w:cs="Tahoma" w:hAnsi="Tahoma"/>
          <w:b w:val="0"/>
          <w:bCs w:val="0"/>
          <w:sz w:val="20"/>
          <w:szCs w:val="20"/>
        </w:rPr>
        <w:t xml:space="preserve"> le </w:t>
      </w:r>
      <w:r w:rsidR="0096394B" w:rsidRPr="00E2675B">
        <w:rPr>
          <w:rFonts w:ascii="Tahoma" w:cs="Tahoma" w:hAnsi="Tahoma"/>
          <w:b w:val="0"/>
          <w:bCs w:val="0"/>
          <w:sz w:val="20"/>
          <w:szCs w:val="20"/>
        </w:rPr>
        <w:t>4 février 2020</w:t>
      </w:r>
      <w:r w:rsidRPr="00E2675B">
        <w:rPr>
          <w:rFonts w:ascii="Tahoma" w:cs="Tahoma" w:hAnsi="Tahoma"/>
          <w:b w:val="0"/>
          <w:bCs w:val="0"/>
          <w:sz w:val="20"/>
          <w:szCs w:val="20"/>
        </w:rPr>
        <w:t xml:space="preserve"> pour une période de 3 ans </w:t>
      </w:r>
      <w:r w:rsidR="00DE17D6" w:rsidRPr="00E2675B">
        <w:rPr>
          <w:rFonts w:ascii="Tahoma" w:cs="Tahoma" w:hAnsi="Tahoma"/>
          <w:b w:val="0"/>
          <w:bCs w:val="0"/>
          <w:sz w:val="20"/>
          <w:szCs w:val="20"/>
        </w:rPr>
        <w:t>avec</w:t>
      </w:r>
      <w:r w:rsidRPr="00E2675B">
        <w:rPr>
          <w:rFonts w:ascii="Tahoma" w:cs="Tahoma" w:hAnsi="Tahoma"/>
          <w:b w:val="0"/>
          <w:bCs w:val="0"/>
          <w:sz w:val="20"/>
          <w:szCs w:val="20"/>
        </w:rPr>
        <w:t xml:space="preserve"> effet rétroactif au 1</w:t>
      </w:r>
      <w:r w:rsidRPr="00E2675B">
        <w:rPr>
          <w:rFonts w:ascii="Tahoma" w:cs="Tahoma" w:hAnsi="Tahoma"/>
          <w:b w:val="0"/>
          <w:bCs w:val="0"/>
          <w:sz w:val="20"/>
          <w:szCs w:val="20"/>
          <w:vertAlign w:val="superscript"/>
        </w:rPr>
        <w:t>er</w:t>
      </w:r>
      <w:r w:rsidRPr="00E2675B">
        <w:rPr>
          <w:rFonts w:ascii="Tahoma" w:cs="Tahoma" w:hAnsi="Tahoma"/>
          <w:b w:val="0"/>
          <w:bCs w:val="0"/>
          <w:sz w:val="20"/>
          <w:szCs w:val="20"/>
        </w:rPr>
        <w:t xml:space="preserve"> janvier </w:t>
      </w:r>
      <w:r w:rsidR="0096394B" w:rsidRPr="00E2675B">
        <w:rPr>
          <w:rFonts w:ascii="Tahoma" w:cs="Tahoma" w:hAnsi="Tahoma"/>
          <w:b w:val="0"/>
          <w:bCs w:val="0"/>
          <w:sz w:val="20"/>
          <w:szCs w:val="20"/>
        </w:rPr>
        <w:t>2020</w:t>
      </w:r>
      <w:r w:rsidRPr="00E2675B">
        <w:rPr>
          <w:rFonts w:ascii="Tahoma" w:cs="Tahoma" w:hAnsi="Tahoma"/>
          <w:b w:val="0"/>
          <w:bCs w:val="0"/>
          <w:sz w:val="20"/>
          <w:szCs w:val="20"/>
        </w:rPr>
        <w:t>. Cet accord a fait l’objet d’un agrément par l’Administration du travail.</w:t>
      </w:r>
      <w:r w:rsidR="00EB335D" w:rsidRPr="00E2675B">
        <w:rPr>
          <w:rFonts w:ascii="Tahoma" w:cs="Tahoma" w:hAnsi="Tahoma"/>
          <w:bCs w:val="0"/>
        </w:rPr>
        <w:t xml:space="preserve"> </w:t>
      </w:r>
    </w:p>
    <w:p w14:paraId="50B8A8EA" w14:textId="77777777" w:rsidP="006334ED" w:rsidR="006334ED" w:rsidRDefault="006334ED" w:rsidRPr="00E2675B">
      <w:pPr>
        <w:pStyle w:val="Corpsdetexte3"/>
        <w:spacing w:before="120"/>
        <w:rPr>
          <w:rFonts w:ascii="Tahoma" w:cs="Tahoma" w:hAnsi="Tahoma"/>
          <w:b w:val="0"/>
          <w:bCs w:val="0"/>
          <w:sz w:val="20"/>
          <w:szCs w:val="20"/>
        </w:rPr>
      </w:pPr>
      <w:r w:rsidRPr="00E2675B">
        <w:rPr>
          <w:rFonts w:ascii="Tahoma" w:cs="Tahoma" w:hAnsi="Tahoma"/>
          <w:b w:val="0"/>
          <w:bCs w:val="0"/>
          <w:sz w:val="20"/>
          <w:szCs w:val="20"/>
        </w:rPr>
        <w:lastRenderedPageBreak/>
        <w:t>Par ailleurs, ENGIE Ineo a activement participé au renouvellement du « Label Diversité » par le Groupe ENGIE en mars 2017 pour une durée de 4 ans, l’audit conduit par l’organisme de certification (l’AFNOR) ayant permis d’attester de la poursuite de la dynamique engagée au sein de l’UES.</w:t>
      </w:r>
    </w:p>
    <w:p w14:paraId="5735079A" w14:textId="43D7B35B" w:rsidP="008A037A" w:rsidR="00E14056" w:rsidRDefault="006334ED" w:rsidRPr="00E2675B">
      <w:pPr>
        <w:spacing w:before="120"/>
        <w:rPr>
          <w:rFonts w:ascii="Tahoma" w:cs="Tahoma" w:hAnsi="Tahoma"/>
          <w:b/>
          <w:bCs/>
          <w:sz w:val="20"/>
        </w:rPr>
      </w:pPr>
      <w:r w:rsidRPr="00E2675B">
        <w:rPr>
          <w:rFonts w:ascii="Tahoma" w:cs="Tahoma" w:hAnsi="Tahoma"/>
          <w:sz w:val="20"/>
        </w:rPr>
        <w:t>En outre, dans le cadre de la dynamique de performance sociale initiée au sein d’ENGIE Ineo, et conformément aux engagements pris dans le cadre de la NAO pour 2018, deux accords traitant respectivement du télétravail et du droit à la déconnexion ont été conclus le 15 mai 2018.</w:t>
      </w:r>
      <w:r w:rsidR="008A037A" w:rsidRPr="00E2675B">
        <w:rPr>
          <w:rFonts w:ascii="Tahoma" w:cs="Tahoma" w:hAnsi="Tahoma"/>
          <w:sz w:val="20"/>
        </w:rPr>
        <w:t xml:space="preserve">  </w:t>
      </w:r>
      <w:r w:rsidR="0073788D" w:rsidRPr="00E2675B">
        <w:rPr>
          <w:rFonts w:ascii="Tahoma" w:cs="Tahoma" w:hAnsi="Tahoma"/>
          <w:sz w:val="20"/>
        </w:rPr>
        <w:t xml:space="preserve">L’accord relatif au télétravail ayant été conclu pour une durée déterminée de </w:t>
      </w:r>
      <w:r w:rsidR="00A70892" w:rsidRPr="00E2675B">
        <w:rPr>
          <w:rFonts w:ascii="Tahoma" w:cs="Tahoma" w:hAnsi="Tahoma"/>
          <w:sz w:val="20"/>
        </w:rPr>
        <w:t xml:space="preserve">trois ans, </w:t>
      </w:r>
      <w:r w:rsidR="005F4CEB" w:rsidRPr="00E2675B">
        <w:rPr>
          <w:rFonts w:ascii="Tahoma" w:cs="Tahoma" w:hAnsi="Tahoma"/>
          <w:sz w:val="20"/>
        </w:rPr>
        <w:t>arrivant</w:t>
      </w:r>
      <w:r w:rsidR="0073788D" w:rsidRPr="00E2675B">
        <w:rPr>
          <w:rFonts w:ascii="Tahoma" w:cs="Tahoma" w:hAnsi="Tahoma"/>
          <w:sz w:val="20"/>
        </w:rPr>
        <w:t xml:space="preserve"> </w:t>
      </w:r>
      <w:r w:rsidR="00A70892" w:rsidRPr="00E2675B">
        <w:rPr>
          <w:rFonts w:ascii="Tahoma" w:cs="Tahoma" w:hAnsi="Tahoma"/>
          <w:sz w:val="20"/>
        </w:rPr>
        <w:t>à échéance en mai 2021</w:t>
      </w:r>
      <w:r w:rsidR="005F4CEB" w:rsidRPr="00E2675B">
        <w:rPr>
          <w:rFonts w:ascii="Tahoma" w:cs="Tahoma" w:hAnsi="Tahoma"/>
          <w:sz w:val="20"/>
        </w:rPr>
        <w:t xml:space="preserve">, </w:t>
      </w:r>
      <w:r w:rsidR="005F4CEB" w:rsidRPr="00E2675B">
        <w:rPr>
          <w:rFonts w:ascii="Tahoma" w:cs="Tahoma" w:hAnsi="Tahoma"/>
          <w:b/>
          <w:bCs/>
          <w:sz w:val="20"/>
        </w:rPr>
        <w:t>un nouvel accord a été conclu le 24 septembre 2021 pour une nouvelle durée de trois ans</w:t>
      </w:r>
      <w:r w:rsidR="00AB34B5" w:rsidRPr="00E2675B">
        <w:rPr>
          <w:rFonts w:ascii="Tahoma" w:cs="Tahoma" w:hAnsi="Tahoma"/>
          <w:b/>
          <w:bCs/>
          <w:sz w:val="20"/>
        </w:rPr>
        <w:t>.</w:t>
      </w:r>
    </w:p>
    <w:p w14:paraId="28717CAF" w14:textId="77777777" w:rsidP="00EB335D" w:rsidR="00EB335D" w:rsidRDefault="00EB335D" w:rsidRPr="00E2675B">
      <w:pPr>
        <w:pStyle w:val="Corpsdetexte3"/>
        <w:spacing w:before="120"/>
        <w:rPr>
          <w:rFonts w:ascii="Tahoma" w:cs="Tahoma" w:hAnsi="Tahoma"/>
          <w:b w:val="0"/>
          <w:bCs w:val="0"/>
          <w:i/>
          <w:sz w:val="20"/>
          <w:szCs w:val="20"/>
        </w:rPr>
      </w:pPr>
    </w:p>
    <w:p w14:paraId="24C901F8" w14:textId="26ABDA7A" w:rsidP="00EB335D" w:rsidR="00EB335D" w:rsidRDefault="00EB335D" w:rsidRPr="00E2675B">
      <w:pPr>
        <w:spacing w:before="120"/>
        <w:rPr>
          <w:rFonts w:ascii="Tahoma" w:cs="Tahoma" w:hAnsi="Tahoma"/>
          <w:b/>
          <w:bCs/>
          <w:sz w:val="20"/>
        </w:rPr>
      </w:pPr>
      <w:r w:rsidRPr="00E2675B">
        <w:rPr>
          <w:rFonts w:ascii="Tahoma" w:cs="Tahoma" w:hAnsi="Tahoma"/>
          <w:b/>
          <w:bCs/>
          <w:sz w:val="20"/>
        </w:rPr>
        <w:t>Article 1</w:t>
      </w:r>
      <w:r w:rsidR="00807101">
        <w:rPr>
          <w:rFonts w:ascii="Tahoma" w:cs="Tahoma" w:hAnsi="Tahoma"/>
          <w:b/>
          <w:bCs/>
          <w:sz w:val="20"/>
        </w:rPr>
        <w:t>5</w:t>
      </w:r>
      <w:r w:rsidRPr="00E2675B">
        <w:rPr>
          <w:rFonts w:ascii="Tahoma" w:cs="Tahoma" w:hAnsi="Tahoma"/>
          <w:b/>
          <w:bCs/>
          <w:sz w:val="20"/>
        </w:rPr>
        <w:t xml:space="preserve"> – </w:t>
      </w:r>
      <w:r w:rsidRPr="00E2675B">
        <w:rPr>
          <w:rFonts w:ascii="Tahoma" w:cs="Tahoma" w:hAnsi="Tahoma"/>
          <w:b/>
          <w:bCs/>
          <w:caps/>
          <w:sz w:val="20"/>
        </w:rPr>
        <w:t>Tutorat</w:t>
      </w:r>
    </w:p>
    <w:p w14:paraId="4E5D4A01" w14:textId="77777777" w:rsidP="00EB335D" w:rsidR="00EB335D" w:rsidRDefault="00EB335D" w:rsidRPr="00E2675B">
      <w:pPr>
        <w:pStyle w:val="Corpsdetexte3"/>
        <w:spacing w:before="120"/>
        <w:rPr>
          <w:rFonts w:ascii="Tahoma" w:cs="Tahoma" w:hAnsi="Tahoma"/>
          <w:b w:val="0"/>
          <w:bCs w:val="0"/>
          <w:sz w:val="20"/>
          <w:szCs w:val="20"/>
        </w:rPr>
      </w:pPr>
      <w:r w:rsidRPr="00E2675B">
        <w:rPr>
          <w:rFonts w:ascii="Tahoma" w:cs="Tahoma" w:hAnsi="Tahoma"/>
          <w:b w:val="0"/>
          <w:bCs w:val="0"/>
          <w:sz w:val="20"/>
          <w:szCs w:val="20"/>
        </w:rPr>
        <w:t xml:space="preserve">Conformément à l’engagement pris lors de la NAO 2019, il </w:t>
      </w:r>
      <w:r w:rsidR="00E611B9" w:rsidRPr="00E2675B">
        <w:rPr>
          <w:rFonts w:ascii="Tahoma" w:cs="Tahoma" w:hAnsi="Tahoma"/>
          <w:b w:val="0"/>
          <w:bCs w:val="0"/>
          <w:sz w:val="20"/>
          <w:szCs w:val="20"/>
        </w:rPr>
        <w:t>avait été</w:t>
      </w:r>
      <w:r w:rsidRPr="00E2675B">
        <w:rPr>
          <w:rFonts w:ascii="Tahoma" w:cs="Tahoma" w:hAnsi="Tahoma"/>
          <w:b w:val="0"/>
          <w:bCs w:val="0"/>
          <w:sz w:val="20"/>
          <w:szCs w:val="20"/>
        </w:rPr>
        <w:t xml:space="preserve"> posé </w:t>
      </w:r>
      <w:r w:rsidR="00E611B9" w:rsidRPr="00E2675B">
        <w:rPr>
          <w:rFonts w:ascii="Tahoma" w:cs="Tahoma" w:hAnsi="Tahoma"/>
          <w:b w:val="0"/>
          <w:bCs w:val="0"/>
          <w:sz w:val="20"/>
          <w:szCs w:val="20"/>
        </w:rPr>
        <w:t xml:space="preserve">en 2020 </w:t>
      </w:r>
      <w:r w:rsidRPr="00E2675B">
        <w:rPr>
          <w:rFonts w:ascii="Tahoma" w:cs="Tahoma" w:hAnsi="Tahoma"/>
          <w:b w:val="0"/>
          <w:bCs w:val="0"/>
          <w:sz w:val="20"/>
          <w:szCs w:val="20"/>
        </w:rPr>
        <w:t xml:space="preserve">le principe que tout tuteur doit bénéficier d’une prime annuelle dont le montant ne peut être inférieur à 150 € bruts. Il devra également </w:t>
      </w:r>
      <w:r w:rsidR="004B7053" w:rsidRPr="00E2675B">
        <w:rPr>
          <w:rFonts w:ascii="Tahoma" w:cs="Tahoma" w:hAnsi="Tahoma"/>
          <w:b w:val="0"/>
          <w:bCs w:val="0"/>
          <w:sz w:val="20"/>
          <w:szCs w:val="20"/>
        </w:rPr>
        <w:t>bénéficier d’</w:t>
      </w:r>
      <w:r w:rsidRPr="00E2675B">
        <w:rPr>
          <w:rFonts w:ascii="Tahoma" w:cs="Tahoma" w:hAnsi="Tahoma"/>
          <w:b w:val="0"/>
          <w:bCs w:val="0"/>
          <w:sz w:val="20"/>
          <w:szCs w:val="20"/>
        </w:rPr>
        <w:t xml:space="preserve">une formation </w:t>
      </w:r>
      <w:r w:rsidR="004B7053" w:rsidRPr="00E2675B">
        <w:rPr>
          <w:rFonts w:ascii="Tahoma" w:cs="Tahoma" w:hAnsi="Tahoma"/>
          <w:b w:val="0"/>
          <w:bCs w:val="0"/>
          <w:sz w:val="20"/>
          <w:szCs w:val="20"/>
        </w:rPr>
        <w:t xml:space="preserve">dont les modalités de mise en place seront définies </w:t>
      </w:r>
      <w:r w:rsidRPr="00E2675B">
        <w:rPr>
          <w:rFonts w:ascii="Tahoma" w:cs="Tahoma" w:hAnsi="Tahoma"/>
          <w:b w:val="0"/>
          <w:bCs w:val="0"/>
          <w:sz w:val="20"/>
          <w:szCs w:val="20"/>
        </w:rPr>
        <w:t xml:space="preserve">au sein de son entité. </w:t>
      </w:r>
    </w:p>
    <w:p w14:paraId="6BECEA11" w14:textId="77777777" w:rsidP="00EB335D" w:rsidR="00EB335D" w:rsidRDefault="00EB335D" w:rsidRPr="00E2675B">
      <w:pPr>
        <w:pStyle w:val="Corpsdetexte3"/>
        <w:spacing w:before="120"/>
        <w:rPr>
          <w:rFonts w:ascii="Tahoma" w:cs="Tahoma" w:hAnsi="Tahoma"/>
          <w:b w:val="0"/>
          <w:bCs w:val="0"/>
          <w:sz w:val="20"/>
          <w:szCs w:val="20"/>
        </w:rPr>
      </w:pPr>
      <w:r w:rsidRPr="00E2675B">
        <w:rPr>
          <w:rFonts w:ascii="Tahoma" w:cs="Tahoma" w:hAnsi="Tahoma"/>
          <w:b w:val="0"/>
          <w:bCs w:val="0"/>
          <w:sz w:val="20"/>
          <w:szCs w:val="20"/>
        </w:rPr>
        <w:t xml:space="preserve">Cette mesure </w:t>
      </w:r>
      <w:r w:rsidR="00E611B9" w:rsidRPr="00E2675B">
        <w:rPr>
          <w:rFonts w:ascii="Tahoma" w:cs="Tahoma" w:hAnsi="Tahoma"/>
          <w:b w:val="0"/>
          <w:bCs w:val="0"/>
          <w:sz w:val="20"/>
          <w:szCs w:val="20"/>
        </w:rPr>
        <w:t>était entrée</w:t>
      </w:r>
      <w:r w:rsidRPr="00E2675B">
        <w:rPr>
          <w:rFonts w:ascii="Tahoma" w:cs="Tahoma" w:hAnsi="Tahoma"/>
          <w:b w:val="0"/>
          <w:bCs w:val="0"/>
          <w:sz w:val="20"/>
          <w:szCs w:val="20"/>
        </w:rPr>
        <w:t xml:space="preserve"> en vigueur au 1</w:t>
      </w:r>
      <w:r w:rsidRPr="00E2675B">
        <w:rPr>
          <w:rFonts w:ascii="Tahoma" w:cs="Tahoma" w:hAnsi="Tahoma"/>
          <w:b w:val="0"/>
          <w:bCs w:val="0"/>
          <w:sz w:val="20"/>
          <w:szCs w:val="20"/>
          <w:vertAlign w:val="superscript"/>
        </w:rPr>
        <w:t>er</w:t>
      </w:r>
      <w:r w:rsidRPr="00E2675B">
        <w:rPr>
          <w:rFonts w:ascii="Tahoma" w:cs="Tahoma" w:hAnsi="Tahoma"/>
          <w:b w:val="0"/>
          <w:bCs w:val="0"/>
          <w:sz w:val="20"/>
          <w:szCs w:val="20"/>
        </w:rPr>
        <w:t xml:space="preserve"> janvier 2020 pour les tutorats en cours.</w:t>
      </w:r>
    </w:p>
    <w:p w14:paraId="7ADC88FB" w14:textId="446ECA47" w:rsidP="00EB335D" w:rsidR="00E611B9" w:rsidRDefault="00E611B9" w:rsidRPr="001570A3">
      <w:pPr>
        <w:pStyle w:val="Corpsdetexte3"/>
        <w:spacing w:before="120"/>
        <w:rPr>
          <w:rFonts w:ascii="Tahoma" w:cs="Tahoma" w:hAnsi="Tahoma"/>
          <w:b w:val="0"/>
          <w:bCs w:val="0"/>
          <w:sz w:val="20"/>
          <w:szCs w:val="20"/>
        </w:rPr>
      </w:pPr>
      <w:r w:rsidRPr="001570A3">
        <w:rPr>
          <w:rFonts w:ascii="Tahoma" w:cs="Tahoma" w:hAnsi="Tahoma"/>
          <w:b w:val="0"/>
          <w:bCs w:val="0"/>
          <w:sz w:val="20"/>
          <w:szCs w:val="20"/>
        </w:rPr>
        <w:t xml:space="preserve">Dans le cadre du présent accord, il est convenu de </w:t>
      </w:r>
      <w:r w:rsidR="00A352C2" w:rsidRPr="001570A3">
        <w:rPr>
          <w:rFonts w:ascii="Tahoma" w:cs="Tahoma" w:hAnsi="Tahoma"/>
          <w:sz w:val="20"/>
          <w:szCs w:val="20"/>
        </w:rPr>
        <w:t>maintenir la revalorisation de</w:t>
      </w:r>
      <w:r w:rsidRPr="001570A3">
        <w:rPr>
          <w:rFonts w:ascii="Tahoma" w:cs="Tahoma" w:hAnsi="Tahoma"/>
          <w:sz w:val="20"/>
          <w:szCs w:val="20"/>
        </w:rPr>
        <w:t xml:space="preserve"> la prime annuelle à hauteur de 300 € bruts pour chaque tuteur</w:t>
      </w:r>
      <w:r w:rsidR="001570A3" w:rsidRPr="001570A3">
        <w:rPr>
          <w:rFonts w:ascii="Tahoma" w:cs="Tahoma" w:hAnsi="Tahoma"/>
          <w:sz w:val="20"/>
          <w:szCs w:val="20"/>
        </w:rPr>
        <w:t>,</w:t>
      </w:r>
      <w:r w:rsidRPr="001570A3">
        <w:rPr>
          <w:rFonts w:ascii="Tahoma" w:cs="Tahoma" w:hAnsi="Tahoma"/>
          <w:sz w:val="20"/>
          <w:szCs w:val="20"/>
        </w:rPr>
        <w:t xml:space="preserve"> quel que soit le nombre d’alternants suivis</w:t>
      </w:r>
      <w:r w:rsidR="001570A3" w:rsidRPr="001570A3">
        <w:rPr>
          <w:rFonts w:ascii="Tahoma" w:cs="Tahoma" w:hAnsi="Tahoma"/>
          <w:sz w:val="20"/>
          <w:szCs w:val="20"/>
        </w:rPr>
        <w:t>,</w:t>
      </w:r>
      <w:r w:rsidR="00BF6135" w:rsidRPr="001570A3">
        <w:rPr>
          <w:rFonts w:ascii="Tahoma" w:cs="Tahoma" w:hAnsi="Tahoma"/>
          <w:sz w:val="20"/>
          <w:szCs w:val="20"/>
        </w:rPr>
        <w:t xml:space="preserve"> mise en place pour 2021</w:t>
      </w:r>
      <w:r w:rsidRPr="001570A3">
        <w:rPr>
          <w:rFonts w:ascii="Tahoma" w:cs="Tahoma" w:hAnsi="Tahoma"/>
          <w:b w:val="0"/>
          <w:bCs w:val="0"/>
          <w:sz w:val="20"/>
          <w:szCs w:val="20"/>
        </w:rPr>
        <w:t xml:space="preserve">. </w:t>
      </w:r>
      <w:r w:rsidR="00BE1188" w:rsidRPr="001570A3">
        <w:rPr>
          <w:rFonts w:ascii="Tahoma" w:cs="Tahoma" w:hAnsi="Tahoma"/>
          <w:b w:val="0"/>
          <w:bCs w:val="0"/>
          <w:sz w:val="20"/>
          <w:szCs w:val="20"/>
        </w:rPr>
        <w:t xml:space="preserve"> Cette mesure </w:t>
      </w:r>
      <w:r w:rsidR="00AF2E29" w:rsidRPr="001570A3">
        <w:rPr>
          <w:rFonts w:ascii="Tahoma" w:cs="Tahoma" w:hAnsi="Tahoma"/>
          <w:b w:val="0"/>
          <w:bCs w:val="0"/>
          <w:sz w:val="20"/>
          <w:szCs w:val="20"/>
        </w:rPr>
        <w:t>rentrera en vigueur au 1</w:t>
      </w:r>
      <w:r w:rsidR="00AF2E29" w:rsidRPr="001570A3">
        <w:rPr>
          <w:rFonts w:ascii="Tahoma" w:cs="Tahoma" w:hAnsi="Tahoma"/>
          <w:b w:val="0"/>
          <w:bCs w:val="0"/>
          <w:sz w:val="20"/>
          <w:szCs w:val="20"/>
          <w:vertAlign w:val="superscript"/>
        </w:rPr>
        <w:t>er</w:t>
      </w:r>
      <w:r w:rsidR="00AF2E29" w:rsidRPr="001570A3">
        <w:rPr>
          <w:rFonts w:ascii="Tahoma" w:cs="Tahoma" w:hAnsi="Tahoma"/>
          <w:b w:val="0"/>
          <w:bCs w:val="0"/>
          <w:sz w:val="20"/>
          <w:szCs w:val="20"/>
        </w:rPr>
        <w:t xml:space="preserve"> janvier 202</w:t>
      </w:r>
      <w:r w:rsidR="00A352C2" w:rsidRPr="001570A3">
        <w:rPr>
          <w:rFonts w:ascii="Tahoma" w:cs="Tahoma" w:hAnsi="Tahoma"/>
          <w:b w:val="0"/>
          <w:bCs w:val="0"/>
          <w:sz w:val="20"/>
          <w:szCs w:val="20"/>
        </w:rPr>
        <w:t>2</w:t>
      </w:r>
      <w:r w:rsidR="00AF2E29" w:rsidRPr="001570A3">
        <w:rPr>
          <w:rFonts w:ascii="Tahoma" w:cs="Tahoma" w:hAnsi="Tahoma"/>
          <w:b w:val="0"/>
          <w:bCs w:val="0"/>
          <w:sz w:val="20"/>
          <w:szCs w:val="20"/>
        </w:rPr>
        <w:t xml:space="preserve"> pour les tutorats en cours.</w:t>
      </w:r>
    </w:p>
    <w:p w14:paraId="681DB5A0" w14:textId="7FFD1465" w:rsidP="001570A3" w:rsidR="001570A3" w:rsidRDefault="001570A3" w:rsidRPr="001570A3">
      <w:pPr>
        <w:spacing w:before="120"/>
        <w:rPr>
          <w:rFonts w:ascii="Tahoma" w:cs="Tahoma" w:hAnsi="Tahoma"/>
          <w:sz w:val="20"/>
          <w:szCs w:val="20"/>
        </w:rPr>
      </w:pPr>
      <w:r w:rsidRPr="001570A3">
        <w:rPr>
          <w:rFonts w:ascii="Tahoma" w:cs="Tahoma" w:hAnsi="Tahoma"/>
          <w:sz w:val="20"/>
          <w:szCs w:val="20"/>
        </w:rPr>
        <w:t xml:space="preserve">La prime sera versée au mois de Juin </w:t>
      </w:r>
      <w:r>
        <w:rPr>
          <w:rFonts w:ascii="Tahoma" w:cs="Tahoma" w:hAnsi="Tahoma"/>
          <w:sz w:val="20"/>
          <w:szCs w:val="20"/>
        </w:rPr>
        <w:t xml:space="preserve">2022 </w:t>
      </w:r>
      <w:r w:rsidRPr="001570A3">
        <w:rPr>
          <w:rFonts w:ascii="Tahoma" w:cs="Tahoma" w:hAnsi="Tahoma"/>
          <w:sz w:val="20"/>
          <w:szCs w:val="20"/>
        </w:rPr>
        <w:t xml:space="preserve">pour correspondre aux calendriers scolaires des alternants. </w:t>
      </w:r>
    </w:p>
    <w:p w14:paraId="6952CD92" w14:textId="3424D1F8" w:rsidP="00597BE3" w:rsidR="001570A3" w:rsidRDefault="001570A3" w:rsidRPr="00E2675B">
      <w:pPr>
        <w:pStyle w:val="Corpsdetexte3"/>
        <w:spacing w:before="120"/>
        <w:ind w:right="-144"/>
        <w:rPr>
          <w:rFonts w:ascii="Tahoma" w:cs="Tahoma" w:hAnsi="Tahoma"/>
          <w:b w:val="0"/>
          <w:bCs w:val="0"/>
          <w:sz w:val="20"/>
          <w:szCs w:val="20"/>
        </w:rPr>
      </w:pPr>
      <w:r>
        <w:rPr>
          <w:rFonts w:ascii="Tahoma" w:cs="Tahoma" w:hAnsi="Tahoma"/>
          <w:b w:val="0"/>
          <w:bCs w:val="0"/>
          <w:sz w:val="20"/>
          <w:szCs w:val="20"/>
        </w:rPr>
        <w:t xml:space="preserve">De plus, le tutorat est un des sujets traités lors de la Commission Alternance créée au sein du CSE-e </w:t>
      </w:r>
      <w:r w:rsidR="00A662E0">
        <w:rPr>
          <w:rFonts w:ascii="Tahoma" w:cs="Tahoma" w:hAnsi="Tahoma"/>
          <w:b w:val="0"/>
          <w:bCs w:val="0"/>
          <w:sz w:val="20"/>
          <w:szCs w:val="20"/>
        </w:rPr>
        <w:t xml:space="preserve">INEO Hauts-de-France </w:t>
      </w:r>
      <w:r>
        <w:rPr>
          <w:rFonts w:ascii="Tahoma" w:cs="Tahoma" w:hAnsi="Tahoma"/>
          <w:b w:val="0"/>
          <w:bCs w:val="0"/>
          <w:sz w:val="20"/>
          <w:szCs w:val="20"/>
        </w:rPr>
        <w:t>en 2021</w:t>
      </w:r>
      <w:r w:rsidR="00597BE3">
        <w:rPr>
          <w:rFonts w:ascii="Tahoma" w:cs="Tahoma" w:hAnsi="Tahoma"/>
          <w:b w:val="0"/>
          <w:bCs w:val="0"/>
          <w:sz w:val="20"/>
          <w:szCs w:val="20"/>
        </w:rPr>
        <w:t>, et qui se poursuit en 2022</w:t>
      </w:r>
      <w:r>
        <w:rPr>
          <w:rFonts w:ascii="Tahoma" w:cs="Tahoma" w:hAnsi="Tahoma"/>
          <w:b w:val="0"/>
          <w:bCs w:val="0"/>
          <w:sz w:val="20"/>
          <w:szCs w:val="20"/>
        </w:rPr>
        <w:t>.</w:t>
      </w:r>
    </w:p>
    <w:p w14:paraId="797FFA4B" w14:textId="77777777" w:rsidP="00EB335D" w:rsidR="00347CC7" w:rsidRDefault="00347CC7" w:rsidRPr="00E2675B">
      <w:pPr>
        <w:pStyle w:val="Corpsdetexte3"/>
        <w:spacing w:before="120"/>
        <w:rPr>
          <w:rFonts w:ascii="Tahoma" w:cs="Tahoma" w:hAnsi="Tahoma"/>
          <w:b w:val="0"/>
          <w:bCs w:val="0"/>
          <w:sz w:val="20"/>
          <w:szCs w:val="20"/>
        </w:rPr>
      </w:pPr>
    </w:p>
    <w:p w14:paraId="3DB20BDA" w14:textId="757CE684" w:rsidP="00347CC7" w:rsidR="00347CC7" w:rsidRDefault="00347CC7" w:rsidRPr="00E2675B">
      <w:pPr>
        <w:pStyle w:val="texte"/>
        <w:spacing w:before="120"/>
        <w:rPr>
          <w:rFonts w:ascii="Tahoma" w:cs="Tahoma" w:hAnsi="Tahoma"/>
          <w:b/>
          <w:sz w:val="20"/>
        </w:rPr>
      </w:pPr>
      <w:r w:rsidRPr="00E2675B">
        <w:rPr>
          <w:rFonts w:ascii="Tahoma" w:cs="Tahoma" w:hAnsi="Tahoma"/>
          <w:b/>
          <w:bCs/>
          <w:sz w:val="20"/>
        </w:rPr>
        <w:t>Article 1</w:t>
      </w:r>
      <w:r w:rsidR="00807101">
        <w:rPr>
          <w:rFonts w:ascii="Tahoma" w:cs="Tahoma" w:hAnsi="Tahoma"/>
          <w:b/>
          <w:bCs/>
          <w:sz w:val="20"/>
        </w:rPr>
        <w:t>6</w:t>
      </w:r>
      <w:r w:rsidRPr="00E2675B">
        <w:rPr>
          <w:rFonts w:ascii="Tahoma" w:cs="Tahoma" w:hAnsi="Tahoma"/>
          <w:b/>
          <w:bCs/>
          <w:sz w:val="20"/>
        </w:rPr>
        <w:t xml:space="preserve"> –</w:t>
      </w:r>
      <w:r w:rsidRPr="00E2675B">
        <w:rPr>
          <w:rFonts w:ascii="Tahoma" w:cs="Tahoma" w:hAnsi="Tahoma"/>
          <w:b/>
          <w:sz w:val="20"/>
        </w:rPr>
        <w:t xml:space="preserve"> </w:t>
      </w:r>
      <w:r w:rsidR="00E611B9" w:rsidRPr="00E2675B">
        <w:rPr>
          <w:rFonts w:ascii="Tahoma" w:cs="Tahoma" w:hAnsi="Tahoma"/>
          <w:b/>
          <w:caps/>
          <w:sz w:val="20"/>
        </w:rPr>
        <w:t>Mobilité des salariés</w:t>
      </w:r>
    </w:p>
    <w:p w14:paraId="54A69A49" w14:textId="0AAA8E26" w:rsidP="00192F56" w:rsidR="00192F56" w:rsidRDefault="005343BF" w:rsidRPr="001C3B36">
      <w:pPr>
        <w:pStyle w:val="Corpsdetexte3"/>
        <w:spacing w:before="120"/>
        <w:rPr>
          <w:rFonts w:ascii="Tahoma" w:cs="Tahoma" w:hAnsi="Tahoma"/>
          <w:sz w:val="20"/>
          <w:szCs w:val="20"/>
        </w:rPr>
      </w:pPr>
      <w:r w:rsidRPr="00E2675B">
        <w:rPr>
          <w:rFonts w:ascii="Tahoma" w:cs="Tahoma" w:hAnsi="Tahoma"/>
          <w:b w:val="0"/>
          <w:bCs w:val="0"/>
          <w:sz w:val="20"/>
          <w:szCs w:val="20"/>
        </w:rPr>
        <w:t xml:space="preserve">La loi Orientations des Mobilités, entrée en vigueur le 1er janvier 2020, </w:t>
      </w:r>
      <w:r w:rsidR="00712EDC" w:rsidRPr="00E2675B">
        <w:rPr>
          <w:rFonts w:ascii="Tahoma" w:cs="Tahoma" w:hAnsi="Tahoma"/>
          <w:b w:val="0"/>
          <w:bCs w:val="0"/>
          <w:sz w:val="20"/>
          <w:szCs w:val="20"/>
        </w:rPr>
        <w:t>invite les entreprise</w:t>
      </w:r>
      <w:r w:rsidR="00AB34B5" w:rsidRPr="00E2675B">
        <w:rPr>
          <w:rFonts w:ascii="Tahoma" w:cs="Tahoma" w:hAnsi="Tahoma"/>
          <w:b w:val="0"/>
          <w:bCs w:val="0"/>
          <w:sz w:val="20"/>
          <w:szCs w:val="20"/>
        </w:rPr>
        <w:t>s</w:t>
      </w:r>
      <w:r w:rsidR="00712EDC" w:rsidRPr="00E2675B">
        <w:rPr>
          <w:rFonts w:ascii="Tahoma" w:cs="Tahoma" w:hAnsi="Tahoma"/>
          <w:b w:val="0"/>
          <w:bCs w:val="0"/>
          <w:sz w:val="20"/>
          <w:szCs w:val="20"/>
        </w:rPr>
        <w:t xml:space="preserve"> à négocier d</w:t>
      </w:r>
      <w:r w:rsidR="00E611B9" w:rsidRPr="00E2675B">
        <w:rPr>
          <w:rFonts w:ascii="Tahoma" w:cs="Tahoma" w:hAnsi="Tahoma"/>
          <w:b w:val="0"/>
          <w:bCs w:val="0"/>
          <w:sz w:val="20"/>
          <w:szCs w:val="20"/>
        </w:rPr>
        <w:t>es mesures visant</w:t>
      </w:r>
      <w:r w:rsidR="00712EDC" w:rsidRPr="00E2675B">
        <w:rPr>
          <w:rFonts w:ascii="Tahoma" w:cs="Tahoma" w:hAnsi="Tahoma"/>
          <w:b w:val="0"/>
          <w:bCs w:val="0"/>
          <w:sz w:val="20"/>
          <w:szCs w:val="20"/>
        </w:rPr>
        <w:t xml:space="preserve"> </w:t>
      </w:r>
      <w:r w:rsidR="00E611B9" w:rsidRPr="00E2675B">
        <w:rPr>
          <w:rFonts w:ascii="Tahoma" w:cs="Tahoma" w:hAnsi="Tahoma"/>
          <w:b w:val="0"/>
          <w:bCs w:val="0"/>
          <w:sz w:val="20"/>
          <w:szCs w:val="20"/>
        </w:rPr>
        <w:t>à améliorer la </w:t>
      </w:r>
      <w:bookmarkStart w:id="1" w:name="JVHIT_2"/>
      <w:bookmarkEnd w:id="1"/>
      <w:r w:rsidR="00E611B9" w:rsidRPr="00E2675B">
        <w:rPr>
          <w:rFonts w:ascii="Tahoma" w:cs="Tahoma" w:hAnsi="Tahoma"/>
          <w:b w:val="0"/>
          <w:bCs w:val="0"/>
          <w:sz w:val="20"/>
          <w:szCs w:val="20"/>
        </w:rPr>
        <w:t>mobilité des salariés entre leur lieu de résidence habituelle et leur lieu de travail, notamment en réduisant le coût de la </w:t>
      </w:r>
      <w:bookmarkStart w:id="2" w:name="JVHIT_3"/>
      <w:bookmarkEnd w:id="2"/>
      <w:r w:rsidR="00E611B9" w:rsidRPr="00E2675B">
        <w:rPr>
          <w:rFonts w:ascii="Tahoma" w:cs="Tahoma" w:hAnsi="Tahoma"/>
          <w:b w:val="0"/>
          <w:bCs w:val="0"/>
          <w:sz w:val="20"/>
          <w:szCs w:val="20"/>
        </w:rPr>
        <w:t>mobilité, en incitant à l'usage des modes de transport vertueux ainsi que par la prise en charge des frais de transports personnels, lorsqu'au moins 50 salariés sont employés sur un même site.</w:t>
      </w:r>
      <w:r w:rsidR="00712EDC" w:rsidRPr="00E2675B">
        <w:rPr>
          <w:rFonts w:ascii="Tahoma" w:cs="Tahoma" w:hAnsi="Tahoma"/>
          <w:b w:val="0"/>
          <w:bCs w:val="0"/>
          <w:sz w:val="20"/>
          <w:szCs w:val="20"/>
        </w:rPr>
        <w:t xml:space="preserve">  </w:t>
      </w:r>
    </w:p>
    <w:p w14:paraId="2A82CAF7" w14:textId="36C9D8E4" w:rsidP="00FC60CA" w:rsidR="00FC60CA" w:rsidRDefault="00FC60CA" w:rsidRPr="00FC60CA">
      <w:pPr>
        <w:spacing w:before="120"/>
        <w:rPr>
          <w:rFonts w:ascii="Tahoma" w:cs="Tahoma" w:hAnsi="Tahoma"/>
          <w:sz w:val="20"/>
          <w:szCs w:val="20"/>
        </w:rPr>
      </w:pPr>
      <w:bookmarkStart w:id="3" w:name="_Hlk31203860"/>
      <w:r w:rsidRPr="00FC60CA">
        <w:rPr>
          <w:rFonts w:ascii="Tahoma" w:cs="Tahoma" w:hAnsi="Tahoma"/>
          <w:sz w:val="20"/>
          <w:szCs w:val="20"/>
        </w:rPr>
        <w:t xml:space="preserve">La Direction confirme sa volonté </w:t>
      </w:r>
      <w:r w:rsidR="002026C7">
        <w:rPr>
          <w:rFonts w:ascii="Tahoma" w:cs="Tahoma" w:hAnsi="Tahoma"/>
          <w:sz w:val="20"/>
          <w:szCs w:val="20"/>
        </w:rPr>
        <w:t>d’améliorer la mobilité d</w:t>
      </w:r>
      <w:r w:rsidR="000A5573">
        <w:rPr>
          <w:rFonts w:ascii="Tahoma" w:cs="Tahoma" w:hAnsi="Tahoma"/>
          <w:sz w:val="20"/>
          <w:szCs w:val="20"/>
        </w:rPr>
        <w:t>e s</w:t>
      </w:r>
      <w:r w:rsidR="002026C7">
        <w:rPr>
          <w:rFonts w:ascii="Tahoma" w:cs="Tahoma" w:hAnsi="Tahoma"/>
          <w:sz w:val="20"/>
          <w:szCs w:val="20"/>
        </w:rPr>
        <w:t xml:space="preserve">es salariés entre leur lieu de résidence habituelle et leur lieu de travail, et </w:t>
      </w:r>
      <w:r w:rsidRPr="00FC60CA">
        <w:rPr>
          <w:rFonts w:ascii="Tahoma" w:cs="Tahoma" w:hAnsi="Tahoma"/>
          <w:sz w:val="20"/>
          <w:szCs w:val="20"/>
        </w:rPr>
        <w:t xml:space="preserve">de trouver des actions </w:t>
      </w:r>
      <w:r w:rsidR="000A5573">
        <w:rPr>
          <w:rFonts w:ascii="Tahoma" w:cs="Tahoma" w:hAnsi="Tahoma"/>
          <w:sz w:val="20"/>
          <w:szCs w:val="20"/>
        </w:rPr>
        <w:t>favorisant</w:t>
      </w:r>
      <w:r w:rsidRPr="00FC60CA">
        <w:rPr>
          <w:rFonts w:ascii="Tahoma" w:cs="Tahoma" w:hAnsi="Tahoma"/>
          <w:sz w:val="20"/>
          <w:szCs w:val="20"/>
        </w:rPr>
        <w:t xml:space="preserve"> la mobilité </w:t>
      </w:r>
      <w:r w:rsidR="000A5573">
        <w:rPr>
          <w:rFonts w:ascii="Tahoma" w:cs="Tahoma" w:hAnsi="Tahoma"/>
          <w:sz w:val="20"/>
          <w:szCs w:val="20"/>
        </w:rPr>
        <w:t>dite « verte »  ou « </w:t>
      </w:r>
      <w:r w:rsidR="002026C7">
        <w:rPr>
          <w:rFonts w:ascii="Tahoma" w:cs="Tahoma" w:hAnsi="Tahoma"/>
          <w:sz w:val="20"/>
          <w:szCs w:val="20"/>
        </w:rPr>
        <w:t>durable</w:t>
      </w:r>
      <w:r w:rsidR="000A5573">
        <w:rPr>
          <w:rFonts w:ascii="Tahoma" w:cs="Tahoma" w:hAnsi="Tahoma"/>
          <w:sz w:val="20"/>
          <w:szCs w:val="20"/>
        </w:rPr>
        <w:t> »</w:t>
      </w:r>
      <w:r w:rsidRPr="00FC60CA">
        <w:rPr>
          <w:rFonts w:ascii="Tahoma" w:cs="Tahoma" w:hAnsi="Tahoma"/>
          <w:sz w:val="20"/>
          <w:szCs w:val="20"/>
        </w:rPr>
        <w:t xml:space="preserve">. </w:t>
      </w:r>
    </w:p>
    <w:p w14:paraId="76B13680" w14:textId="5EF75560" w:rsidP="00FC60CA" w:rsidR="00FC60CA" w:rsidRDefault="002026C7" w:rsidRPr="00FC60CA">
      <w:pPr>
        <w:spacing w:before="120"/>
        <w:rPr>
          <w:rFonts w:ascii="Tahoma" w:cs="Tahoma" w:hAnsi="Tahoma"/>
          <w:sz w:val="20"/>
          <w:szCs w:val="20"/>
        </w:rPr>
      </w:pPr>
      <w:r>
        <w:rPr>
          <w:rFonts w:ascii="Tahoma" w:cs="Tahoma" w:hAnsi="Tahoma"/>
          <w:sz w:val="20"/>
          <w:szCs w:val="20"/>
        </w:rPr>
        <w:t>Aussi, e</w:t>
      </w:r>
      <w:r w:rsidR="00FC60CA" w:rsidRPr="00FC60CA">
        <w:rPr>
          <w:rFonts w:ascii="Tahoma" w:cs="Tahoma" w:hAnsi="Tahoma"/>
          <w:sz w:val="20"/>
          <w:szCs w:val="20"/>
        </w:rPr>
        <w:t xml:space="preserve">lle s’engage à étudier </w:t>
      </w:r>
      <w:r w:rsidR="00192F56" w:rsidRPr="001C3B36">
        <w:rPr>
          <w:rFonts w:ascii="Tahoma" w:cs="Tahoma" w:hAnsi="Tahoma"/>
          <w:sz w:val="20"/>
          <w:szCs w:val="20"/>
        </w:rPr>
        <w:t xml:space="preserve">les mesures adaptées </w:t>
      </w:r>
      <w:r w:rsidR="000A5573">
        <w:rPr>
          <w:rFonts w:ascii="Tahoma" w:cs="Tahoma" w:hAnsi="Tahoma"/>
          <w:sz w:val="20"/>
          <w:szCs w:val="20"/>
        </w:rPr>
        <w:t>aux</w:t>
      </w:r>
      <w:r w:rsidR="00192F56" w:rsidRPr="001C3B36">
        <w:rPr>
          <w:rFonts w:ascii="Tahoma" w:cs="Tahoma" w:hAnsi="Tahoma"/>
          <w:sz w:val="20"/>
          <w:szCs w:val="20"/>
        </w:rPr>
        <w:t xml:space="preserve"> environnement</w:t>
      </w:r>
      <w:r w:rsidR="00192F56">
        <w:rPr>
          <w:rFonts w:ascii="Tahoma" w:cs="Tahoma" w:hAnsi="Tahoma"/>
          <w:sz w:val="20"/>
          <w:szCs w:val="20"/>
        </w:rPr>
        <w:t>s</w:t>
      </w:r>
      <w:r w:rsidR="000A5573">
        <w:rPr>
          <w:rFonts w:ascii="Tahoma" w:cs="Tahoma" w:hAnsi="Tahoma"/>
          <w:sz w:val="20"/>
          <w:szCs w:val="20"/>
        </w:rPr>
        <w:t xml:space="preserve"> de son périmètre</w:t>
      </w:r>
      <w:r w:rsidR="00192F56">
        <w:rPr>
          <w:rFonts w:ascii="Tahoma" w:cs="Tahoma" w:hAnsi="Tahoma"/>
          <w:sz w:val="20"/>
          <w:szCs w:val="20"/>
        </w:rPr>
        <w:t>, et notamment</w:t>
      </w:r>
      <w:r w:rsidR="00192F56" w:rsidRPr="00FC60CA">
        <w:rPr>
          <w:rFonts w:ascii="Tahoma" w:cs="Tahoma" w:hAnsi="Tahoma"/>
          <w:sz w:val="20"/>
          <w:szCs w:val="20"/>
        </w:rPr>
        <w:t xml:space="preserve"> </w:t>
      </w:r>
      <w:r w:rsidR="00FC60CA" w:rsidRPr="00FC60CA">
        <w:rPr>
          <w:rFonts w:ascii="Tahoma" w:cs="Tahoma" w:hAnsi="Tahoma"/>
          <w:sz w:val="20"/>
          <w:szCs w:val="20"/>
        </w:rPr>
        <w:t xml:space="preserve">la possibilité de négocier des tarifs pour ses salariés pour l’achat d’un vélo électrique ou l’installation sur son véhicule personnel d’un système bio éthanol. </w:t>
      </w:r>
    </w:p>
    <w:p w14:paraId="0784C55D" w14:textId="2A4AE526" w:rsidP="00FC60CA" w:rsidR="00FC60CA" w:rsidRDefault="000A5573" w:rsidRPr="00FC60CA">
      <w:pPr>
        <w:spacing w:before="120"/>
        <w:rPr>
          <w:rFonts w:ascii="Tahoma" w:cs="Tahoma" w:hAnsi="Tahoma"/>
          <w:sz w:val="20"/>
          <w:szCs w:val="20"/>
        </w:rPr>
      </w:pPr>
      <w:r>
        <w:rPr>
          <w:rFonts w:ascii="Tahoma" w:cs="Tahoma" w:hAnsi="Tahoma"/>
          <w:sz w:val="20"/>
          <w:szCs w:val="20"/>
        </w:rPr>
        <w:t>De plus, u</w:t>
      </w:r>
      <w:r w:rsidR="00FC60CA" w:rsidRPr="00FC60CA">
        <w:rPr>
          <w:rFonts w:ascii="Tahoma" w:cs="Tahoma" w:hAnsi="Tahoma"/>
          <w:sz w:val="20"/>
          <w:szCs w:val="20"/>
        </w:rPr>
        <w:t xml:space="preserve">ne Indemnité Kilométrique Vélo d’un montant de 12 € nets par mois </w:t>
      </w:r>
      <w:r w:rsidR="00333B2B">
        <w:rPr>
          <w:rFonts w:ascii="Tahoma" w:cs="Tahoma" w:hAnsi="Tahoma"/>
          <w:sz w:val="20"/>
          <w:szCs w:val="20"/>
        </w:rPr>
        <w:t>sera</w:t>
      </w:r>
      <w:r w:rsidR="00FC60CA" w:rsidRPr="00FC60CA">
        <w:rPr>
          <w:rFonts w:ascii="Tahoma" w:cs="Tahoma" w:hAnsi="Tahoma"/>
          <w:sz w:val="20"/>
          <w:szCs w:val="20"/>
        </w:rPr>
        <w:t xml:space="preserve"> </w:t>
      </w:r>
      <w:r>
        <w:rPr>
          <w:rFonts w:ascii="Tahoma" w:cs="Tahoma" w:hAnsi="Tahoma"/>
          <w:sz w:val="20"/>
          <w:szCs w:val="20"/>
        </w:rPr>
        <w:t>mise en place</w:t>
      </w:r>
      <w:r w:rsidR="00FC60CA" w:rsidRPr="00FC60CA">
        <w:rPr>
          <w:rFonts w:ascii="Tahoma" w:cs="Tahoma" w:hAnsi="Tahoma"/>
          <w:sz w:val="20"/>
          <w:szCs w:val="20"/>
        </w:rPr>
        <w:t xml:space="preserve"> pour accompagner l’évolution des comportements des salariés (pratique régulière d’une activité physique, démarche écocitoyenne) et favoriser l’usage du vélo pour les déplacements domicile - lieu de travail.</w:t>
      </w:r>
    </w:p>
    <w:bookmarkEnd w:id="3"/>
    <w:p w14:paraId="4D6F7D63" w14:textId="61B70222" w:rsidP="005343BF" w:rsidR="00D66790" w:rsidRDefault="00D66790">
      <w:pPr>
        <w:pStyle w:val="Corpsdetexte3"/>
        <w:spacing w:before="120"/>
        <w:rPr>
          <w:rFonts w:ascii="Tahoma" w:cs="Tahoma" w:hAnsi="Tahoma"/>
          <w:b w:val="0"/>
          <w:bCs w:val="0"/>
          <w:sz w:val="20"/>
          <w:szCs w:val="20"/>
        </w:rPr>
      </w:pPr>
    </w:p>
    <w:p w14:paraId="41B7D61C" w14:textId="086485B4" w:rsidP="0056630C" w:rsidR="008805A4" w:rsidRDefault="008805A4">
      <w:pPr>
        <w:pStyle w:val="texte"/>
        <w:spacing w:before="120"/>
        <w:rPr>
          <w:rFonts w:ascii="Tahoma" w:cs="Tahoma" w:hAnsi="Tahoma"/>
          <w:b/>
          <w:sz w:val="20"/>
        </w:rPr>
      </w:pPr>
      <w:r w:rsidRPr="005C1CE8">
        <w:rPr>
          <w:rFonts w:ascii="Tahoma" w:cs="Tahoma" w:hAnsi="Tahoma"/>
          <w:b/>
          <w:bCs/>
          <w:sz w:val="20"/>
        </w:rPr>
        <w:t>Art</w:t>
      </w:r>
      <w:r w:rsidR="001C0619" w:rsidRPr="005C1CE8">
        <w:rPr>
          <w:rFonts w:ascii="Tahoma" w:cs="Tahoma" w:hAnsi="Tahoma"/>
          <w:b/>
          <w:bCs/>
          <w:sz w:val="20"/>
        </w:rPr>
        <w:t>icle</w:t>
      </w:r>
      <w:r w:rsidRPr="005C1CE8">
        <w:rPr>
          <w:rFonts w:ascii="Tahoma" w:cs="Tahoma" w:hAnsi="Tahoma"/>
          <w:b/>
          <w:bCs/>
          <w:sz w:val="20"/>
        </w:rPr>
        <w:t xml:space="preserve"> </w:t>
      </w:r>
      <w:r w:rsidR="00E30042">
        <w:rPr>
          <w:rFonts w:ascii="Tahoma" w:cs="Tahoma" w:hAnsi="Tahoma"/>
          <w:b/>
          <w:bCs/>
          <w:sz w:val="20"/>
        </w:rPr>
        <w:t>1</w:t>
      </w:r>
      <w:r w:rsidR="00034178">
        <w:rPr>
          <w:rFonts w:ascii="Tahoma" w:cs="Tahoma" w:hAnsi="Tahoma"/>
          <w:b/>
          <w:bCs/>
          <w:sz w:val="20"/>
        </w:rPr>
        <w:t>7</w:t>
      </w:r>
      <w:r w:rsidR="00E30042" w:rsidRPr="005C1CE8">
        <w:rPr>
          <w:rFonts w:ascii="Tahoma" w:cs="Tahoma" w:hAnsi="Tahoma"/>
          <w:b/>
          <w:bCs/>
          <w:sz w:val="20"/>
        </w:rPr>
        <w:t xml:space="preserve"> </w:t>
      </w:r>
      <w:r w:rsidRPr="005C1CE8">
        <w:rPr>
          <w:rFonts w:ascii="Tahoma" w:cs="Tahoma" w:hAnsi="Tahoma"/>
          <w:b/>
          <w:bCs/>
          <w:sz w:val="20"/>
        </w:rPr>
        <w:t>–</w:t>
      </w:r>
      <w:r w:rsidRPr="005C1CE8">
        <w:rPr>
          <w:rFonts w:ascii="Tahoma" w:cs="Tahoma" w:hAnsi="Tahoma"/>
          <w:b/>
          <w:sz w:val="20"/>
        </w:rPr>
        <w:t xml:space="preserve"> DEPOT</w:t>
      </w:r>
    </w:p>
    <w:p w14:paraId="6F192EB4" w14:textId="0D844D44" w:rsidP="00032983" w:rsidR="007E1A56" w:rsidRDefault="001A315C" w:rsidRPr="00032983">
      <w:pPr>
        <w:pStyle w:val="Corpsdetexte3"/>
        <w:spacing w:before="120"/>
        <w:rPr>
          <w:rFonts w:ascii="Tahoma" w:cs="Tahoma" w:hAnsi="Tahoma"/>
          <w:b w:val="0"/>
          <w:bCs w:val="0"/>
          <w:sz w:val="20"/>
          <w:szCs w:val="20"/>
        </w:rPr>
      </w:pPr>
      <w:r>
        <w:rPr>
          <w:rFonts w:ascii="Tahoma" w:cs="Tahoma" w:hAnsi="Tahoma"/>
          <w:b w:val="0"/>
          <w:bCs w:val="0"/>
          <w:sz w:val="20"/>
          <w:szCs w:val="20"/>
        </w:rPr>
        <w:t>L</w:t>
      </w:r>
      <w:r w:rsidR="00A83E3A" w:rsidRPr="00032983">
        <w:rPr>
          <w:rFonts w:ascii="Tahoma" w:cs="Tahoma" w:hAnsi="Tahoma"/>
          <w:b w:val="0"/>
          <w:bCs w:val="0"/>
          <w:sz w:val="20"/>
          <w:szCs w:val="20"/>
        </w:rPr>
        <w:t xml:space="preserve">e présent accord sera adressé </w:t>
      </w:r>
      <w:r w:rsidR="00032983" w:rsidRPr="00032983">
        <w:rPr>
          <w:rFonts w:ascii="Tahoma" w:cs="Tahoma" w:hAnsi="Tahoma"/>
          <w:b w:val="0"/>
          <w:bCs w:val="0"/>
          <w:sz w:val="20"/>
          <w:szCs w:val="20"/>
        </w:rPr>
        <w:t xml:space="preserve">dans les meilleurs délais </w:t>
      </w:r>
      <w:r w:rsidR="009A55D0" w:rsidRPr="00032983">
        <w:rPr>
          <w:rFonts w:ascii="Tahoma" w:cs="Tahoma" w:hAnsi="Tahoma"/>
          <w:b w:val="0"/>
          <w:bCs w:val="0"/>
          <w:sz w:val="20"/>
          <w:szCs w:val="20"/>
        </w:rPr>
        <w:t>sur la plateforme «</w:t>
      </w:r>
      <w:r w:rsidR="00E167D3" w:rsidRPr="00032983">
        <w:rPr>
          <w:rFonts w:ascii="Tahoma" w:cs="Tahoma" w:hAnsi="Tahoma"/>
          <w:b w:val="0"/>
          <w:bCs w:val="0"/>
          <w:sz w:val="20"/>
          <w:szCs w:val="20"/>
        </w:rPr>
        <w:t> </w:t>
      </w:r>
      <w:r w:rsidR="009A55D0" w:rsidRPr="00032983">
        <w:rPr>
          <w:rFonts w:ascii="Tahoma" w:cs="Tahoma" w:hAnsi="Tahoma"/>
          <w:b w:val="0"/>
          <w:bCs w:val="0"/>
          <w:sz w:val="20"/>
          <w:szCs w:val="20"/>
        </w:rPr>
        <w:t>TéléAccords » accessible depuis le site accompagné des pièces prévues à l'article D. 2231-7 du Code du travail.</w:t>
      </w:r>
    </w:p>
    <w:p w14:paraId="0B2F0DD6" w14:textId="6C89832D" w:rsidP="00032983" w:rsidR="007E1A56" w:rsidRDefault="007E1A56" w:rsidRPr="00032983">
      <w:pPr>
        <w:pStyle w:val="Corpsdetexte3"/>
        <w:spacing w:before="120"/>
        <w:rPr>
          <w:rFonts w:ascii="Tahoma" w:cs="Tahoma" w:hAnsi="Tahoma"/>
          <w:b w:val="0"/>
          <w:bCs w:val="0"/>
          <w:sz w:val="20"/>
          <w:szCs w:val="20"/>
        </w:rPr>
      </w:pPr>
      <w:r w:rsidRPr="00032983">
        <w:rPr>
          <w:rFonts w:ascii="Tahoma" w:cs="Tahoma" w:hAnsi="Tahoma"/>
          <w:b w:val="0"/>
          <w:bCs w:val="0"/>
          <w:sz w:val="20"/>
          <w:szCs w:val="20"/>
        </w:rPr>
        <w:t xml:space="preserve">Conformément à l'article D. 2231-2 du Code du travail, un exemplaire de l'accord sera également remis au greffe du Conseil de Prud'hommes de </w:t>
      </w:r>
      <w:r w:rsidR="00034178">
        <w:rPr>
          <w:rFonts w:ascii="Tahoma" w:cs="Tahoma" w:hAnsi="Tahoma"/>
          <w:b w:val="0"/>
          <w:bCs w:val="0"/>
          <w:sz w:val="20"/>
          <w:szCs w:val="20"/>
        </w:rPr>
        <w:t>Lille</w:t>
      </w:r>
      <w:r w:rsidRPr="00032983">
        <w:rPr>
          <w:rFonts w:ascii="Tahoma" w:cs="Tahoma" w:hAnsi="Tahoma"/>
          <w:b w:val="0"/>
          <w:bCs w:val="0"/>
          <w:sz w:val="20"/>
          <w:szCs w:val="20"/>
        </w:rPr>
        <w:t>.</w:t>
      </w:r>
    </w:p>
    <w:p w14:paraId="6C8A4566" w14:textId="18C80C6F" w:rsidP="00032983" w:rsidR="007E1A56" w:rsidRDefault="007E1A56" w:rsidRPr="00032983">
      <w:pPr>
        <w:pStyle w:val="Corpsdetexte3"/>
        <w:spacing w:before="120"/>
        <w:rPr>
          <w:rFonts w:ascii="Tahoma" w:cs="Tahoma" w:hAnsi="Tahoma"/>
          <w:b w:val="0"/>
          <w:bCs w:val="0"/>
          <w:sz w:val="20"/>
          <w:szCs w:val="20"/>
        </w:rPr>
      </w:pPr>
      <w:r w:rsidRPr="00032983">
        <w:rPr>
          <w:rFonts w:ascii="Tahoma" w:cs="Tahoma" w:hAnsi="Tahoma"/>
          <w:b w:val="0"/>
          <w:bCs w:val="0"/>
          <w:sz w:val="20"/>
          <w:szCs w:val="20"/>
        </w:rPr>
        <w:lastRenderedPageBreak/>
        <w:t xml:space="preserve">Un exemplaire papier sera également remis à chaque </w:t>
      </w:r>
      <w:r w:rsidR="005629BF" w:rsidRPr="00032983">
        <w:rPr>
          <w:rFonts w:ascii="Tahoma" w:cs="Tahoma" w:hAnsi="Tahoma"/>
          <w:b w:val="0"/>
          <w:bCs w:val="0"/>
          <w:sz w:val="20"/>
          <w:szCs w:val="20"/>
        </w:rPr>
        <w:t>organisation syndicale</w:t>
      </w:r>
      <w:r w:rsidRPr="00032983">
        <w:rPr>
          <w:rFonts w:ascii="Tahoma" w:cs="Tahoma" w:hAnsi="Tahoma"/>
          <w:b w:val="0"/>
          <w:bCs w:val="0"/>
          <w:sz w:val="20"/>
          <w:szCs w:val="20"/>
        </w:rPr>
        <w:t xml:space="preserve"> contre récépissé de remise</w:t>
      </w:r>
      <w:r w:rsidR="00034178">
        <w:rPr>
          <w:rFonts w:ascii="Tahoma" w:cs="Tahoma" w:hAnsi="Tahoma"/>
          <w:b w:val="0"/>
          <w:bCs w:val="0"/>
          <w:sz w:val="20"/>
          <w:szCs w:val="20"/>
        </w:rPr>
        <w:t>,</w:t>
      </w:r>
      <w:r w:rsidR="009609B6" w:rsidRPr="00032983">
        <w:rPr>
          <w:rFonts w:ascii="Tahoma" w:cs="Tahoma" w:hAnsi="Tahoma"/>
          <w:b w:val="0"/>
          <w:bCs w:val="0"/>
          <w:sz w:val="20"/>
          <w:szCs w:val="20"/>
        </w:rPr>
        <w:t xml:space="preserve"> ainsi qu’au secrétaire du CSE-</w:t>
      </w:r>
      <w:r w:rsidR="00034178">
        <w:rPr>
          <w:rFonts w:ascii="Tahoma" w:cs="Tahoma" w:hAnsi="Tahoma"/>
          <w:b w:val="0"/>
          <w:bCs w:val="0"/>
          <w:sz w:val="20"/>
          <w:szCs w:val="20"/>
        </w:rPr>
        <w:t>e INEO Hauts-de-France</w:t>
      </w:r>
      <w:r w:rsidRPr="00032983">
        <w:rPr>
          <w:rFonts w:ascii="Tahoma" w:cs="Tahoma" w:hAnsi="Tahoma"/>
          <w:b w:val="0"/>
          <w:bCs w:val="0"/>
          <w:sz w:val="20"/>
          <w:szCs w:val="20"/>
        </w:rPr>
        <w:t>.</w:t>
      </w:r>
    </w:p>
    <w:p w14:paraId="61B27301" w14:textId="77777777" w:rsidP="00032983" w:rsidR="007E01D6" w:rsidRDefault="00A83E3A">
      <w:pPr>
        <w:pStyle w:val="Corpsdetexte3"/>
        <w:spacing w:before="120"/>
        <w:rPr>
          <w:rFonts w:ascii="Tahoma" w:cs="Tahoma" w:hAnsi="Tahoma"/>
          <w:b w:val="0"/>
          <w:bCs w:val="0"/>
          <w:sz w:val="20"/>
          <w:szCs w:val="20"/>
        </w:rPr>
      </w:pPr>
      <w:r w:rsidRPr="00032983">
        <w:rPr>
          <w:rFonts w:ascii="Tahoma" w:cs="Tahoma" w:hAnsi="Tahoma"/>
          <w:b w:val="0"/>
          <w:bCs w:val="0"/>
          <w:sz w:val="20"/>
          <w:szCs w:val="20"/>
        </w:rPr>
        <w:t>Mention de son existence sera faite sur le tableau d'affichage de la Direction.</w:t>
      </w:r>
    </w:p>
    <w:p w14:paraId="226E5269" w14:textId="77777777" w:rsidP="00032983" w:rsidR="007E01D6" w:rsidRDefault="007E01D6">
      <w:pPr>
        <w:pStyle w:val="Corpsdetexte3"/>
        <w:spacing w:before="120"/>
        <w:rPr>
          <w:rFonts w:ascii="Tahoma" w:cs="Tahoma" w:hAnsi="Tahoma"/>
          <w:b w:val="0"/>
          <w:bCs w:val="0"/>
          <w:sz w:val="20"/>
          <w:szCs w:val="20"/>
        </w:rPr>
      </w:pPr>
    </w:p>
    <w:p w14:paraId="0E7BA031" w14:textId="796F9BBD" w:rsidP="00032983" w:rsidR="00581E01" w:rsidRDefault="00581E01" w:rsidRPr="005C1CE8">
      <w:pPr>
        <w:pStyle w:val="Corpsdetexte3"/>
        <w:spacing w:before="120"/>
        <w:rPr>
          <w:rFonts w:ascii="Tahoma" w:cs="Tahoma" w:hAnsi="Tahoma"/>
          <w:sz w:val="20"/>
        </w:rPr>
      </w:pPr>
      <w:r w:rsidRPr="005C1CE8">
        <w:rPr>
          <w:rFonts w:ascii="Tahoma" w:cs="Tahoma" w:hAnsi="Tahoma"/>
          <w:sz w:val="20"/>
        </w:rPr>
        <w:t xml:space="preserve">Fait en </w:t>
      </w:r>
      <w:r w:rsidR="00034178">
        <w:rPr>
          <w:rFonts w:ascii="Tahoma" w:cs="Tahoma" w:hAnsi="Tahoma"/>
          <w:sz w:val="20"/>
        </w:rPr>
        <w:t>8</w:t>
      </w:r>
      <w:r w:rsidRPr="005C1CE8">
        <w:rPr>
          <w:rFonts w:ascii="Tahoma" w:cs="Tahoma" w:hAnsi="Tahoma"/>
          <w:sz w:val="20"/>
        </w:rPr>
        <w:t xml:space="preserve"> exemplaires à </w:t>
      </w:r>
      <w:r w:rsidR="007530D4">
        <w:rPr>
          <w:rFonts w:ascii="Tahoma" w:cs="Tahoma" w:hAnsi="Tahoma"/>
          <w:sz w:val="20"/>
        </w:rPr>
        <w:t>Noyelles-les-Seclin</w:t>
      </w:r>
      <w:r w:rsidRPr="005C1CE8">
        <w:rPr>
          <w:rFonts w:ascii="Tahoma" w:cs="Tahoma" w:hAnsi="Tahoma"/>
          <w:sz w:val="20"/>
        </w:rPr>
        <w:t>, l</w:t>
      </w:r>
      <w:r w:rsidR="00FC7A5F" w:rsidRPr="005C1CE8">
        <w:rPr>
          <w:rFonts w:ascii="Tahoma" w:cs="Tahoma" w:hAnsi="Tahoma"/>
          <w:sz w:val="20"/>
        </w:rPr>
        <w:t xml:space="preserve">e </w:t>
      </w:r>
      <w:r w:rsidR="00E832E0">
        <w:rPr>
          <w:rFonts w:ascii="Tahoma" w:cs="Tahoma" w:hAnsi="Tahoma"/>
          <w:sz w:val="20"/>
        </w:rPr>
        <w:t>28</w:t>
      </w:r>
      <w:r w:rsidR="007F596B">
        <w:rPr>
          <w:rFonts w:ascii="Tahoma" w:cs="Tahoma" w:hAnsi="Tahoma"/>
          <w:sz w:val="20"/>
        </w:rPr>
        <w:t xml:space="preserve"> février</w:t>
      </w:r>
      <w:r w:rsidR="00533529">
        <w:rPr>
          <w:rFonts w:ascii="Tahoma" w:cs="Tahoma" w:hAnsi="Tahoma"/>
          <w:sz w:val="20"/>
        </w:rPr>
        <w:t xml:space="preserve"> 2022</w:t>
      </w:r>
    </w:p>
    <w:p w14:paraId="3A81EA1F" w14:textId="77777777" w:rsidP="00581E01" w:rsidR="00C917DA" w:rsidRDefault="00C917DA">
      <w:pPr>
        <w:pStyle w:val="texte"/>
        <w:spacing w:before="120"/>
        <w:rPr>
          <w:rFonts w:ascii="Tahoma" w:cs="Tahoma" w:hAnsi="Tahoma"/>
          <w:sz w:val="20"/>
        </w:rPr>
      </w:pPr>
    </w:p>
    <w:p w14:paraId="7554244A" w14:textId="373EC3C0" w:rsidP="00581E01" w:rsidR="001A315C" w:rsidRDefault="00581E01">
      <w:pPr>
        <w:pStyle w:val="texte"/>
        <w:spacing w:before="120"/>
        <w:rPr>
          <w:rFonts w:ascii="Tahoma" w:cs="Tahoma" w:hAnsi="Tahoma"/>
          <w:sz w:val="20"/>
        </w:rPr>
      </w:pPr>
      <w:r w:rsidRPr="005C1CE8">
        <w:rPr>
          <w:rFonts w:ascii="Tahoma" w:cs="Tahoma" w:hAnsi="Tahoma"/>
          <w:sz w:val="20"/>
        </w:rPr>
        <w:t>Pour la Directi</w:t>
      </w:r>
      <w:r w:rsidR="00034178">
        <w:rPr>
          <w:rFonts w:ascii="Tahoma" w:cs="Tahoma" w:hAnsi="Tahoma"/>
          <w:sz w:val="20"/>
        </w:rPr>
        <w:t>on,</w:t>
      </w:r>
    </w:p>
    <w:p w14:paraId="45E5AC81" w14:textId="55A2C347" w:rsidP="00034178" w:rsidR="00581E01" w:rsidRDefault="00B24CB2">
      <w:pPr>
        <w:pStyle w:val="texte"/>
        <w:spacing w:before="120"/>
        <w:ind w:firstLine="6" w:left="5670"/>
        <w:rPr>
          <w:rFonts w:ascii="Tahoma" w:cs="Tahoma" w:hAnsi="Tahoma"/>
          <w:sz w:val="20"/>
        </w:rPr>
      </w:pPr>
      <w:r>
        <w:rPr>
          <w:rFonts w:ascii="Tahoma" w:cs="Tahoma" w:hAnsi="Tahoma"/>
          <w:sz w:val="20"/>
        </w:rPr>
        <w:t>Directeur Délégué</w:t>
      </w:r>
    </w:p>
    <w:p w14:paraId="2FD85342" w14:textId="18FED8AE" w:rsidP="00581E01" w:rsidR="00B24CB2" w:rsidRDefault="00B24CB2">
      <w:pPr>
        <w:pStyle w:val="texte"/>
        <w:spacing w:before="120"/>
        <w:rPr>
          <w:rFonts w:ascii="Tahoma" w:cs="Tahoma" w:hAnsi="Tahoma"/>
          <w:sz w:val="20"/>
        </w:rPr>
      </w:pPr>
    </w:p>
    <w:p w14:paraId="03CB4C8D" w14:textId="1C67D131" w:rsidP="00581E01" w:rsidR="00B24CB2" w:rsidRDefault="00B24CB2">
      <w:pPr>
        <w:pStyle w:val="texte"/>
        <w:spacing w:before="120"/>
        <w:rPr>
          <w:rFonts w:ascii="Tahoma" w:cs="Tahoma" w:hAnsi="Tahoma"/>
          <w:sz w:val="20"/>
        </w:rPr>
      </w:pPr>
    </w:p>
    <w:p w14:paraId="55D0F37B" w14:textId="4C1995BE" w:rsidP="00581E01" w:rsidR="00034178" w:rsidRDefault="00034178">
      <w:pPr>
        <w:pStyle w:val="texte"/>
        <w:spacing w:before="120"/>
        <w:rPr>
          <w:rFonts w:ascii="Tahoma" w:cs="Tahoma" w:hAnsi="Tahoma"/>
          <w:sz w:val="20"/>
        </w:rPr>
      </w:pPr>
    </w:p>
    <w:p w14:paraId="0C926E9F" w14:textId="77777777" w:rsidP="00581E01" w:rsidR="00034178" w:rsidRDefault="00034178" w:rsidRPr="005C1CE8">
      <w:pPr>
        <w:pStyle w:val="texte"/>
        <w:spacing w:before="120"/>
        <w:rPr>
          <w:rFonts w:ascii="Tahoma" w:cs="Tahoma" w:hAnsi="Tahoma"/>
          <w:sz w:val="20"/>
        </w:rPr>
      </w:pPr>
    </w:p>
    <w:p w14:paraId="5B3D7D5D" w14:textId="77777777" w:rsidP="00581E01" w:rsidR="00034178" w:rsidRDefault="00581E01">
      <w:pPr>
        <w:pStyle w:val="texte"/>
        <w:spacing w:before="120"/>
        <w:rPr>
          <w:rFonts w:ascii="Tahoma" w:cs="Tahoma" w:hAnsi="Tahoma"/>
          <w:sz w:val="20"/>
        </w:rPr>
      </w:pPr>
      <w:r w:rsidRPr="005C1CE8">
        <w:rPr>
          <w:rFonts w:ascii="Tahoma" w:cs="Tahoma" w:hAnsi="Tahoma"/>
          <w:sz w:val="20"/>
        </w:rPr>
        <w:t>Pour l'organisation syndicale C.F.D.T.</w:t>
      </w:r>
      <w:r w:rsidR="00034178">
        <w:rPr>
          <w:rFonts w:ascii="Tahoma" w:cs="Tahoma" w:hAnsi="Tahoma"/>
          <w:sz w:val="20"/>
        </w:rPr>
        <w:t>,</w:t>
      </w:r>
    </w:p>
    <w:p w14:paraId="3FABDDA4" w14:textId="733BE141" w:rsidP="00581E01" w:rsidR="00FC7A5F" w:rsidRDefault="00581E01" w:rsidRPr="005C1CE8">
      <w:pPr>
        <w:pStyle w:val="texte"/>
        <w:spacing w:before="120"/>
        <w:rPr>
          <w:rFonts w:ascii="Tahoma" w:cs="Tahoma" w:hAnsi="Tahoma"/>
          <w:sz w:val="20"/>
        </w:rPr>
      </w:pPr>
      <w:r w:rsidRPr="005C1CE8">
        <w:rPr>
          <w:rFonts w:ascii="Tahoma" w:cs="Tahoma" w:hAnsi="Tahoma"/>
          <w:sz w:val="20"/>
        </w:rPr>
        <w:t xml:space="preserve"> </w:t>
      </w:r>
    </w:p>
    <w:tbl>
      <w:tblPr>
        <w:tblW w:type="auto" w:w="0"/>
        <w:jc w:val="center"/>
        <w:tblLook w:firstColumn="1" w:firstRow="1" w:lastColumn="0" w:lastRow="0" w:noHBand="0" w:noVBand="1" w:val="04A0"/>
      </w:tblPr>
      <w:tblGrid>
        <w:gridCol w:w="4395"/>
        <w:gridCol w:w="4392"/>
      </w:tblGrid>
      <w:tr w14:paraId="6034B5BE" w14:textId="77777777" w:rsidR="001C0619" w:rsidRPr="000962FD" w:rsidTr="000962FD">
        <w:trPr>
          <w:jc w:val="center"/>
        </w:trPr>
        <w:tc>
          <w:tcPr>
            <w:tcW w:type="dxa" w:w="4463"/>
            <w:shd w:color="auto" w:fill="auto" w:val="clear"/>
            <w:vAlign w:val="center"/>
          </w:tcPr>
          <w:p w14:paraId="460EBA4C" w14:textId="50DE3A43" w:rsidP="00034178" w:rsidR="001C0619" w:rsidRDefault="001C0619" w:rsidRPr="005C1CE8">
            <w:pPr>
              <w:pStyle w:val="texte"/>
              <w:widowControl w:val="0"/>
              <w:spacing w:before="120"/>
              <w:ind w:left="1452"/>
              <w:rPr>
                <w:rFonts w:ascii="Tahoma" w:cs="Tahoma" w:hAnsi="Tahoma"/>
                <w:sz w:val="20"/>
              </w:rPr>
            </w:pPr>
            <w:r w:rsidRPr="005C1CE8">
              <w:rPr>
                <w:rFonts w:ascii="Tahoma" w:cs="Tahoma" w:hAnsi="Tahoma"/>
                <w:sz w:val="20"/>
              </w:rPr>
              <w:t xml:space="preserve">Délégué syndical </w:t>
            </w:r>
          </w:p>
        </w:tc>
        <w:tc>
          <w:tcPr>
            <w:tcW w:type="dxa" w:w="4464"/>
            <w:shd w:color="auto" w:fill="auto" w:val="clear"/>
            <w:vAlign w:val="center"/>
          </w:tcPr>
          <w:p w14:paraId="33019EC5" w14:textId="786DFAAC" w:rsidP="00034178" w:rsidR="001C0619" w:rsidRDefault="001C0619" w:rsidRPr="005C1CE8">
            <w:pPr>
              <w:pStyle w:val="texte"/>
              <w:widowControl w:val="0"/>
              <w:spacing w:before="120"/>
              <w:ind w:left="1324"/>
              <w:jc w:val="left"/>
              <w:rPr>
                <w:rFonts w:ascii="Tahoma" w:cs="Tahoma" w:hAnsi="Tahoma"/>
                <w:sz w:val="20"/>
              </w:rPr>
            </w:pPr>
            <w:r w:rsidRPr="005C1CE8">
              <w:rPr>
                <w:rFonts w:ascii="Tahoma" w:cs="Tahoma" w:hAnsi="Tahoma"/>
                <w:sz w:val="20"/>
              </w:rPr>
              <w:t xml:space="preserve">Délégué syndical </w:t>
            </w:r>
          </w:p>
        </w:tc>
      </w:tr>
    </w:tbl>
    <w:p w14:paraId="798FAE09" w14:textId="0DE79C6A" w:rsidP="00600679" w:rsidR="00C917DA" w:rsidRDefault="00C917DA">
      <w:pPr>
        <w:pStyle w:val="texte"/>
        <w:spacing w:before="120"/>
        <w:rPr>
          <w:rFonts w:ascii="Tahoma" w:cs="Tahoma" w:hAnsi="Tahoma"/>
          <w:sz w:val="20"/>
        </w:rPr>
      </w:pPr>
    </w:p>
    <w:p w14:paraId="09683600" w14:textId="7DEC46E8" w:rsidP="00600679" w:rsidR="007530D4" w:rsidRDefault="007530D4">
      <w:pPr>
        <w:pStyle w:val="texte"/>
        <w:spacing w:before="120"/>
        <w:rPr>
          <w:rFonts w:ascii="Tahoma" w:cs="Tahoma" w:hAnsi="Tahoma"/>
          <w:sz w:val="20"/>
        </w:rPr>
      </w:pPr>
    </w:p>
    <w:p w14:paraId="6C69393A" w14:textId="68AA8002" w:rsidP="00600679" w:rsidR="007530D4" w:rsidRDefault="007530D4">
      <w:pPr>
        <w:pStyle w:val="texte"/>
        <w:spacing w:before="120"/>
        <w:rPr>
          <w:rFonts w:ascii="Tahoma" w:cs="Tahoma" w:hAnsi="Tahoma"/>
          <w:sz w:val="20"/>
        </w:rPr>
      </w:pPr>
    </w:p>
    <w:p w14:paraId="6FFDBA0B" w14:textId="73D738B8" w:rsidP="00600679" w:rsidR="00034178" w:rsidRDefault="00034178">
      <w:pPr>
        <w:pStyle w:val="texte"/>
        <w:spacing w:before="120"/>
        <w:rPr>
          <w:rFonts w:ascii="Tahoma" w:cs="Tahoma" w:hAnsi="Tahoma"/>
          <w:sz w:val="20"/>
        </w:rPr>
      </w:pPr>
    </w:p>
    <w:p w14:paraId="22A7ED72" w14:textId="77777777" w:rsidP="00600679" w:rsidR="00034178" w:rsidRDefault="00034178">
      <w:pPr>
        <w:pStyle w:val="texte"/>
        <w:spacing w:before="120"/>
        <w:rPr>
          <w:rFonts w:ascii="Tahoma" w:cs="Tahoma" w:hAnsi="Tahoma"/>
          <w:sz w:val="20"/>
        </w:rPr>
      </w:pPr>
    </w:p>
    <w:p w14:paraId="55E494CB" w14:textId="24FF84A0" w:rsidP="00600679" w:rsidR="00600679" w:rsidRDefault="00600679">
      <w:pPr>
        <w:pStyle w:val="texte"/>
        <w:spacing w:before="120"/>
        <w:rPr>
          <w:rFonts w:ascii="Tahoma" w:cs="Tahoma" w:hAnsi="Tahoma"/>
          <w:sz w:val="20"/>
        </w:rPr>
      </w:pPr>
      <w:r w:rsidRPr="002B5C92">
        <w:rPr>
          <w:rFonts w:ascii="Tahoma" w:cs="Tahoma" w:hAnsi="Tahoma"/>
          <w:sz w:val="20"/>
        </w:rPr>
        <w:t xml:space="preserve">Pour l'organisation syndicale C.F.T.C., </w:t>
      </w:r>
      <w:r w:rsidRPr="002B5C92">
        <w:rPr>
          <w:rFonts w:ascii="Tahoma" w:cs="Tahoma" w:hAnsi="Tahoma"/>
          <w:sz w:val="20"/>
        </w:rPr>
        <w:tab/>
      </w:r>
    </w:p>
    <w:tbl>
      <w:tblPr>
        <w:tblW w:type="auto" w:w="0"/>
        <w:tblLook w:firstColumn="1" w:firstRow="1" w:lastColumn="0" w:lastRow="0" w:noHBand="0" w:noVBand="1" w:val="04A0"/>
      </w:tblPr>
      <w:tblGrid>
        <w:gridCol w:w="4371"/>
        <w:gridCol w:w="4416"/>
      </w:tblGrid>
      <w:tr w14:paraId="26B1EE13" w14:textId="77777777" w:rsidR="00600679" w:rsidRPr="000962FD" w:rsidTr="006A52AD">
        <w:tc>
          <w:tcPr>
            <w:tcW w:type="dxa" w:w="4463"/>
            <w:shd w:color="auto" w:fill="auto" w:val="clear"/>
            <w:vAlign w:val="center"/>
          </w:tcPr>
          <w:p w14:paraId="38E6BDED" w14:textId="77777777" w:rsidP="00B24CB2" w:rsidR="001A315C" w:rsidRDefault="001A315C">
            <w:pPr>
              <w:pStyle w:val="texte"/>
              <w:widowControl w:val="0"/>
              <w:spacing w:before="120"/>
              <w:rPr>
                <w:rFonts w:ascii="Tahoma" w:cs="Tahoma" w:hAnsi="Tahoma"/>
                <w:sz w:val="20"/>
              </w:rPr>
            </w:pPr>
          </w:p>
          <w:p w14:paraId="043A2CA4" w14:textId="13E952FC" w:rsidP="006A52AD" w:rsidR="00600679" w:rsidRDefault="00600679" w:rsidRPr="000962FD">
            <w:pPr>
              <w:pStyle w:val="texte"/>
              <w:widowControl w:val="0"/>
              <w:spacing w:before="120"/>
              <w:jc w:val="center"/>
              <w:rPr>
                <w:rFonts w:ascii="Tahoma" w:cs="Tahoma" w:hAnsi="Tahoma"/>
                <w:sz w:val="20"/>
              </w:rPr>
            </w:pPr>
          </w:p>
        </w:tc>
        <w:tc>
          <w:tcPr>
            <w:tcW w:type="dxa" w:w="4464"/>
            <w:shd w:color="auto" w:fill="auto" w:val="clear"/>
            <w:vAlign w:val="center"/>
          </w:tcPr>
          <w:p w14:paraId="199C92A1" w14:textId="736390B3" w:rsidP="00B01DB6" w:rsidR="00B01DB6" w:rsidRDefault="00B01DB6" w:rsidRPr="000962FD">
            <w:pPr>
              <w:pStyle w:val="texte"/>
              <w:widowControl w:val="0"/>
              <w:spacing w:before="120"/>
              <w:ind w:left="1324"/>
              <w:rPr>
                <w:rFonts w:ascii="Tahoma" w:cs="Tahoma" w:hAnsi="Tahoma"/>
                <w:sz w:val="20"/>
              </w:rPr>
            </w:pPr>
            <w:r>
              <w:rPr>
                <w:rFonts w:ascii="Tahoma" w:cs="Tahoma" w:hAnsi="Tahoma"/>
                <w:sz w:val="20"/>
              </w:rPr>
              <w:t>D</w:t>
            </w:r>
            <w:r w:rsidR="00600679" w:rsidRPr="000962FD">
              <w:rPr>
                <w:rFonts w:ascii="Tahoma" w:cs="Tahoma" w:hAnsi="Tahoma"/>
                <w:sz w:val="20"/>
              </w:rPr>
              <w:t>élégué syndical</w:t>
            </w:r>
          </w:p>
        </w:tc>
      </w:tr>
    </w:tbl>
    <w:p w14:paraId="69DD3CE3" w14:textId="77777777" w:rsidP="00581E01" w:rsidR="00B01DB6" w:rsidRDefault="00B01DB6">
      <w:pPr>
        <w:pStyle w:val="texte"/>
        <w:spacing w:before="120"/>
        <w:rPr>
          <w:rFonts w:ascii="Tahoma" w:cs="Tahoma" w:hAnsi="Tahoma"/>
          <w:sz w:val="20"/>
        </w:rPr>
      </w:pPr>
    </w:p>
    <w:p w14:paraId="2DECE0A1" w14:textId="77777777" w:rsidP="00581E01" w:rsidR="00B01DB6" w:rsidRDefault="00B01DB6">
      <w:pPr>
        <w:pStyle w:val="texte"/>
        <w:spacing w:before="120"/>
        <w:rPr>
          <w:rFonts w:ascii="Tahoma" w:cs="Tahoma" w:hAnsi="Tahoma"/>
          <w:sz w:val="20"/>
        </w:rPr>
      </w:pPr>
    </w:p>
    <w:p w14:paraId="051FB8C5" w14:textId="2D0009B3" w:rsidP="00581E01" w:rsidR="00B01DB6" w:rsidRDefault="00B01DB6">
      <w:pPr>
        <w:pStyle w:val="texte"/>
        <w:spacing w:before="120"/>
        <w:rPr>
          <w:rFonts w:ascii="Tahoma" w:cs="Tahoma" w:hAnsi="Tahoma"/>
          <w:sz w:val="20"/>
        </w:rPr>
      </w:pPr>
    </w:p>
    <w:p w14:paraId="7580F157" w14:textId="77777777" w:rsidP="00581E01" w:rsidR="00B01DB6" w:rsidRDefault="00B01DB6">
      <w:pPr>
        <w:pStyle w:val="texte"/>
        <w:spacing w:before="120"/>
        <w:rPr>
          <w:rFonts w:ascii="Tahoma" w:cs="Tahoma" w:hAnsi="Tahoma"/>
          <w:sz w:val="20"/>
        </w:rPr>
      </w:pPr>
    </w:p>
    <w:p w14:paraId="3FD327B5" w14:textId="73725B26" w:rsidP="00581E01" w:rsidR="00FC7A5F" w:rsidRDefault="00581E01">
      <w:pPr>
        <w:pStyle w:val="texte"/>
        <w:spacing w:before="120"/>
        <w:rPr>
          <w:rFonts w:ascii="Tahoma" w:cs="Tahoma" w:hAnsi="Tahoma"/>
          <w:sz w:val="20"/>
        </w:rPr>
      </w:pPr>
      <w:r w:rsidRPr="002B5C92">
        <w:rPr>
          <w:rFonts w:ascii="Tahoma" w:cs="Tahoma" w:hAnsi="Tahoma"/>
          <w:sz w:val="20"/>
        </w:rPr>
        <w:t>Pour l'o</w:t>
      </w:r>
      <w:r>
        <w:rPr>
          <w:rFonts w:ascii="Tahoma" w:cs="Tahoma" w:hAnsi="Tahoma"/>
          <w:sz w:val="20"/>
        </w:rPr>
        <w:t xml:space="preserve">rganisation syndicale C.G.T., </w:t>
      </w:r>
      <w:r>
        <w:rPr>
          <w:rFonts w:ascii="Tahoma" w:cs="Tahoma" w:hAnsi="Tahoma"/>
          <w:sz w:val="20"/>
        </w:rPr>
        <w:tab/>
      </w:r>
      <w:r w:rsidRPr="002B5C92">
        <w:rPr>
          <w:rFonts w:ascii="Tahoma" w:cs="Tahoma" w:hAnsi="Tahoma"/>
          <w:sz w:val="20"/>
        </w:rPr>
        <w:t xml:space="preserve">   </w:t>
      </w:r>
      <w:r>
        <w:rPr>
          <w:rFonts w:ascii="Tahoma" w:cs="Tahoma" w:hAnsi="Tahoma"/>
          <w:sz w:val="20"/>
        </w:rPr>
        <w:t xml:space="preserve"> </w:t>
      </w:r>
      <w:r w:rsidRPr="002B5C92">
        <w:rPr>
          <w:rFonts w:ascii="Tahoma" w:cs="Tahoma" w:hAnsi="Tahoma"/>
          <w:sz w:val="20"/>
        </w:rPr>
        <w:t xml:space="preserve">  </w:t>
      </w:r>
    </w:p>
    <w:tbl>
      <w:tblPr>
        <w:tblW w:type="auto" w:w="0"/>
        <w:tblLook w:firstColumn="1" w:firstRow="1" w:lastColumn="0" w:lastRow="0" w:noHBand="0" w:noVBand="1" w:val="04A0"/>
      </w:tblPr>
      <w:tblGrid>
        <w:gridCol w:w="4371"/>
        <w:gridCol w:w="4416"/>
      </w:tblGrid>
      <w:tr w14:paraId="1BDCF4DE" w14:textId="77777777" w:rsidR="00A94CBF" w:rsidRPr="000962FD" w:rsidTr="000962FD">
        <w:tc>
          <w:tcPr>
            <w:tcW w:type="dxa" w:w="4463"/>
            <w:shd w:color="auto" w:fill="auto" w:val="clear"/>
            <w:vAlign w:val="center"/>
          </w:tcPr>
          <w:p w14:paraId="2CFFDD76" w14:textId="77777777" w:rsidP="000962FD" w:rsidR="001A315C" w:rsidRDefault="001A315C">
            <w:pPr>
              <w:pStyle w:val="texte"/>
              <w:widowControl w:val="0"/>
              <w:spacing w:before="120"/>
              <w:jc w:val="center"/>
              <w:rPr>
                <w:rFonts w:ascii="Tahoma" w:cs="Tahoma" w:hAnsi="Tahoma"/>
                <w:sz w:val="20"/>
              </w:rPr>
            </w:pPr>
          </w:p>
          <w:p w14:paraId="172FEFF6" w14:textId="77777777" w:rsidP="000962FD" w:rsidR="001A315C" w:rsidRDefault="001A315C">
            <w:pPr>
              <w:pStyle w:val="texte"/>
              <w:widowControl w:val="0"/>
              <w:spacing w:before="120"/>
              <w:jc w:val="center"/>
              <w:rPr>
                <w:rFonts w:ascii="Tahoma" w:cs="Tahoma" w:hAnsi="Tahoma"/>
                <w:sz w:val="20"/>
              </w:rPr>
            </w:pPr>
          </w:p>
          <w:p w14:paraId="7EF4C6C1" w14:textId="79214F2E" w:rsidP="000962FD" w:rsidR="00A94CBF" w:rsidRDefault="00A94CBF" w:rsidRPr="000962FD">
            <w:pPr>
              <w:pStyle w:val="texte"/>
              <w:widowControl w:val="0"/>
              <w:spacing w:before="120"/>
              <w:jc w:val="center"/>
              <w:rPr>
                <w:rFonts w:ascii="Tahoma" w:cs="Tahoma" w:hAnsi="Tahoma"/>
                <w:sz w:val="20"/>
              </w:rPr>
            </w:pPr>
          </w:p>
        </w:tc>
        <w:tc>
          <w:tcPr>
            <w:tcW w:type="dxa" w:w="4464"/>
            <w:shd w:color="auto" w:fill="auto" w:val="clear"/>
            <w:vAlign w:val="center"/>
          </w:tcPr>
          <w:p w14:paraId="4DB10A17" w14:textId="7DBD9E94" w:rsidP="00B01DB6" w:rsidR="00A94CBF" w:rsidRDefault="00A94CBF" w:rsidRPr="000962FD">
            <w:pPr>
              <w:pStyle w:val="texte"/>
              <w:widowControl w:val="0"/>
              <w:spacing w:before="120"/>
              <w:ind w:left="1336"/>
              <w:rPr>
                <w:rFonts w:ascii="Tahoma" w:cs="Tahoma" w:hAnsi="Tahoma"/>
                <w:sz w:val="20"/>
              </w:rPr>
            </w:pPr>
            <w:r w:rsidRPr="000962FD">
              <w:rPr>
                <w:rFonts w:ascii="Tahoma" w:cs="Tahoma" w:hAnsi="Tahoma"/>
                <w:sz w:val="20"/>
              </w:rPr>
              <w:t xml:space="preserve">Délégué syndical </w:t>
            </w:r>
          </w:p>
        </w:tc>
      </w:tr>
    </w:tbl>
    <w:p w14:paraId="3E11604E" w14:textId="6EB78439" w:rsidP="001A315C" w:rsidR="003400B7" w:rsidRDefault="003400B7">
      <w:pPr>
        <w:pStyle w:val="texte"/>
        <w:spacing w:before="120"/>
        <w:rPr>
          <w:rFonts w:ascii="Tahoma" w:cs="Tahoma" w:hAnsi="Tahoma"/>
          <w:sz w:val="20"/>
        </w:rPr>
      </w:pPr>
    </w:p>
    <w:p w14:paraId="11587506" w14:textId="098E1377" w:rsidP="001A315C" w:rsidR="00B01DB6" w:rsidRDefault="00B01DB6">
      <w:pPr>
        <w:pStyle w:val="texte"/>
        <w:spacing w:before="120"/>
        <w:rPr>
          <w:rFonts w:ascii="Tahoma" w:cs="Tahoma" w:hAnsi="Tahoma"/>
          <w:sz w:val="20"/>
        </w:rPr>
      </w:pPr>
    </w:p>
    <w:p w14:paraId="12F15C92" w14:textId="77777777" w:rsidP="001A315C" w:rsidR="00B01DB6" w:rsidRDefault="00B01DB6" w:rsidRPr="00063C6C">
      <w:pPr>
        <w:pStyle w:val="texte"/>
        <w:spacing w:before="120"/>
        <w:rPr>
          <w:rFonts w:ascii="Tahoma" w:cs="Tahoma" w:hAnsi="Tahoma"/>
          <w:sz w:val="20"/>
        </w:rPr>
      </w:pPr>
    </w:p>
    <w:sectPr w:rsidR="00B01DB6" w:rsidRPr="00063C6C" w:rsidSect="00C85B93">
      <w:headerReference r:id="rId12" w:type="even"/>
      <w:headerReference r:id="rId13" w:type="default"/>
      <w:footerReference r:id="rId14" w:type="even"/>
      <w:footerReference r:id="rId15" w:type="default"/>
      <w:headerReference r:id="rId16" w:type="first"/>
      <w:footerReference r:id="rId17" w:type="first"/>
      <w:pgSz w:h="16838" w:w="11906"/>
      <w:pgMar w:bottom="1418" w:footer="709" w:gutter="0" w:header="709" w:left="1701" w:right="1418" w:top="-143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27893" w14:textId="77777777" w:rsidR="00FB63BB" w:rsidRDefault="00FB63BB">
      <w:r>
        <w:separator/>
      </w:r>
    </w:p>
  </w:endnote>
  <w:endnote w:type="continuationSeparator" w:id="0">
    <w:p w14:paraId="162CEF43" w14:textId="77777777" w:rsidR="00FB63BB" w:rsidRDefault="00FB63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Times Regular">
    <w:altName w:val="Times New Roman"/>
    <w:panose1 w:val="00000000000000000000"/>
    <w:charset w:val="00"/>
    <w:family w:val="auto"/>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6853BE43" w14:textId="77777777" w:rsidR="00A662E0" w:rsidRDefault="00A662E0">
    <w:pPr>
      <w:pStyle w:val="Pieddepage"/>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7D630EE9" w14:textId="7CF2189E" w:rsidP="00AA30E9" w:rsidR="008B04DD" w:rsidRDefault="00581E01" w:rsidRPr="00DC69CA">
    <w:pPr>
      <w:pStyle w:val="Pieddepage"/>
      <w:jc w:val="left"/>
      <w:rPr>
        <w:rFonts w:ascii="Arial Narrow" w:hAnsi="Arial Narrow"/>
        <w:sz w:val="18"/>
        <w:szCs w:val="18"/>
      </w:rPr>
    </w:pPr>
    <w:r>
      <w:rPr>
        <w:rStyle w:val="Numrodepage"/>
        <w:rFonts w:ascii="Arial Narrow" w:hAnsi="Arial Narrow"/>
        <w:sz w:val="18"/>
        <w:szCs w:val="18"/>
      </w:rPr>
      <w:t>Accord relatif aux thème</w:t>
    </w:r>
    <w:r w:rsidR="00E54983">
      <w:rPr>
        <w:rStyle w:val="Numrodepage"/>
        <w:rFonts w:ascii="Arial Narrow" w:hAnsi="Arial Narrow"/>
        <w:sz w:val="18"/>
        <w:szCs w:val="18"/>
      </w:rPr>
      <w:t>s de la NAO pour l’exercice 20</w:t>
    </w:r>
    <w:r w:rsidR="00FB5367">
      <w:rPr>
        <w:rStyle w:val="Numrodepage"/>
        <w:rFonts w:ascii="Arial Narrow" w:hAnsi="Arial Narrow"/>
        <w:sz w:val="18"/>
        <w:szCs w:val="18"/>
      </w:rPr>
      <w:t>2</w:t>
    </w:r>
    <w:r w:rsidR="005C3CEB">
      <w:rPr>
        <w:rStyle w:val="Numrodepage"/>
        <w:rFonts w:ascii="Arial Narrow" w:hAnsi="Arial Narrow"/>
        <w:sz w:val="18"/>
        <w:szCs w:val="18"/>
      </w:rPr>
      <w:t>2</w:t>
    </w:r>
    <w:r w:rsidR="00AA30E9">
      <w:rPr>
        <w:rStyle w:val="Numrodepage"/>
        <w:rFonts w:ascii="Arial Narrow" w:hAnsi="Arial Narrow"/>
        <w:sz w:val="18"/>
        <w:szCs w:val="18"/>
      </w:rPr>
      <w:t xml:space="preserve"> – INEO HAUTS-DE-FRANCE</w:t>
    </w:r>
    <w:r>
      <w:rPr>
        <w:rStyle w:val="Numrodepage"/>
        <w:rFonts w:ascii="Arial Narrow" w:hAnsi="Arial Narrow"/>
        <w:sz w:val="18"/>
        <w:szCs w:val="18"/>
      </w:rPr>
      <w:tab/>
    </w:r>
    <w:r>
      <w:rPr>
        <w:rStyle w:val="Numrodepage"/>
        <w:rFonts w:ascii="Arial Narrow" w:hAnsi="Arial Narrow"/>
        <w:sz w:val="18"/>
        <w:szCs w:val="18"/>
      </w:rPr>
      <w:tab/>
    </w:r>
    <w:r w:rsidR="008B04DD" w:rsidRPr="00DC69CA">
      <w:rPr>
        <w:rStyle w:val="Numrodepage"/>
        <w:rFonts w:ascii="Arial Narrow" w:hAnsi="Arial Narrow"/>
        <w:sz w:val="18"/>
        <w:szCs w:val="18"/>
      </w:rPr>
      <w:t xml:space="preserve">Page </w:t>
    </w:r>
    <w:r w:rsidR="008B04DD" w:rsidRPr="00DC69CA">
      <w:rPr>
        <w:rStyle w:val="Numrodepage"/>
        <w:rFonts w:ascii="Arial Narrow" w:hAnsi="Arial Narrow"/>
        <w:sz w:val="18"/>
        <w:szCs w:val="18"/>
      </w:rPr>
      <w:fldChar w:fldCharType="begin"/>
    </w:r>
    <w:r w:rsidR="008B04DD" w:rsidRPr="00DC69CA">
      <w:rPr>
        <w:rStyle w:val="Numrodepage"/>
        <w:rFonts w:ascii="Arial Narrow" w:hAnsi="Arial Narrow"/>
        <w:sz w:val="18"/>
        <w:szCs w:val="18"/>
      </w:rPr>
      <w:instrText xml:space="preserve"> PAGE </w:instrText>
    </w:r>
    <w:r w:rsidR="008B04DD" w:rsidRPr="00DC69CA">
      <w:rPr>
        <w:rStyle w:val="Numrodepage"/>
        <w:rFonts w:ascii="Arial Narrow" w:hAnsi="Arial Narrow"/>
        <w:sz w:val="18"/>
        <w:szCs w:val="18"/>
      </w:rPr>
      <w:fldChar w:fldCharType="separate"/>
    </w:r>
    <w:r w:rsidR="00FD6A04">
      <w:rPr>
        <w:rStyle w:val="Numrodepage"/>
        <w:rFonts w:ascii="Arial Narrow" w:hAnsi="Arial Narrow"/>
        <w:noProof/>
        <w:sz w:val="18"/>
        <w:szCs w:val="18"/>
      </w:rPr>
      <w:t>7</w:t>
    </w:r>
    <w:r w:rsidR="008B04DD" w:rsidRPr="00DC69CA">
      <w:rPr>
        <w:rStyle w:val="Numrodepage"/>
        <w:rFonts w:ascii="Arial Narrow" w:hAnsi="Arial Narrow"/>
        <w:sz w:val="18"/>
        <w:szCs w:val="18"/>
      </w:rPr>
      <w:fldChar w:fldCharType="end"/>
    </w:r>
    <w:r w:rsidR="008B04DD" w:rsidRPr="00DC69CA">
      <w:rPr>
        <w:rStyle w:val="Numrodepage"/>
        <w:rFonts w:ascii="Arial Narrow" w:hAnsi="Arial Narrow"/>
        <w:sz w:val="18"/>
        <w:szCs w:val="18"/>
      </w:rPr>
      <w:t>/</w:t>
    </w:r>
    <w:r w:rsidR="008B04DD" w:rsidRPr="00DC69CA">
      <w:rPr>
        <w:rStyle w:val="Numrodepage"/>
        <w:rFonts w:ascii="Arial Narrow" w:hAnsi="Arial Narrow"/>
        <w:sz w:val="18"/>
        <w:szCs w:val="18"/>
      </w:rPr>
      <w:fldChar w:fldCharType="begin"/>
    </w:r>
    <w:r w:rsidR="008B04DD" w:rsidRPr="00DC69CA">
      <w:rPr>
        <w:rStyle w:val="Numrodepage"/>
        <w:rFonts w:ascii="Arial Narrow" w:hAnsi="Arial Narrow"/>
        <w:sz w:val="18"/>
        <w:szCs w:val="18"/>
      </w:rPr>
      <w:instrText xml:space="preserve"> NUMPAGES </w:instrText>
    </w:r>
    <w:r w:rsidR="008B04DD" w:rsidRPr="00DC69CA">
      <w:rPr>
        <w:rStyle w:val="Numrodepage"/>
        <w:rFonts w:ascii="Arial Narrow" w:hAnsi="Arial Narrow"/>
        <w:sz w:val="18"/>
        <w:szCs w:val="18"/>
      </w:rPr>
      <w:fldChar w:fldCharType="separate"/>
    </w:r>
    <w:r w:rsidR="00FD6A04">
      <w:rPr>
        <w:rStyle w:val="Numrodepage"/>
        <w:rFonts w:ascii="Arial Narrow" w:hAnsi="Arial Narrow"/>
        <w:noProof/>
        <w:sz w:val="18"/>
        <w:szCs w:val="18"/>
      </w:rPr>
      <w:t>20</w:t>
    </w:r>
    <w:r w:rsidR="008B04DD" w:rsidRPr="00DC69CA">
      <w:rPr>
        <w:rStyle w:val="Numrodepage"/>
        <w:rFonts w:ascii="Arial Narrow" w:hAnsi="Arial Narrow"/>
        <w:sz w:val="18"/>
        <w:szCs w:val="18"/>
      </w:rPr>
      <w:fldChar w:fldCharType="end"/>
    </w:r>
  </w:p>
</w:ftr>
</file>

<file path=word/footer3.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509BF04E" w14:textId="77777777" w:rsidR="00A662E0" w:rsidRDefault="00A662E0">
    <w:pPr>
      <w:pStyle w:val="Pieddepage"/>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4E68455C" w14:textId="77777777" w:rsidR="00FB63BB" w:rsidRDefault="00FB63BB">
      <w:r>
        <w:separator/>
      </w:r>
    </w:p>
  </w:footnote>
  <w:footnote w:id="0" w:type="continuationSeparator">
    <w:p w14:paraId="6DBF8045" w14:textId="77777777" w:rsidR="00FB63BB" w:rsidRDefault="00FB63BB">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7C5BA768" w14:textId="24095E19" w:rsidR="008B04DD" w:rsidRDefault="008B04DD">
    <w:pPr>
      <w:pStyle w:val="En-tte"/>
      <w:framePr w:hAnchor="margin" w:vAnchor="text" w:wrap="around"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63323B4A" w14:textId="77777777" w:rsidR="008B04DD" w:rsidRDefault="008B04DD">
    <w:pPr>
      <w:ind w:right="360"/>
    </w:pP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7A7A4697" w14:textId="166BB6C2" w:rsidR="00A662E0" w:rsidRDefault="00A662E0">
    <w:pPr>
      <w:pStyle w:val="En-tte"/>
    </w:pPr>
  </w:p>
</w:hdr>
</file>

<file path=word/header3.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5CAF19EB" w14:textId="3BD98D2A" w:rsidR="00A662E0" w:rsidRDefault="00A662E0">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18159B4"/>
    <w:multiLevelType w:val="hybridMultilevel"/>
    <w:tmpl w:val="3BA479B2"/>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
    <w:nsid w:val="0B821E58"/>
    <w:multiLevelType w:val="hybridMultilevel"/>
    <w:tmpl w:val="0E426336"/>
    <w:lvl w:ilvl="0" w:tplc="DC427DA8">
      <w:numFmt w:val="bullet"/>
      <w:lvlText w:val=""/>
      <w:lvlJc w:val="left"/>
      <w:pPr>
        <w:tabs>
          <w:tab w:pos="720" w:val="num"/>
        </w:tabs>
        <w:ind w:hanging="360" w:left="720"/>
      </w:pPr>
      <w:rPr>
        <w:rFonts w:ascii="Symbol" w:cs="Arial" w:eastAsia="MS Mincho" w:hAnsi="Symbol"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2">
    <w:nsid w:val="13F13C52"/>
    <w:multiLevelType w:val="hybridMultilevel"/>
    <w:tmpl w:val="0756E0BC"/>
    <w:lvl w:ilvl="0" w:tplc="040C000F">
      <w:start w:val="1"/>
      <w:numFmt w:val="decimal"/>
      <w:lvlText w:val="%1."/>
      <w:lvlJc w:val="left"/>
      <w:pPr>
        <w:ind w:hanging="360" w:left="721"/>
      </w:pPr>
    </w:lvl>
    <w:lvl w:ilvl="1" w:tplc="040C0019">
      <w:start w:val="1"/>
      <w:numFmt w:val="lowerLetter"/>
      <w:lvlText w:val="%2."/>
      <w:lvlJc w:val="left"/>
      <w:pPr>
        <w:ind w:hanging="360" w:left="1441"/>
      </w:pPr>
    </w:lvl>
    <w:lvl w:ilvl="2" w:tentative="1" w:tplc="040C001B">
      <w:start w:val="1"/>
      <w:numFmt w:val="lowerRoman"/>
      <w:lvlText w:val="%3."/>
      <w:lvlJc w:val="right"/>
      <w:pPr>
        <w:ind w:hanging="180" w:left="2161"/>
      </w:pPr>
    </w:lvl>
    <w:lvl w:ilvl="3" w:tentative="1" w:tplc="040C000F">
      <w:start w:val="1"/>
      <w:numFmt w:val="decimal"/>
      <w:lvlText w:val="%4."/>
      <w:lvlJc w:val="left"/>
      <w:pPr>
        <w:ind w:hanging="360" w:left="2881"/>
      </w:pPr>
    </w:lvl>
    <w:lvl w:ilvl="4" w:tentative="1" w:tplc="040C0019">
      <w:start w:val="1"/>
      <w:numFmt w:val="lowerLetter"/>
      <w:lvlText w:val="%5."/>
      <w:lvlJc w:val="left"/>
      <w:pPr>
        <w:ind w:hanging="360" w:left="3601"/>
      </w:pPr>
    </w:lvl>
    <w:lvl w:ilvl="5" w:tentative="1" w:tplc="040C001B">
      <w:start w:val="1"/>
      <w:numFmt w:val="lowerRoman"/>
      <w:lvlText w:val="%6."/>
      <w:lvlJc w:val="right"/>
      <w:pPr>
        <w:ind w:hanging="180" w:left="4321"/>
      </w:pPr>
    </w:lvl>
    <w:lvl w:ilvl="6" w:tentative="1" w:tplc="040C000F">
      <w:start w:val="1"/>
      <w:numFmt w:val="decimal"/>
      <w:lvlText w:val="%7."/>
      <w:lvlJc w:val="left"/>
      <w:pPr>
        <w:ind w:hanging="360" w:left="5041"/>
      </w:pPr>
    </w:lvl>
    <w:lvl w:ilvl="7" w:tentative="1" w:tplc="040C0019">
      <w:start w:val="1"/>
      <w:numFmt w:val="lowerLetter"/>
      <w:lvlText w:val="%8."/>
      <w:lvlJc w:val="left"/>
      <w:pPr>
        <w:ind w:hanging="360" w:left="5761"/>
      </w:pPr>
    </w:lvl>
    <w:lvl w:ilvl="8" w:tentative="1" w:tplc="040C001B">
      <w:start w:val="1"/>
      <w:numFmt w:val="lowerRoman"/>
      <w:lvlText w:val="%9."/>
      <w:lvlJc w:val="right"/>
      <w:pPr>
        <w:ind w:hanging="180" w:left="6481"/>
      </w:pPr>
    </w:lvl>
  </w:abstractNum>
  <w:abstractNum w15:restartNumberingAfterBreak="0" w:abstractNumId="3">
    <w:nsid w:val="1EC05F6C"/>
    <w:multiLevelType w:val="hybridMultilevel"/>
    <w:tmpl w:val="03B4670C"/>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24E82006"/>
    <w:multiLevelType w:val="hybridMultilevel"/>
    <w:tmpl w:val="95BCBA54"/>
    <w:lvl w:ilvl="0" w:tplc="5B96FCB0">
      <w:numFmt w:val="bullet"/>
      <w:lvlText w:val="-"/>
      <w:lvlJc w:val="left"/>
      <w:pPr>
        <w:ind w:hanging="360" w:left="720"/>
      </w:pPr>
      <w:rPr>
        <w:rFonts w:ascii="Calibri" w:cs="Calibri" w:eastAsiaTheme="minorHAnsi" w:hAnsi="Calibri" w:hint="default"/>
      </w:rPr>
    </w:lvl>
    <w:lvl w:ilvl="1" w:tplc="4C5A825A">
      <w:start w:val="2"/>
      <w:numFmt w:val="bullet"/>
      <w:lvlText w:val="-"/>
      <w:lvlJc w:val="left"/>
      <w:pPr>
        <w:ind w:hanging="360" w:left="1440"/>
      </w:pPr>
      <w:rPr>
        <w:rFonts w:ascii="Tahoma" w:cs="Tahoma" w:eastAsia="MS Mincho" w:hAnsi="Tahoma"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25835D5D"/>
    <w:multiLevelType w:val="hybridMultilevel"/>
    <w:tmpl w:val="7FA8DC68"/>
    <w:lvl w:ilvl="0" w:tplc="752A3278">
      <w:numFmt w:val="decimal"/>
      <w:lvlText w:val="%1"/>
      <w:lvlJc w:val="left"/>
      <w:pPr>
        <w:ind w:hanging="360" w:left="1081"/>
      </w:pPr>
      <w:rPr>
        <w:rFonts w:hint="default"/>
      </w:rPr>
    </w:lvl>
    <w:lvl w:ilvl="1" w:tentative="1" w:tplc="040C0019">
      <w:start w:val="1"/>
      <w:numFmt w:val="lowerLetter"/>
      <w:lvlText w:val="%2."/>
      <w:lvlJc w:val="left"/>
      <w:pPr>
        <w:ind w:hanging="360" w:left="1801"/>
      </w:pPr>
    </w:lvl>
    <w:lvl w:ilvl="2" w:tentative="1" w:tplc="040C001B">
      <w:start w:val="1"/>
      <w:numFmt w:val="lowerRoman"/>
      <w:lvlText w:val="%3."/>
      <w:lvlJc w:val="right"/>
      <w:pPr>
        <w:ind w:hanging="180" w:left="2521"/>
      </w:pPr>
    </w:lvl>
    <w:lvl w:ilvl="3" w:tentative="1" w:tplc="040C000F">
      <w:start w:val="1"/>
      <w:numFmt w:val="decimal"/>
      <w:lvlText w:val="%4."/>
      <w:lvlJc w:val="left"/>
      <w:pPr>
        <w:ind w:hanging="360" w:left="3241"/>
      </w:pPr>
    </w:lvl>
    <w:lvl w:ilvl="4" w:tentative="1" w:tplc="040C0019">
      <w:start w:val="1"/>
      <w:numFmt w:val="lowerLetter"/>
      <w:lvlText w:val="%5."/>
      <w:lvlJc w:val="left"/>
      <w:pPr>
        <w:ind w:hanging="360" w:left="3961"/>
      </w:pPr>
    </w:lvl>
    <w:lvl w:ilvl="5" w:tentative="1" w:tplc="040C001B">
      <w:start w:val="1"/>
      <w:numFmt w:val="lowerRoman"/>
      <w:lvlText w:val="%6."/>
      <w:lvlJc w:val="right"/>
      <w:pPr>
        <w:ind w:hanging="180" w:left="4681"/>
      </w:pPr>
    </w:lvl>
    <w:lvl w:ilvl="6" w:tentative="1" w:tplc="040C000F">
      <w:start w:val="1"/>
      <w:numFmt w:val="decimal"/>
      <w:lvlText w:val="%7."/>
      <w:lvlJc w:val="left"/>
      <w:pPr>
        <w:ind w:hanging="360" w:left="5401"/>
      </w:pPr>
    </w:lvl>
    <w:lvl w:ilvl="7" w:tentative="1" w:tplc="040C0019">
      <w:start w:val="1"/>
      <w:numFmt w:val="lowerLetter"/>
      <w:lvlText w:val="%8."/>
      <w:lvlJc w:val="left"/>
      <w:pPr>
        <w:ind w:hanging="360" w:left="6121"/>
      </w:pPr>
    </w:lvl>
    <w:lvl w:ilvl="8" w:tentative="1" w:tplc="040C001B">
      <w:start w:val="1"/>
      <w:numFmt w:val="lowerRoman"/>
      <w:lvlText w:val="%9."/>
      <w:lvlJc w:val="right"/>
      <w:pPr>
        <w:ind w:hanging="180" w:left="6841"/>
      </w:pPr>
    </w:lvl>
  </w:abstractNum>
  <w:abstractNum w15:restartNumberingAfterBreak="0" w:abstractNumId="6">
    <w:nsid w:val="34F734F9"/>
    <w:multiLevelType w:val="hybridMultilevel"/>
    <w:tmpl w:val="F8B8300C"/>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7">
    <w:nsid w:val="3E306F01"/>
    <w:multiLevelType w:val="hybridMultilevel"/>
    <w:tmpl w:val="7026D0E0"/>
    <w:lvl w:ilvl="0" w:tplc="040C000F">
      <w:start w:val="1"/>
      <w:numFmt w:val="decimal"/>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8">
    <w:nsid w:val="438B71C1"/>
    <w:multiLevelType w:val="hybridMultilevel"/>
    <w:tmpl w:val="08B8E880"/>
    <w:lvl w:ilvl="0" w:tplc="040C0001">
      <w:start w:val="1"/>
      <w:numFmt w:val="bullet"/>
      <w:lvlText w:val=""/>
      <w:lvlJc w:val="left"/>
      <w:pPr>
        <w:tabs>
          <w:tab w:pos="720" w:val="num"/>
        </w:tabs>
        <w:ind w:hanging="360" w:left="720"/>
      </w:pPr>
      <w:rPr>
        <w:rFonts w:ascii="Symbol" w:hAnsi="Symbol" w:hint="default"/>
        <w:color w:val="auto"/>
      </w:rPr>
    </w:lvl>
    <w:lvl w:ilvl="1" w:tplc="040C0003">
      <w:start w:val="1"/>
      <w:numFmt w:val="bullet"/>
      <w:lvlText w:val="o"/>
      <w:lvlJc w:val="left"/>
      <w:pPr>
        <w:tabs>
          <w:tab w:pos="1440" w:val="num"/>
        </w:tabs>
        <w:ind w:hanging="360" w:left="1440"/>
      </w:pPr>
      <w:rPr>
        <w:rFonts w:ascii="Courier New" w:cs="Courier New" w:hAnsi="Courier New" w:hint="default"/>
      </w:rPr>
    </w:lvl>
    <w:lvl w:ilvl="2" w:tplc="040C0019">
      <w:start w:val="1"/>
      <w:numFmt w:val="lowerLetter"/>
      <w:lvlText w:val="%3."/>
      <w:lvlJc w:val="left"/>
      <w:pPr>
        <w:tabs>
          <w:tab w:pos="2160" w:val="num"/>
        </w:tabs>
        <w:ind w:hanging="360" w:left="2160"/>
      </w:pPr>
      <w:rPr>
        <w:rFonts w:hint="default"/>
        <w:color w:val="auto"/>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9">
    <w:nsid w:val="495914A6"/>
    <w:multiLevelType w:val="hybridMultilevel"/>
    <w:tmpl w:val="C73CE5E8"/>
    <w:lvl w:ilvl="0" w:tplc="593008FA">
      <w:start w:val="5"/>
      <w:numFmt w:val="decimal"/>
      <w:lvlText w:val="%1"/>
      <w:lvlJc w:val="left"/>
      <w:pPr>
        <w:ind w:hanging="360" w:left="643"/>
      </w:pPr>
      <w:rPr>
        <w:rFonts w:hint="default"/>
      </w:rPr>
    </w:lvl>
    <w:lvl w:ilvl="1" w:tentative="1" w:tplc="040C0019">
      <w:start w:val="1"/>
      <w:numFmt w:val="lowerLetter"/>
      <w:lvlText w:val="%2."/>
      <w:lvlJc w:val="left"/>
      <w:pPr>
        <w:ind w:hanging="360" w:left="1430"/>
      </w:pPr>
    </w:lvl>
    <w:lvl w:ilvl="2" w:tentative="1" w:tplc="040C001B">
      <w:start w:val="1"/>
      <w:numFmt w:val="lowerRoman"/>
      <w:lvlText w:val="%3."/>
      <w:lvlJc w:val="right"/>
      <w:pPr>
        <w:ind w:hanging="180" w:left="2150"/>
      </w:pPr>
    </w:lvl>
    <w:lvl w:ilvl="3" w:tentative="1" w:tplc="040C000F">
      <w:start w:val="1"/>
      <w:numFmt w:val="decimal"/>
      <w:lvlText w:val="%4."/>
      <w:lvlJc w:val="left"/>
      <w:pPr>
        <w:ind w:hanging="360" w:left="2870"/>
      </w:pPr>
    </w:lvl>
    <w:lvl w:ilvl="4" w:tentative="1" w:tplc="040C0019">
      <w:start w:val="1"/>
      <w:numFmt w:val="lowerLetter"/>
      <w:lvlText w:val="%5."/>
      <w:lvlJc w:val="left"/>
      <w:pPr>
        <w:ind w:hanging="360" w:left="3590"/>
      </w:pPr>
    </w:lvl>
    <w:lvl w:ilvl="5" w:tentative="1" w:tplc="040C001B">
      <w:start w:val="1"/>
      <w:numFmt w:val="lowerRoman"/>
      <w:lvlText w:val="%6."/>
      <w:lvlJc w:val="right"/>
      <w:pPr>
        <w:ind w:hanging="180" w:left="4310"/>
      </w:pPr>
    </w:lvl>
    <w:lvl w:ilvl="6" w:tentative="1" w:tplc="040C000F">
      <w:start w:val="1"/>
      <w:numFmt w:val="decimal"/>
      <w:lvlText w:val="%7."/>
      <w:lvlJc w:val="left"/>
      <w:pPr>
        <w:ind w:hanging="360" w:left="5030"/>
      </w:pPr>
    </w:lvl>
    <w:lvl w:ilvl="7" w:tentative="1" w:tplc="040C0019">
      <w:start w:val="1"/>
      <w:numFmt w:val="lowerLetter"/>
      <w:lvlText w:val="%8."/>
      <w:lvlJc w:val="left"/>
      <w:pPr>
        <w:ind w:hanging="360" w:left="5750"/>
      </w:pPr>
    </w:lvl>
    <w:lvl w:ilvl="8" w:tentative="1" w:tplc="040C001B">
      <w:start w:val="1"/>
      <w:numFmt w:val="lowerRoman"/>
      <w:lvlText w:val="%9."/>
      <w:lvlJc w:val="right"/>
      <w:pPr>
        <w:ind w:hanging="180" w:left="6470"/>
      </w:pPr>
    </w:lvl>
  </w:abstractNum>
  <w:abstractNum w15:restartNumberingAfterBreak="0" w:abstractNumId="10">
    <w:nsid w:val="49754C67"/>
    <w:multiLevelType w:val="hybridMultilevel"/>
    <w:tmpl w:val="A052DB92"/>
    <w:lvl w:ilvl="0" w:tplc="040C000F">
      <w:start w:val="1"/>
      <w:numFmt w:val="decimal"/>
      <w:lvlText w:val="%1."/>
      <w:lvlJc w:val="left"/>
      <w:pPr>
        <w:tabs>
          <w:tab w:pos="644" w:val="num"/>
        </w:tabs>
        <w:ind w:hanging="360" w:left="644"/>
      </w:pPr>
    </w:lvl>
    <w:lvl w:ilvl="1" w:tentative="1" w:tplc="040C0019">
      <w:start w:val="1"/>
      <w:numFmt w:val="lowerLetter"/>
      <w:lvlText w:val="%2."/>
      <w:lvlJc w:val="left"/>
      <w:pPr>
        <w:tabs>
          <w:tab w:pos="1364" w:val="num"/>
        </w:tabs>
        <w:ind w:hanging="360" w:left="1364"/>
      </w:pPr>
    </w:lvl>
    <w:lvl w:ilvl="2" w:tentative="1" w:tplc="040C001B">
      <w:start w:val="1"/>
      <w:numFmt w:val="lowerRoman"/>
      <w:lvlText w:val="%3."/>
      <w:lvlJc w:val="right"/>
      <w:pPr>
        <w:tabs>
          <w:tab w:pos="2084" w:val="num"/>
        </w:tabs>
        <w:ind w:hanging="180" w:left="2084"/>
      </w:pPr>
    </w:lvl>
    <w:lvl w:ilvl="3" w:tentative="1" w:tplc="040C000F">
      <w:start w:val="1"/>
      <w:numFmt w:val="decimal"/>
      <w:lvlText w:val="%4."/>
      <w:lvlJc w:val="left"/>
      <w:pPr>
        <w:tabs>
          <w:tab w:pos="2804" w:val="num"/>
        </w:tabs>
        <w:ind w:hanging="360" w:left="2804"/>
      </w:pPr>
    </w:lvl>
    <w:lvl w:ilvl="4" w:tentative="1" w:tplc="040C0019">
      <w:start w:val="1"/>
      <w:numFmt w:val="lowerLetter"/>
      <w:lvlText w:val="%5."/>
      <w:lvlJc w:val="left"/>
      <w:pPr>
        <w:tabs>
          <w:tab w:pos="3524" w:val="num"/>
        </w:tabs>
        <w:ind w:hanging="360" w:left="3524"/>
      </w:pPr>
    </w:lvl>
    <w:lvl w:ilvl="5" w:tentative="1" w:tplc="040C001B">
      <w:start w:val="1"/>
      <w:numFmt w:val="lowerRoman"/>
      <w:lvlText w:val="%6."/>
      <w:lvlJc w:val="right"/>
      <w:pPr>
        <w:tabs>
          <w:tab w:pos="4244" w:val="num"/>
        </w:tabs>
        <w:ind w:hanging="180" w:left="4244"/>
      </w:pPr>
    </w:lvl>
    <w:lvl w:ilvl="6" w:tentative="1" w:tplc="040C000F">
      <w:start w:val="1"/>
      <w:numFmt w:val="decimal"/>
      <w:lvlText w:val="%7."/>
      <w:lvlJc w:val="left"/>
      <w:pPr>
        <w:tabs>
          <w:tab w:pos="4964" w:val="num"/>
        </w:tabs>
        <w:ind w:hanging="360" w:left="4964"/>
      </w:pPr>
    </w:lvl>
    <w:lvl w:ilvl="7" w:tentative="1" w:tplc="040C0019">
      <w:start w:val="1"/>
      <w:numFmt w:val="lowerLetter"/>
      <w:lvlText w:val="%8."/>
      <w:lvlJc w:val="left"/>
      <w:pPr>
        <w:tabs>
          <w:tab w:pos="5684" w:val="num"/>
        </w:tabs>
        <w:ind w:hanging="360" w:left="5684"/>
      </w:pPr>
    </w:lvl>
    <w:lvl w:ilvl="8" w:tentative="1" w:tplc="040C001B">
      <w:start w:val="1"/>
      <w:numFmt w:val="lowerRoman"/>
      <w:lvlText w:val="%9."/>
      <w:lvlJc w:val="right"/>
      <w:pPr>
        <w:tabs>
          <w:tab w:pos="6404" w:val="num"/>
        </w:tabs>
        <w:ind w:hanging="180" w:left="6404"/>
      </w:pPr>
    </w:lvl>
  </w:abstractNum>
  <w:abstractNum w15:restartNumberingAfterBreak="0" w:abstractNumId="11">
    <w:nsid w:val="4C2C7CE6"/>
    <w:multiLevelType w:val="hybridMultilevel"/>
    <w:tmpl w:val="9BF8147A"/>
    <w:lvl w:ilvl="0" w:tplc="040C000F">
      <w:start w:val="1"/>
      <w:numFmt w:val="decimal"/>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2">
    <w:nsid w:val="5DDA41F5"/>
    <w:multiLevelType w:val="hybridMultilevel"/>
    <w:tmpl w:val="4EF808E0"/>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3">
    <w:nsid w:val="619C6C95"/>
    <w:multiLevelType w:val="hybridMultilevel"/>
    <w:tmpl w:val="5ED44D94"/>
    <w:lvl w:ilvl="0" w:tplc="4C5A825A">
      <w:start w:val="2"/>
      <w:numFmt w:val="bullet"/>
      <w:lvlText w:val="-"/>
      <w:lvlJc w:val="left"/>
      <w:pPr>
        <w:ind w:hanging="360" w:left="720"/>
      </w:pPr>
      <w:rPr>
        <w:rFonts w:ascii="Tahoma" w:cs="Tahoma" w:eastAsia="MS Mincho" w:hAnsi="Tahoma"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4">
    <w:nsid w:val="6B7704AC"/>
    <w:multiLevelType w:val="hybridMultilevel"/>
    <w:tmpl w:val="C3A2A310"/>
    <w:lvl w:ilvl="0" w:tplc="040C0005">
      <w:start w:val="1"/>
      <w:numFmt w:val="bullet"/>
      <w:lvlText w:val=""/>
      <w:lvlJc w:val="left"/>
      <w:pPr>
        <w:tabs>
          <w:tab w:pos="1170" w:val="num"/>
        </w:tabs>
        <w:ind w:hanging="360" w:left="1170"/>
      </w:pPr>
      <w:rPr>
        <w:rFonts w:ascii="Wingdings" w:hAnsi="Wingdings" w:hint="default"/>
      </w:rPr>
    </w:lvl>
    <w:lvl w:ilvl="1" w:tentative="1" w:tplc="040C0003">
      <w:start w:val="1"/>
      <w:numFmt w:val="bullet"/>
      <w:lvlText w:val="o"/>
      <w:lvlJc w:val="left"/>
      <w:pPr>
        <w:tabs>
          <w:tab w:pos="1890" w:val="num"/>
        </w:tabs>
        <w:ind w:hanging="360" w:left="1890"/>
      </w:pPr>
      <w:rPr>
        <w:rFonts w:ascii="Courier New" w:cs="Courier New" w:hAnsi="Courier New" w:hint="default"/>
      </w:rPr>
    </w:lvl>
    <w:lvl w:ilvl="2" w:tentative="1" w:tplc="040C0005">
      <w:start w:val="1"/>
      <w:numFmt w:val="bullet"/>
      <w:lvlText w:val=""/>
      <w:lvlJc w:val="left"/>
      <w:pPr>
        <w:tabs>
          <w:tab w:pos="2610" w:val="num"/>
        </w:tabs>
        <w:ind w:hanging="360" w:left="2610"/>
      </w:pPr>
      <w:rPr>
        <w:rFonts w:ascii="Wingdings" w:hAnsi="Wingdings" w:hint="default"/>
      </w:rPr>
    </w:lvl>
    <w:lvl w:ilvl="3" w:tentative="1" w:tplc="040C0001">
      <w:start w:val="1"/>
      <w:numFmt w:val="bullet"/>
      <w:lvlText w:val=""/>
      <w:lvlJc w:val="left"/>
      <w:pPr>
        <w:tabs>
          <w:tab w:pos="3330" w:val="num"/>
        </w:tabs>
        <w:ind w:hanging="360" w:left="3330"/>
      </w:pPr>
      <w:rPr>
        <w:rFonts w:ascii="Symbol" w:hAnsi="Symbol" w:hint="default"/>
      </w:rPr>
    </w:lvl>
    <w:lvl w:ilvl="4" w:tentative="1" w:tplc="040C0003">
      <w:start w:val="1"/>
      <w:numFmt w:val="bullet"/>
      <w:lvlText w:val="o"/>
      <w:lvlJc w:val="left"/>
      <w:pPr>
        <w:tabs>
          <w:tab w:pos="4050" w:val="num"/>
        </w:tabs>
        <w:ind w:hanging="360" w:left="4050"/>
      </w:pPr>
      <w:rPr>
        <w:rFonts w:ascii="Courier New" w:cs="Courier New" w:hAnsi="Courier New" w:hint="default"/>
      </w:rPr>
    </w:lvl>
    <w:lvl w:ilvl="5" w:tentative="1" w:tplc="040C0005">
      <w:start w:val="1"/>
      <w:numFmt w:val="bullet"/>
      <w:lvlText w:val=""/>
      <w:lvlJc w:val="left"/>
      <w:pPr>
        <w:tabs>
          <w:tab w:pos="4770" w:val="num"/>
        </w:tabs>
        <w:ind w:hanging="360" w:left="4770"/>
      </w:pPr>
      <w:rPr>
        <w:rFonts w:ascii="Wingdings" w:hAnsi="Wingdings" w:hint="default"/>
      </w:rPr>
    </w:lvl>
    <w:lvl w:ilvl="6" w:tentative="1" w:tplc="040C0001">
      <w:start w:val="1"/>
      <w:numFmt w:val="bullet"/>
      <w:lvlText w:val=""/>
      <w:lvlJc w:val="left"/>
      <w:pPr>
        <w:tabs>
          <w:tab w:pos="5490" w:val="num"/>
        </w:tabs>
        <w:ind w:hanging="360" w:left="5490"/>
      </w:pPr>
      <w:rPr>
        <w:rFonts w:ascii="Symbol" w:hAnsi="Symbol" w:hint="default"/>
      </w:rPr>
    </w:lvl>
    <w:lvl w:ilvl="7" w:tentative="1" w:tplc="040C0003">
      <w:start w:val="1"/>
      <w:numFmt w:val="bullet"/>
      <w:lvlText w:val="o"/>
      <w:lvlJc w:val="left"/>
      <w:pPr>
        <w:tabs>
          <w:tab w:pos="6210" w:val="num"/>
        </w:tabs>
        <w:ind w:hanging="360" w:left="6210"/>
      </w:pPr>
      <w:rPr>
        <w:rFonts w:ascii="Courier New" w:cs="Courier New" w:hAnsi="Courier New" w:hint="default"/>
      </w:rPr>
    </w:lvl>
    <w:lvl w:ilvl="8" w:tentative="1" w:tplc="040C0005">
      <w:start w:val="1"/>
      <w:numFmt w:val="bullet"/>
      <w:lvlText w:val=""/>
      <w:lvlJc w:val="left"/>
      <w:pPr>
        <w:tabs>
          <w:tab w:pos="6930" w:val="num"/>
        </w:tabs>
        <w:ind w:hanging="360" w:left="6930"/>
      </w:pPr>
      <w:rPr>
        <w:rFonts w:ascii="Wingdings" w:hAnsi="Wingdings" w:hint="default"/>
      </w:rPr>
    </w:lvl>
  </w:abstractNum>
  <w:abstractNum w15:restartNumberingAfterBreak="0" w:abstractNumId="15">
    <w:nsid w:val="7D9D4587"/>
    <w:multiLevelType w:val="hybridMultilevel"/>
    <w:tmpl w:val="00D2DD0A"/>
    <w:lvl w:ilvl="0" w:tplc="040C000F">
      <w:start w:val="1"/>
      <w:numFmt w:val="decimal"/>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num w:numId="1">
    <w:abstractNumId w:val="14"/>
  </w:num>
  <w:num w:numId="2">
    <w:abstractNumId w:val="10"/>
  </w:num>
  <w:num w:numId="3">
    <w:abstractNumId w:val="1"/>
  </w:num>
  <w:num w:numId="4">
    <w:abstractNumId w:val="15"/>
  </w:num>
  <w:num w:numId="5">
    <w:abstractNumId w:val="7"/>
  </w:num>
  <w:num w:numId="6">
    <w:abstractNumId w:val="11"/>
  </w:num>
  <w:num w:numId="7">
    <w:abstractNumId w:val="8"/>
  </w:num>
  <w:num w:numId="8">
    <w:abstractNumId w:val="0"/>
  </w:num>
  <w:num w:numId="9">
    <w:abstractNumId w:val="2"/>
  </w:num>
  <w:num w:numId="10">
    <w:abstractNumId w:val="9"/>
  </w:num>
  <w:num w:numId="11">
    <w:abstractNumId w:val="5"/>
  </w:num>
  <w:num w:numId="12">
    <w:abstractNumId w:val="3"/>
  </w:num>
  <w:num w:numId="13">
    <w:abstractNumId w:val="12"/>
  </w:num>
  <w:num w:numId="14">
    <w:abstractNumId w:val="6"/>
  </w:num>
  <w:num w:numId="15">
    <w:abstractNumId w:val="13"/>
  </w:num>
  <w:num w:numId="16">
    <w:abstractNumId w:val="4"/>
  </w:num>
  <w:numIdMacAtCleanup w:val="14"/>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08"/>
  <w:hyphenationZone w:val="425"/>
  <w:noPunctuationKerning/>
  <w:characterSpacingControl w:val="doNotCompress"/>
  <w:hdrShapeDefaults>
    <o:shapedefaults spidmax="2050"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E3A"/>
    <w:rsid w:val="00001153"/>
    <w:rsid w:val="00002539"/>
    <w:rsid w:val="00012E65"/>
    <w:rsid w:val="00013D97"/>
    <w:rsid w:val="00032983"/>
    <w:rsid w:val="00034056"/>
    <w:rsid w:val="00034178"/>
    <w:rsid w:val="00035364"/>
    <w:rsid w:val="000364D6"/>
    <w:rsid w:val="0004789C"/>
    <w:rsid w:val="00051CE5"/>
    <w:rsid w:val="00052155"/>
    <w:rsid w:val="000635BC"/>
    <w:rsid w:val="00063C6C"/>
    <w:rsid w:val="00066464"/>
    <w:rsid w:val="00066CAC"/>
    <w:rsid w:val="000672D2"/>
    <w:rsid w:val="00077AC3"/>
    <w:rsid w:val="000869F5"/>
    <w:rsid w:val="00087700"/>
    <w:rsid w:val="0008787D"/>
    <w:rsid w:val="00087FFC"/>
    <w:rsid w:val="00090FB8"/>
    <w:rsid w:val="0009209D"/>
    <w:rsid w:val="000962FD"/>
    <w:rsid w:val="000A0EB4"/>
    <w:rsid w:val="000A0FA9"/>
    <w:rsid w:val="000A5573"/>
    <w:rsid w:val="000A7F29"/>
    <w:rsid w:val="000B04B0"/>
    <w:rsid w:val="000B0E2F"/>
    <w:rsid w:val="000B5B9D"/>
    <w:rsid w:val="000C2C5A"/>
    <w:rsid w:val="000D0360"/>
    <w:rsid w:val="000D64DB"/>
    <w:rsid w:val="000F027B"/>
    <w:rsid w:val="000F2ECD"/>
    <w:rsid w:val="001066B5"/>
    <w:rsid w:val="00112EB3"/>
    <w:rsid w:val="001138C3"/>
    <w:rsid w:val="00116097"/>
    <w:rsid w:val="00122810"/>
    <w:rsid w:val="00126310"/>
    <w:rsid w:val="001273F6"/>
    <w:rsid w:val="00131C8D"/>
    <w:rsid w:val="001352D3"/>
    <w:rsid w:val="0014678E"/>
    <w:rsid w:val="00147CA6"/>
    <w:rsid w:val="00151932"/>
    <w:rsid w:val="00151DA6"/>
    <w:rsid w:val="00153F62"/>
    <w:rsid w:val="0015426B"/>
    <w:rsid w:val="0015472F"/>
    <w:rsid w:val="00155FDF"/>
    <w:rsid w:val="0015677B"/>
    <w:rsid w:val="00156CD4"/>
    <w:rsid w:val="001570A3"/>
    <w:rsid w:val="00174D9E"/>
    <w:rsid w:val="0017515C"/>
    <w:rsid w:val="00192F56"/>
    <w:rsid w:val="00194E44"/>
    <w:rsid w:val="001A315C"/>
    <w:rsid w:val="001B3F7B"/>
    <w:rsid w:val="001C029F"/>
    <w:rsid w:val="001C0619"/>
    <w:rsid w:val="001C3B36"/>
    <w:rsid w:val="001C4316"/>
    <w:rsid w:val="001D4EB9"/>
    <w:rsid w:val="001D523B"/>
    <w:rsid w:val="001D5945"/>
    <w:rsid w:val="001D5C5B"/>
    <w:rsid w:val="001D75C4"/>
    <w:rsid w:val="001D7E41"/>
    <w:rsid w:val="001E3A5E"/>
    <w:rsid w:val="001F3742"/>
    <w:rsid w:val="001F4DFE"/>
    <w:rsid w:val="001F5C80"/>
    <w:rsid w:val="001F6222"/>
    <w:rsid w:val="0020120F"/>
    <w:rsid w:val="002026C7"/>
    <w:rsid w:val="00207ADC"/>
    <w:rsid w:val="00210C4D"/>
    <w:rsid w:val="002132ED"/>
    <w:rsid w:val="00213854"/>
    <w:rsid w:val="00222CDC"/>
    <w:rsid w:val="0022795C"/>
    <w:rsid w:val="00231E60"/>
    <w:rsid w:val="0023297A"/>
    <w:rsid w:val="00236428"/>
    <w:rsid w:val="00242203"/>
    <w:rsid w:val="00251145"/>
    <w:rsid w:val="00251600"/>
    <w:rsid w:val="00260466"/>
    <w:rsid w:val="002672BD"/>
    <w:rsid w:val="002742F0"/>
    <w:rsid w:val="00275CDF"/>
    <w:rsid w:val="00276100"/>
    <w:rsid w:val="00284173"/>
    <w:rsid w:val="002A46A0"/>
    <w:rsid w:val="002A6524"/>
    <w:rsid w:val="002A6CA1"/>
    <w:rsid w:val="002B0DDB"/>
    <w:rsid w:val="002B5FF0"/>
    <w:rsid w:val="002B69EC"/>
    <w:rsid w:val="002C120F"/>
    <w:rsid w:val="002C1D17"/>
    <w:rsid w:val="002C32DC"/>
    <w:rsid w:val="002C38F9"/>
    <w:rsid w:val="002D4A8A"/>
    <w:rsid w:val="002D590A"/>
    <w:rsid w:val="002D732D"/>
    <w:rsid w:val="002E1EB8"/>
    <w:rsid w:val="002E2CBE"/>
    <w:rsid w:val="002E5DEE"/>
    <w:rsid w:val="002E66A2"/>
    <w:rsid w:val="002F0282"/>
    <w:rsid w:val="002F2D4C"/>
    <w:rsid w:val="002F7000"/>
    <w:rsid w:val="002F75C7"/>
    <w:rsid w:val="00302BCE"/>
    <w:rsid w:val="00320915"/>
    <w:rsid w:val="00320D37"/>
    <w:rsid w:val="00323181"/>
    <w:rsid w:val="00325D82"/>
    <w:rsid w:val="00325D9F"/>
    <w:rsid w:val="00333291"/>
    <w:rsid w:val="003334A8"/>
    <w:rsid w:val="00333B2B"/>
    <w:rsid w:val="00335DC1"/>
    <w:rsid w:val="0033637A"/>
    <w:rsid w:val="003400B7"/>
    <w:rsid w:val="0034728A"/>
    <w:rsid w:val="00347CC7"/>
    <w:rsid w:val="003529C7"/>
    <w:rsid w:val="00357988"/>
    <w:rsid w:val="00375CE7"/>
    <w:rsid w:val="003800B5"/>
    <w:rsid w:val="00380C93"/>
    <w:rsid w:val="003860C8"/>
    <w:rsid w:val="0039727D"/>
    <w:rsid w:val="003A3E6D"/>
    <w:rsid w:val="003B396F"/>
    <w:rsid w:val="003B5CEE"/>
    <w:rsid w:val="003B75B7"/>
    <w:rsid w:val="003B7EA9"/>
    <w:rsid w:val="003C1D40"/>
    <w:rsid w:val="003D2C44"/>
    <w:rsid w:val="003D4AF9"/>
    <w:rsid w:val="003D50D9"/>
    <w:rsid w:val="003E31E0"/>
    <w:rsid w:val="003E4598"/>
    <w:rsid w:val="003E61A0"/>
    <w:rsid w:val="003F7A7F"/>
    <w:rsid w:val="00401A85"/>
    <w:rsid w:val="00401AF1"/>
    <w:rsid w:val="00401B06"/>
    <w:rsid w:val="004064D6"/>
    <w:rsid w:val="00412821"/>
    <w:rsid w:val="0041317E"/>
    <w:rsid w:val="00415A68"/>
    <w:rsid w:val="00417800"/>
    <w:rsid w:val="00423715"/>
    <w:rsid w:val="00424659"/>
    <w:rsid w:val="00425A48"/>
    <w:rsid w:val="0042755D"/>
    <w:rsid w:val="004337E8"/>
    <w:rsid w:val="0043684B"/>
    <w:rsid w:val="00445713"/>
    <w:rsid w:val="00464626"/>
    <w:rsid w:val="00465B7B"/>
    <w:rsid w:val="00474276"/>
    <w:rsid w:val="00476074"/>
    <w:rsid w:val="004779E0"/>
    <w:rsid w:val="0048380C"/>
    <w:rsid w:val="0048431C"/>
    <w:rsid w:val="004A3021"/>
    <w:rsid w:val="004B271E"/>
    <w:rsid w:val="004B7053"/>
    <w:rsid w:val="004C61F2"/>
    <w:rsid w:val="004C7091"/>
    <w:rsid w:val="004D6CCD"/>
    <w:rsid w:val="004D7A3B"/>
    <w:rsid w:val="004E00C9"/>
    <w:rsid w:val="004E74CE"/>
    <w:rsid w:val="004F06B9"/>
    <w:rsid w:val="004F524E"/>
    <w:rsid w:val="00500826"/>
    <w:rsid w:val="00502859"/>
    <w:rsid w:val="005034A4"/>
    <w:rsid w:val="005139CF"/>
    <w:rsid w:val="00522ACF"/>
    <w:rsid w:val="00526479"/>
    <w:rsid w:val="00531E75"/>
    <w:rsid w:val="00533529"/>
    <w:rsid w:val="00534075"/>
    <w:rsid w:val="005343BF"/>
    <w:rsid w:val="00535CD8"/>
    <w:rsid w:val="00537190"/>
    <w:rsid w:val="0053776A"/>
    <w:rsid w:val="005430A8"/>
    <w:rsid w:val="00544B08"/>
    <w:rsid w:val="00546D52"/>
    <w:rsid w:val="00550C57"/>
    <w:rsid w:val="00562631"/>
    <w:rsid w:val="005629BF"/>
    <w:rsid w:val="00565346"/>
    <w:rsid w:val="00565DF4"/>
    <w:rsid w:val="0056630C"/>
    <w:rsid w:val="00566B2C"/>
    <w:rsid w:val="00574989"/>
    <w:rsid w:val="00580599"/>
    <w:rsid w:val="005817C3"/>
    <w:rsid w:val="00581E01"/>
    <w:rsid w:val="00590CF3"/>
    <w:rsid w:val="00592A0F"/>
    <w:rsid w:val="00594E3D"/>
    <w:rsid w:val="00597265"/>
    <w:rsid w:val="00597BE3"/>
    <w:rsid w:val="005A56F1"/>
    <w:rsid w:val="005B06E2"/>
    <w:rsid w:val="005C1CE8"/>
    <w:rsid w:val="005C3CEB"/>
    <w:rsid w:val="005D6FB9"/>
    <w:rsid w:val="005E42FE"/>
    <w:rsid w:val="005F2C5C"/>
    <w:rsid w:val="005F4CEB"/>
    <w:rsid w:val="005F53E9"/>
    <w:rsid w:val="00600679"/>
    <w:rsid w:val="00600A21"/>
    <w:rsid w:val="0060713C"/>
    <w:rsid w:val="00613447"/>
    <w:rsid w:val="006134FC"/>
    <w:rsid w:val="00615138"/>
    <w:rsid w:val="00622037"/>
    <w:rsid w:val="00627C74"/>
    <w:rsid w:val="006334ED"/>
    <w:rsid w:val="00633BDA"/>
    <w:rsid w:val="006456BD"/>
    <w:rsid w:val="00650B4F"/>
    <w:rsid w:val="00651734"/>
    <w:rsid w:val="0065702D"/>
    <w:rsid w:val="00672846"/>
    <w:rsid w:val="0067360A"/>
    <w:rsid w:val="0067792D"/>
    <w:rsid w:val="00691EB7"/>
    <w:rsid w:val="006927A5"/>
    <w:rsid w:val="00694CEE"/>
    <w:rsid w:val="006977D4"/>
    <w:rsid w:val="006A098B"/>
    <w:rsid w:val="006A339C"/>
    <w:rsid w:val="006B488F"/>
    <w:rsid w:val="006D09D4"/>
    <w:rsid w:val="006D177F"/>
    <w:rsid w:val="006F33F3"/>
    <w:rsid w:val="006F4545"/>
    <w:rsid w:val="006F5237"/>
    <w:rsid w:val="006F6ED9"/>
    <w:rsid w:val="00706B34"/>
    <w:rsid w:val="00707F5D"/>
    <w:rsid w:val="00712EDC"/>
    <w:rsid w:val="00715590"/>
    <w:rsid w:val="00722EFA"/>
    <w:rsid w:val="007270B6"/>
    <w:rsid w:val="007327A9"/>
    <w:rsid w:val="0073788D"/>
    <w:rsid w:val="00743B5F"/>
    <w:rsid w:val="00745585"/>
    <w:rsid w:val="00752801"/>
    <w:rsid w:val="007530D4"/>
    <w:rsid w:val="0076022F"/>
    <w:rsid w:val="00761F48"/>
    <w:rsid w:val="00785D15"/>
    <w:rsid w:val="007877FB"/>
    <w:rsid w:val="0079215A"/>
    <w:rsid w:val="00797990"/>
    <w:rsid w:val="00797ED8"/>
    <w:rsid w:val="007A3D29"/>
    <w:rsid w:val="007B1106"/>
    <w:rsid w:val="007B3041"/>
    <w:rsid w:val="007B48E0"/>
    <w:rsid w:val="007C0D34"/>
    <w:rsid w:val="007C3A56"/>
    <w:rsid w:val="007C7C13"/>
    <w:rsid w:val="007D1857"/>
    <w:rsid w:val="007D4C4D"/>
    <w:rsid w:val="007D6D92"/>
    <w:rsid w:val="007D7B28"/>
    <w:rsid w:val="007E01D6"/>
    <w:rsid w:val="007E1A56"/>
    <w:rsid w:val="007E2D65"/>
    <w:rsid w:val="007F596B"/>
    <w:rsid w:val="0080429C"/>
    <w:rsid w:val="00807101"/>
    <w:rsid w:val="00813CB1"/>
    <w:rsid w:val="008158A0"/>
    <w:rsid w:val="008236CB"/>
    <w:rsid w:val="008242D5"/>
    <w:rsid w:val="00826B6E"/>
    <w:rsid w:val="00837B22"/>
    <w:rsid w:val="008405F5"/>
    <w:rsid w:val="00847635"/>
    <w:rsid w:val="008628A8"/>
    <w:rsid w:val="00873924"/>
    <w:rsid w:val="00875E3C"/>
    <w:rsid w:val="008805A4"/>
    <w:rsid w:val="00890E52"/>
    <w:rsid w:val="00891FC0"/>
    <w:rsid w:val="008941CD"/>
    <w:rsid w:val="0089699A"/>
    <w:rsid w:val="008975E7"/>
    <w:rsid w:val="008A037A"/>
    <w:rsid w:val="008B0039"/>
    <w:rsid w:val="008B04DD"/>
    <w:rsid w:val="008B5F90"/>
    <w:rsid w:val="008B74EB"/>
    <w:rsid w:val="008C12E2"/>
    <w:rsid w:val="008C4405"/>
    <w:rsid w:val="008D1F22"/>
    <w:rsid w:val="008D23E5"/>
    <w:rsid w:val="008E6769"/>
    <w:rsid w:val="008F1B71"/>
    <w:rsid w:val="00900BF9"/>
    <w:rsid w:val="0090217B"/>
    <w:rsid w:val="00910F28"/>
    <w:rsid w:val="00917639"/>
    <w:rsid w:val="00917C2B"/>
    <w:rsid w:val="009240A5"/>
    <w:rsid w:val="00925740"/>
    <w:rsid w:val="00932E36"/>
    <w:rsid w:val="00933F7B"/>
    <w:rsid w:val="00936BFE"/>
    <w:rsid w:val="00937C0D"/>
    <w:rsid w:val="00952D60"/>
    <w:rsid w:val="00956DCB"/>
    <w:rsid w:val="00957570"/>
    <w:rsid w:val="00957790"/>
    <w:rsid w:val="009609B6"/>
    <w:rsid w:val="009634D9"/>
    <w:rsid w:val="0096394B"/>
    <w:rsid w:val="0096688D"/>
    <w:rsid w:val="00975F33"/>
    <w:rsid w:val="009807FC"/>
    <w:rsid w:val="00980E93"/>
    <w:rsid w:val="0099240E"/>
    <w:rsid w:val="00993C4A"/>
    <w:rsid w:val="00993C7F"/>
    <w:rsid w:val="00995DF8"/>
    <w:rsid w:val="009972C2"/>
    <w:rsid w:val="009A55D0"/>
    <w:rsid w:val="009B3059"/>
    <w:rsid w:val="009B6E2D"/>
    <w:rsid w:val="009C3425"/>
    <w:rsid w:val="009D3A16"/>
    <w:rsid w:val="009D561D"/>
    <w:rsid w:val="009D7BAA"/>
    <w:rsid w:val="009F2706"/>
    <w:rsid w:val="009F6A1F"/>
    <w:rsid w:val="00A001C8"/>
    <w:rsid w:val="00A01BB9"/>
    <w:rsid w:val="00A07990"/>
    <w:rsid w:val="00A1084A"/>
    <w:rsid w:val="00A21304"/>
    <w:rsid w:val="00A23021"/>
    <w:rsid w:val="00A261DB"/>
    <w:rsid w:val="00A2641B"/>
    <w:rsid w:val="00A27625"/>
    <w:rsid w:val="00A352C2"/>
    <w:rsid w:val="00A443D4"/>
    <w:rsid w:val="00A464BB"/>
    <w:rsid w:val="00A47693"/>
    <w:rsid w:val="00A52B77"/>
    <w:rsid w:val="00A566A4"/>
    <w:rsid w:val="00A57D98"/>
    <w:rsid w:val="00A640E5"/>
    <w:rsid w:val="00A662E0"/>
    <w:rsid w:val="00A70892"/>
    <w:rsid w:val="00A74E5F"/>
    <w:rsid w:val="00A8349C"/>
    <w:rsid w:val="00A83E3A"/>
    <w:rsid w:val="00A84A7A"/>
    <w:rsid w:val="00A85A3D"/>
    <w:rsid w:val="00A90F21"/>
    <w:rsid w:val="00A94CBF"/>
    <w:rsid w:val="00AA30E9"/>
    <w:rsid w:val="00AA3485"/>
    <w:rsid w:val="00AA7071"/>
    <w:rsid w:val="00AA767E"/>
    <w:rsid w:val="00AB34B5"/>
    <w:rsid w:val="00AB3F71"/>
    <w:rsid w:val="00AC5EB9"/>
    <w:rsid w:val="00AC6B00"/>
    <w:rsid w:val="00AD60AE"/>
    <w:rsid w:val="00AD67BA"/>
    <w:rsid w:val="00AE2E4C"/>
    <w:rsid w:val="00AE34BD"/>
    <w:rsid w:val="00AF0AFA"/>
    <w:rsid w:val="00AF2E29"/>
    <w:rsid w:val="00AF66E8"/>
    <w:rsid w:val="00AF7B9B"/>
    <w:rsid w:val="00B01DB6"/>
    <w:rsid w:val="00B02764"/>
    <w:rsid w:val="00B12EA5"/>
    <w:rsid w:val="00B23091"/>
    <w:rsid w:val="00B24CB2"/>
    <w:rsid w:val="00B27AB2"/>
    <w:rsid w:val="00B35580"/>
    <w:rsid w:val="00B37F77"/>
    <w:rsid w:val="00B52152"/>
    <w:rsid w:val="00B53ABC"/>
    <w:rsid w:val="00B61661"/>
    <w:rsid w:val="00B665DB"/>
    <w:rsid w:val="00B67346"/>
    <w:rsid w:val="00B70713"/>
    <w:rsid w:val="00B71BE3"/>
    <w:rsid w:val="00B7310D"/>
    <w:rsid w:val="00B767C9"/>
    <w:rsid w:val="00B76ECE"/>
    <w:rsid w:val="00B8550F"/>
    <w:rsid w:val="00B93CE3"/>
    <w:rsid w:val="00B97A1E"/>
    <w:rsid w:val="00BA0B8B"/>
    <w:rsid w:val="00BA47CF"/>
    <w:rsid w:val="00BA5202"/>
    <w:rsid w:val="00BB2D11"/>
    <w:rsid w:val="00BB520B"/>
    <w:rsid w:val="00BC4585"/>
    <w:rsid w:val="00BC7BE4"/>
    <w:rsid w:val="00BC7E9E"/>
    <w:rsid w:val="00BD0048"/>
    <w:rsid w:val="00BD26CC"/>
    <w:rsid w:val="00BD4E50"/>
    <w:rsid w:val="00BE1188"/>
    <w:rsid w:val="00BE1367"/>
    <w:rsid w:val="00BE15DB"/>
    <w:rsid w:val="00BE1C88"/>
    <w:rsid w:val="00BF301E"/>
    <w:rsid w:val="00BF4020"/>
    <w:rsid w:val="00BF5566"/>
    <w:rsid w:val="00BF6135"/>
    <w:rsid w:val="00C0402B"/>
    <w:rsid w:val="00C055F7"/>
    <w:rsid w:val="00C07AA8"/>
    <w:rsid w:val="00C106C7"/>
    <w:rsid w:val="00C10FCC"/>
    <w:rsid w:val="00C176BE"/>
    <w:rsid w:val="00C24A91"/>
    <w:rsid w:val="00C25AB7"/>
    <w:rsid w:val="00C26EC2"/>
    <w:rsid w:val="00C370C2"/>
    <w:rsid w:val="00C520CD"/>
    <w:rsid w:val="00C527BC"/>
    <w:rsid w:val="00C5494D"/>
    <w:rsid w:val="00C5743A"/>
    <w:rsid w:val="00C62916"/>
    <w:rsid w:val="00C66DEF"/>
    <w:rsid w:val="00C709A5"/>
    <w:rsid w:val="00C7167C"/>
    <w:rsid w:val="00C72826"/>
    <w:rsid w:val="00C73360"/>
    <w:rsid w:val="00C8407D"/>
    <w:rsid w:val="00C85B93"/>
    <w:rsid w:val="00C90708"/>
    <w:rsid w:val="00C91216"/>
    <w:rsid w:val="00C917DA"/>
    <w:rsid w:val="00C94354"/>
    <w:rsid w:val="00CA4D60"/>
    <w:rsid w:val="00CA628B"/>
    <w:rsid w:val="00CA74B3"/>
    <w:rsid w:val="00CB7A7C"/>
    <w:rsid w:val="00CC27A2"/>
    <w:rsid w:val="00CC5D0B"/>
    <w:rsid w:val="00CD145A"/>
    <w:rsid w:val="00CD20EC"/>
    <w:rsid w:val="00CD57D9"/>
    <w:rsid w:val="00CD72A4"/>
    <w:rsid w:val="00CE19E7"/>
    <w:rsid w:val="00CE5658"/>
    <w:rsid w:val="00CF057F"/>
    <w:rsid w:val="00CF1035"/>
    <w:rsid w:val="00CF1BA6"/>
    <w:rsid w:val="00CF1E32"/>
    <w:rsid w:val="00CF4BAA"/>
    <w:rsid w:val="00D05779"/>
    <w:rsid w:val="00D061C8"/>
    <w:rsid w:val="00D06E66"/>
    <w:rsid w:val="00D253D3"/>
    <w:rsid w:val="00D27349"/>
    <w:rsid w:val="00D34A33"/>
    <w:rsid w:val="00D350D4"/>
    <w:rsid w:val="00D4377F"/>
    <w:rsid w:val="00D46F85"/>
    <w:rsid w:val="00D47F70"/>
    <w:rsid w:val="00D66790"/>
    <w:rsid w:val="00D67A03"/>
    <w:rsid w:val="00D7046B"/>
    <w:rsid w:val="00D748DB"/>
    <w:rsid w:val="00D82A0B"/>
    <w:rsid w:val="00D906BB"/>
    <w:rsid w:val="00DA3E4A"/>
    <w:rsid w:val="00DA438B"/>
    <w:rsid w:val="00DB45A3"/>
    <w:rsid w:val="00DB6075"/>
    <w:rsid w:val="00DB714D"/>
    <w:rsid w:val="00DC04F5"/>
    <w:rsid w:val="00DC0F0B"/>
    <w:rsid w:val="00DC27A6"/>
    <w:rsid w:val="00DC5AF0"/>
    <w:rsid w:val="00DC6062"/>
    <w:rsid w:val="00DC65CF"/>
    <w:rsid w:val="00DC69CA"/>
    <w:rsid w:val="00DD2FCC"/>
    <w:rsid w:val="00DD588C"/>
    <w:rsid w:val="00DD6129"/>
    <w:rsid w:val="00DD6A07"/>
    <w:rsid w:val="00DE0229"/>
    <w:rsid w:val="00DE17D6"/>
    <w:rsid w:val="00DE1BEA"/>
    <w:rsid w:val="00DE1F90"/>
    <w:rsid w:val="00DE2F07"/>
    <w:rsid w:val="00DE4F35"/>
    <w:rsid w:val="00DE5566"/>
    <w:rsid w:val="00DE7E9D"/>
    <w:rsid w:val="00DF12BF"/>
    <w:rsid w:val="00DF243F"/>
    <w:rsid w:val="00DF6D82"/>
    <w:rsid w:val="00DF7C34"/>
    <w:rsid w:val="00E14056"/>
    <w:rsid w:val="00E167D3"/>
    <w:rsid w:val="00E16A21"/>
    <w:rsid w:val="00E24171"/>
    <w:rsid w:val="00E253C5"/>
    <w:rsid w:val="00E2675B"/>
    <w:rsid w:val="00E27D77"/>
    <w:rsid w:val="00E30042"/>
    <w:rsid w:val="00E42A1A"/>
    <w:rsid w:val="00E42CA6"/>
    <w:rsid w:val="00E431C1"/>
    <w:rsid w:val="00E434EA"/>
    <w:rsid w:val="00E53232"/>
    <w:rsid w:val="00E54983"/>
    <w:rsid w:val="00E56D7C"/>
    <w:rsid w:val="00E60AFC"/>
    <w:rsid w:val="00E611B9"/>
    <w:rsid w:val="00E636CC"/>
    <w:rsid w:val="00E72EA2"/>
    <w:rsid w:val="00E77ADE"/>
    <w:rsid w:val="00E805E0"/>
    <w:rsid w:val="00E832E0"/>
    <w:rsid w:val="00E87D2C"/>
    <w:rsid w:val="00E938FA"/>
    <w:rsid w:val="00E939EC"/>
    <w:rsid w:val="00EA7A21"/>
    <w:rsid w:val="00EB335D"/>
    <w:rsid w:val="00EB3658"/>
    <w:rsid w:val="00EB6D48"/>
    <w:rsid w:val="00EE188F"/>
    <w:rsid w:val="00EE6547"/>
    <w:rsid w:val="00EE7D76"/>
    <w:rsid w:val="00EF318F"/>
    <w:rsid w:val="00EF44DE"/>
    <w:rsid w:val="00F000D3"/>
    <w:rsid w:val="00F00ADA"/>
    <w:rsid w:val="00F01635"/>
    <w:rsid w:val="00F03D8B"/>
    <w:rsid w:val="00F04656"/>
    <w:rsid w:val="00F048B1"/>
    <w:rsid w:val="00F04937"/>
    <w:rsid w:val="00F14391"/>
    <w:rsid w:val="00F14BEF"/>
    <w:rsid w:val="00F153C3"/>
    <w:rsid w:val="00F17121"/>
    <w:rsid w:val="00F25327"/>
    <w:rsid w:val="00F31160"/>
    <w:rsid w:val="00F33B41"/>
    <w:rsid w:val="00F349FA"/>
    <w:rsid w:val="00F41AE9"/>
    <w:rsid w:val="00F420F9"/>
    <w:rsid w:val="00F44CD5"/>
    <w:rsid w:val="00F53101"/>
    <w:rsid w:val="00F55AC7"/>
    <w:rsid w:val="00F66D7F"/>
    <w:rsid w:val="00F719A9"/>
    <w:rsid w:val="00F722DA"/>
    <w:rsid w:val="00F81E2D"/>
    <w:rsid w:val="00F82841"/>
    <w:rsid w:val="00F87F08"/>
    <w:rsid w:val="00F94F0A"/>
    <w:rsid w:val="00FB2B55"/>
    <w:rsid w:val="00FB3282"/>
    <w:rsid w:val="00FB5367"/>
    <w:rsid w:val="00FB6306"/>
    <w:rsid w:val="00FB63BB"/>
    <w:rsid w:val="00FC0735"/>
    <w:rsid w:val="00FC4C3D"/>
    <w:rsid w:val="00FC5680"/>
    <w:rsid w:val="00FC60CA"/>
    <w:rsid w:val="00FC7A5F"/>
    <w:rsid w:val="00FC7AD5"/>
    <w:rsid w:val="00FD0E86"/>
    <w:rsid w:val="00FD1311"/>
    <w:rsid w:val="00FD6A04"/>
    <w:rsid w:val="00FE3C8B"/>
    <w:rsid w:val="00FE4A68"/>
    <w:rsid w:val="00FE4BCD"/>
    <w:rsid w:val="00FF11B2"/>
    <w:rsid w:val="00FF1D97"/>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smartTagType w:name="PersonName" w:namespaceuri="urn:schemas-microsoft-com:office:smarttags"/>
  <w:shapeDefaults>
    <o:shapedefaults spidmax="2050" v:ext="edit"/>
    <o:shapelayout v:ext="edit">
      <o:idmap data="2" v:ext="edit"/>
    </o:shapelayout>
  </w:shapeDefaults>
  <w:decimalSymbol w:val=","/>
  <w:listSeparator w:val=";"/>
  <w14:docId w14:val="6FF7C1E9"/>
  <w15:chartTrackingRefBased/>
  <w15:docId w15:val="{BBD35019-BBD8-4659-96E0-4065F941E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fr-FR" w:val="fr-FR"/>
      </w:rPr>
    </w:rPrDefault>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semiHidden="1" w:unhideWhenUsed="1"/>
    <w:lsdException w:name="heading 4" w:qFormat="1" w:semiHidden="1" w:unhideWhenUsed="1"/>
    <w:lsdException w:name="heading 5" w:qFormat="1" w:semiHidden="1" w:unhideWhenUsed="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caption" w:qFormat="1" w:semiHidden="1" w:unhideWhenUsed="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83E3A"/>
    <w:pPr>
      <w:jc w:val="both"/>
    </w:pPr>
    <w:rPr>
      <w:rFonts w:ascii="Arial" w:cs="Arial" w:hAnsi="Arial"/>
      <w:sz w:val="22"/>
      <w:szCs w:val="24"/>
    </w:rPr>
  </w:style>
  <w:style w:styleId="Titre1" w:type="paragraph">
    <w:name w:val="heading 1"/>
    <w:basedOn w:val="Normal"/>
    <w:next w:val="Normal"/>
    <w:link w:val="Titre1Car"/>
    <w:qFormat/>
    <w:rsid w:val="00417800"/>
    <w:pPr>
      <w:keepNext/>
      <w:spacing w:after="60" w:before="240"/>
      <w:outlineLvl w:val="0"/>
    </w:pPr>
    <w:rPr>
      <w:rFonts w:ascii="Calibri Light" w:cs="Times New Roman" w:hAnsi="Calibri Light"/>
      <w:b/>
      <w:bCs/>
      <w:kern w:val="32"/>
      <w:sz w:val="32"/>
      <w:szCs w:val="32"/>
    </w:rPr>
  </w:style>
  <w:style w:styleId="Titre2" w:type="paragraph">
    <w:name w:val="heading 2"/>
    <w:basedOn w:val="Normal"/>
    <w:next w:val="Normal"/>
    <w:qFormat/>
    <w:rsid w:val="00917639"/>
    <w:pPr>
      <w:keepNext/>
      <w:ind w:left="567"/>
      <w:outlineLvl w:val="1"/>
    </w:pPr>
    <w:rPr>
      <w:b/>
      <w:bCs/>
      <w:sz w:val="20"/>
      <w:szCs w:val="20"/>
    </w:rPr>
  </w:style>
  <w:style w:styleId="Titre3" w:type="paragraph">
    <w:name w:val="heading 3"/>
    <w:basedOn w:val="Normal"/>
    <w:next w:val="Normal"/>
    <w:link w:val="Titre3Car"/>
    <w:semiHidden/>
    <w:unhideWhenUsed/>
    <w:qFormat/>
    <w:rsid w:val="00826B6E"/>
    <w:pPr>
      <w:keepNext/>
      <w:spacing w:after="60" w:before="240"/>
      <w:outlineLvl w:val="2"/>
    </w:pPr>
    <w:rPr>
      <w:rFonts w:ascii="Calibri Light" w:cs="Times New Roman" w:hAnsi="Calibri Light"/>
      <w:b/>
      <w:bCs/>
      <w:sz w:val="26"/>
      <w:szCs w:val="26"/>
    </w:rPr>
  </w:style>
  <w:style w:styleId="Titre4" w:type="paragraph">
    <w:name w:val="heading 4"/>
    <w:basedOn w:val="Normal"/>
    <w:next w:val="Normal"/>
    <w:link w:val="Titre4Car"/>
    <w:semiHidden/>
    <w:unhideWhenUsed/>
    <w:qFormat/>
    <w:rsid w:val="00826B6E"/>
    <w:pPr>
      <w:keepNext/>
      <w:spacing w:after="60" w:before="240"/>
      <w:outlineLvl w:val="3"/>
    </w:pPr>
    <w:rPr>
      <w:rFonts w:ascii="Calibri" w:cs="Times New Roman" w:hAnsi="Calibri"/>
      <w:b/>
      <w:bCs/>
      <w:sz w:val="28"/>
      <w:szCs w:val="28"/>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rsid w:val="00A83E3A"/>
    <w:pPr>
      <w:tabs>
        <w:tab w:pos="4536" w:val="center"/>
        <w:tab w:pos="9072" w:val="right"/>
      </w:tabs>
    </w:pPr>
  </w:style>
  <w:style w:customStyle="1" w:styleId="texte" w:type="paragraph">
    <w:name w:val="texte"/>
    <w:basedOn w:val="Textebrut"/>
    <w:rsid w:val="00A83E3A"/>
    <w:rPr>
      <w:rFonts w:ascii="Arial" w:cs="Arial" w:eastAsia="MS Mincho" w:hAnsi="Arial"/>
      <w:sz w:val="22"/>
    </w:rPr>
  </w:style>
  <w:style w:styleId="Numrodepage" w:type="character">
    <w:name w:val="page number"/>
    <w:basedOn w:val="Policepardfaut"/>
    <w:rsid w:val="00A83E3A"/>
  </w:style>
  <w:style w:styleId="Textebrut" w:type="paragraph">
    <w:name w:val="Plain Text"/>
    <w:basedOn w:val="Normal"/>
    <w:rsid w:val="00A83E3A"/>
    <w:rPr>
      <w:rFonts w:ascii="Courier New" w:cs="Courier New" w:hAnsi="Courier New"/>
      <w:sz w:val="20"/>
      <w:szCs w:val="20"/>
    </w:rPr>
  </w:style>
  <w:style w:styleId="Lienhypertexte" w:type="character">
    <w:name w:val="Hyperlink"/>
    <w:rsid w:val="00CE5658"/>
    <w:rPr>
      <w:color w:val="0000FF"/>
      <w:u w:val="single"/>
    </w:rPr>
  </w:style>
  <w:style w:styleId="Corpsdetexte" w:type="paragraph">
    <w:name w:val="Body Text"/>
    <w:basedOn w:val="Normal"/>
    <w:rsid w:val="00917639"/>
    <w:pPr>
      <w:jc w:val="left"/>
    </w:pPr>
    <w:rPr>
      <w:szCs w:val="22"/>
    </w:rPr>
  </w:style>
  <w:style w:styleId="Retraitcorpsdetexte3" w:type="paragraph">
    <w:name w:val="Body Text Indent 3"/>
    <w:basedOn w:val="Normal"/>
    <w:rsid w:val="00917639"/>
    <w:pPr>
      <w:tabs>
        <w:tab w:pos="851" w:val="left"/>
      </w:tabs>
      <w:ind w:left="567"/>
    </w:pPr>
    <w:rPr>
      <w:szCs w:val="22"/>
    </w:rPr>
  </w:style>
  <w:style w:styleId="Corpsdetexte3" w:type="paragraph">
    <w:name w:val="Body Text 3"/>
    <w:basedOn w:val="Normal"/>
    <w:rsid w:val="00917639"/>
    <w:rPr>
      <w:b/>
      <w:bCs/>
      <w:szCs w:val="22"/>
    </w:rPr>
  </w:style>
  <w:style w:styleId="Textedebulles" w:type="paragraph">
    <w:name w:val="Balloon Text"/>
    <w:basedOn w:val="Normal"/>
    <w:semiHidden/>
    <w:rsid w:val="009B6E2D"/>
    <w:rPr>
      <w:rFonts w:ascii="Tahoma" w:cs="Tahoma" w:hAnsi="Tahoma"/>
      <w:sz w:val="16"/>
      <w:szCs w:val="16"/>
    </w:rPr>
  </w:style>
  <w:style w:styleId="Pieddepage" w:type="paragraph">
    <w:name w:val="footer"/>
    <w:basedOn w:val="Normal"/>
    <w:rsid w:val="009B6E2D"/>
    <w:pPr>
      <w:tabs>
        <w:tab w:pos="4536" w:val="center"/>
        <w:tab w:pos="9072" w:val="right"/>
      </w:tabs>
    </w:pPr>
  </w:style>
  <w:style w:styleId="Paragraphedeliste" w:type="paragraph">
    <w:name w:val="List Paragraph"/>
    <w:basedOn w:val="Normal"/>
    <w:uiPriority w:val="34"/>
    <w:qFormat/>
    <w:rsid w:val="00581E01"/>
    <w:pPr>
      <w:ind w:left="720"/>
      <w:contextualSpacing/>
      <w:jc w:val="left"/>
    </w:pPr>
    <w:rPr>
      <w:rFonts w:ascii="Times New Roman" w:cs="Times New Roman" w:hAnsi="Times New Roman"/>
      <w:sz w:val="24"/>
    </w:rPr>
  </w:style>
  <w:style w:styleId="Grilledutableau" w:type="table">
    <w:name w:val="Table Grid"/>
    <w:basedOn w:val="TableauNormal"/>
    <w:uiPriority w:val="59"/>
    <w:rsid w:val="001352D3"/>
    <w:pPr>
      <w:widowControl w:val="0"/>
    </w:pPr>
    <w:rPr>
      <w:rFonts w:ascii="Calibri" w:eastAsia="Calibri" w:hAnsi="Calibri"/>
      <w:sz w:val="22"/>
      <w:szCs w:val="22"/>
      <w:lang w:eastAsia="en-US"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itre3Car" w:type="character">
    <w:name w:val="Titre 3 Car"/>
    <w:link w:val="Titre3"/>
    <w:semiHidden/>
    <w:rsid w:val="00826B6E"/>
    <w:rPr>
      <w:rFonts w:ascii="Calibri Light" w:cs="Times New Roman" w:eastAsia="Times New Roman" w:hAnsi="Calibri Light"/>
      <w:b/>
      <w:bCs/>
      <w:sz w:val="26"/>
      <w:szCs w:val="26"/>
    </w:rPr>
  </w:style>
  <w:style w:customStyle="1" w:styleId="Titre4Car" w:type="character">
    <w:name w:val="Titre 4 Car"/>
    <w:link w:val="Titre4"/>
    <w:semiHidden/>
    <w:rsid w:val="00826B6E"/>
    <w:rPr>
      <w:rFonts w:ascii="Calibri" w:cs="Times New Roman" w:eastAsia="Times New Roman" w:hAnsi="Calibri"/>
      <w:b/>
      <w:bCs/>
      <w:sz w:val="28"/>
      <w:szCs w:val="28"/>
    </w:rPr>
  </w:style>
  <w:style w:customStyle="1" w:styleId="e24kjd" w:type="character">
    <w:name w:val="e24kjd"/>
    <w:rsid w:val="00534075"/>
  </w:style>
  <w:style w:customStyle="1" w:styleId="kx21rb" w:type="character">
    <w:name w:val="kx21rb"/>
    <w:rsid w:val="00534075"/>
  </w:style>
  <w:style w:styleId="Marquedecommentaire" w:type="character">
    <w:name w:val="annotation reference"/>
    <w:rsid w:val="00B665DB"/>
    <w:rPr>
      <w:sz w:val="16"/>
      <w:szCs w:val="16"/>
    </w:rPr>
  </w:style>
  <w:style w:styleId="Commentaire" w:type="paragraph">
    <w:name w:val="annotation text"/>
    <w:basedOn w:val="Normal"/>
    <w:link w:val="CommentaireCar"/>
    <w:rsid w:val="00B665DB"/>
    <w:rPr>
      <w:sz w:val="20"/>
      <w:szCs w:val="20"/>
    </w:rPr>
  </w:style>
  <w:style w:customStyle="1" w:styleId="CommentaireCar" w:type="character">
    <w:name w:val="Commentaire Car"/>
    <w:link w:val="Commentaire"/>
    <w:rsid w:val="00B665DB"/>
    <w:rPr>
      <w:rFonts w:ascii="Arial" w:cs="Arial" w:hAnsi="Arial"/>
    </w:rPr>
  </w:style>
  <w:style w:styleId="Objetducommentaire" w:type="paragraph">
    <w:name w:val="annotation subject"/>
    <w:basedOn w:val="Commentaire"/>
    <w:next w:val="Commentaire"/>
    <w:link w:val="ObjetducommentaireCar"/>
    <w:rsid w:val="00B665DB"/>
    <w:rPr>
      <w:b/>
      <w:bCs/>
    </w:rPr>
  </w:style>
  <w:style w:customStyle="1" w:styleId="ObjetducommentaireCar" w:type="character">
    <w:name w:val="Objet du commentaire Car"/>
    <w:link w:val="Objetducommentaire"/>
    <w:rsid w:val="00B665DB"/>
    <w:rPr>
      <w:rFonts w:ascii="Arial" w:cs="Arial" w:hAnsi="Arial"/>
      <w:b/>
      <w:bCs/>
    </w:rPr>
  </w:style>
  <w:style w:styleId="NormalWeb" w:type="paragraph">
    <w:name w:val="Normal (Web)"/>
    <w:basedOn w:val="Normal"/>
    <w:uiPriority w:val="99"/>
    <w:unhideWhenUsed/>
    <w:rsid w:val="00B665DB"/>
    <w:pPr>
      <w:spacing w:after="100" w:afterAutospacing="1" w:before="100" w:beforeAutospacing="1"/>
      <w:jc w:val="left"/>
    </w:pPr>
    <w:rPr>
      <w:rFonts w:ascii="Times New Roman" w:cs="Times New Roman" w:hAnsi="Times New Roman"/>
      <w:sz w:val="24"/>
    </w:rPr>
  </w:style>
  <w:style w:customStyle="1" w:styleId="txtbold" w:type="character">
    <w:name w:val="txtbold"/>
    <w:basedOn w:val="Policepardfaut"/>
    <w:rsid w:val="00E611B9"/>
  </w:style>
  <w:style w:styleId="Mentionnonrsolue" w:type="character">
    <w:name w:val="Unresolved Mention"/>
    <w:uiPriority w:val="99"/>
    <w:semiHidden/>
    <w:unhideWhenUsed/>
    <w:rsid w:val="002A46A0"/>
    <w:rPr>
      <w:color w:val="605E5C"/>
      <w:shd w:color="auto" w:fill="E1DFDD" w:val="clear"/>
    </w:rPr>
  </w:style>
  <w:style w:styleId="Lienhypertextesuivivisit" w:type="character">
    <w:name w:val="FollowedHyperlink"/>
    <w:rsid w:val="002A46A0"/>
    <w:rPr>
      <w:color w:val="954F72"/>
      <w:u w:val="single"/>
    </w:rPr>
  </w:style>
  <w:style w:customStyle="1" w:styleId="Titre1Car" w:type="character">
    <w:name w:val="Titre 1 Car"/>
    <w:link w:val="Titre1"/>
    <w:rsid w:val="00417800"/>
    <w:rPr>
      <w:rFonts w:ascii="Calibri Light" w:cs="Times New Roman" w:eastAsia="Times New Roman" w:hAnsi="Calibri Light"/>
      <w:b/>
      <w:bCs/>
      <w:kern w:val="32"/>
      <w:sz w:val="32"/>
      <w:szCs w:val="32"/>
    </w:rPr>
  </w:style>
  <w:style w:customStyle="1" w:styleId="Adresse" w:type="paragraph">
    <w:name w:val="Adresse"/>
    <w:uiPriority w:val="99"/>
    <w:rsid w:val="007E1A56"/>
    <w:pPr>
      <w:ind w:left="5103"/>
    </w:pPr>
    <w:rPr>
      <w:rFonts w:ascii="Arial" w:cs="Arial" w:hAnsi="Arial"/>
      <w:sz w:val="24"/>
      <w:szCs w:val="24"/>
    </w:rPr>
  </w:style>
  <w:style w:customStyle="1" w:styleId="Aucunstyle" w:type="paragraph">
    <w:name w:val="[Aucun style]"/>
    <w:rsid w:val="007E1A56"/>
    <w:pPr>
      <w:autoSpaceDE w:val="0"/>
      <w:autoSpaceDN w:val="0"/>
      <w:adjustRightInd w:val="0"/>
      <w:spacing w:line="288" w:lineRule="auto"/>
      <w:textAlignment w:val="center"/>
    </w:pPr>
    <w:rPr>
      <w:rFonts w:ascii="Times Regular" w:cs="Times Regular" w:eastAsia="Calibri" w:hAnsi="Times Regular"/>
      <w:color w:val="000000"/>
      <w:sz w:val="24"/>
      <w:szCs w:val="24"/>
      <w:lang w:eastAsia="en-US"/>
    </w:rPr>
  </w:style>
  <w:style w:styleId="Rvision" w:type="paragraph">
    <w:name w:val="Revision"/>
    <w:hidden/>
    <w:uiPriority w:val="99"/>
    <w:semiHidden/>
    <w:rsid w:val="00600A21"/>
    <w:rPr>
      <w:rFonts w:ascii="Arial" w:cs="Arial" w:hAnsi="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43527">
      <w:bodyDiv w:val="1"/>
      <w:marLeft w:val="0"/>
      <w:marRight w:val="0"/>
      <w:marTop w:val="0"/>
      <w:marBottom w:val="0"/>
      <w:divBdr>
        <w:top w:val="none" w:sz="0" w:space="0" w:color="auto"/>
        <w:left w:val="none" w:sz="0" w:space="0" w:color="auto"/>
        <w:bottom w:val="none" w:sz="0" w:space="0" w:color="auto"/>
        <w:right w:val="none" w:sz="0" w:space="0" w:color="auto"/>
      </w:divBdr>
    </w:div>
    <w:div w:id="588513802">
      <w:bodyDiv w:val="1"/>
      <w:marLeft w:val="0"/>
      <w:marRight w:val="0"/>
      <w:marTop w:val="0"/>
      <w:marBottom w:val="0"/>
      <w:divBdr>
        <w:top w:val="none" w:sz="0" w:space="0" w:color="auto"/>
        <w:left w:val="none" w:sz="0" w:space="0" w:color="auto"/>
        <w:bottom w:val="none" w:sz="0" w:space="0" w:color="auto"/>
        <w:right w:val="none" w:sz="0" w:space="0" w:color="auto"/>
      </w:divBdr>
      <w:divsChild>
        <w:div w:id="1613588239">
          <w:marLeft w:val="547"/>
          <w:marRight w:val="0"/>
          <w:marTop w:val="0"/>
          <w:marBottom w:val="0"/>
          <w:divBdr>
            <w:top w:val="none" w:sz="0" w:space="0" w:color="auto"/>
            <w:left w:val="none" w:sz="0" w:space="0" w:color="auto"/>
            <w:bottom w:val="none" w:sz="0" w:space="0" w:color="auto"/>
            <w:right w:val="none" w:sz="0" w:space="0" w:color="auto"/>
          </w:divBdr>
        </w:div>
        <w:div w:id="788939311">
          <w:marLeft w:val="1166"/>
          <w:marRight w:val="0"/>
          <w:marTop w:val="0"/>
          <w:marBottom w:val="0"/>
          <w:divBdr>
            <w:top w:val="none" w:sz="0" w:space="0" w:color="auto"/>
            <w:left w:val="none" w:sz="0" w:space="0" w:color="auto"/>
            <w:bottom w:val="none" w:sz="0" w:space="0" w:color="auto"/>
            <w:right w:val="none" w:sz="0" w:space="0" w:color="auto"/>
          </w:divBdr>
        </w:div>
        <w:div w:id="532153335">
          <w:marLeft w:val="1166"/>
          <w:marRight w:val="0"/>
          <w:marTop w:val="0"/>
          <w:marBottom w:val="0"/>
          <w:divBdr>
            <w:top w:val="none" w:sz="0" w:space="0" w:color="auto"/>
            <w:left w:val="none" w:sz="0" w:space="0" w:color="auto"/>
            <w:bottom w:val="none" w:sz="0" w:space="0" w:color="auto"/>
            <w:right w:val="none" w:sz="0" w:space="0" w:color="auto"/>
          </w:divBdr>
        </w:div>
      </w:divsChild>
    </w:div>
    <w:div w:id="857281840">
      <w:bodyDiv w:val="1"/>
      <w:marLeft w:val="0"/>
      <w:marRight w:val="0"/>
      <w:marTop w:val="0"/>
      <w:marBottom w:val="0"/>
      <w:divBdr>
        <w:top w:val="none" w:sz="0" w:space="0" w:color="auto"/>
        <w:left w:val="none" w:sz="0" w:space="0" w:color="auto"/>
        <w:bottom w:val="none" w:sz="0" w:space="0" w:color="auto"/>
        <w:right w:val="none" w:sz="0" w:space="0" w:color="auto"/>
      </w:divBdr>
    </w:div>
    <w:div w:id="1241332564">
      <w:bodyDiv w:val="1"/>
      <w:marLeft w:val="0"/>
      <w:marRight w:val="0"/>
      <w:marTop w:val="0"/>
      <w:marBottom w:val="0"/>
      <w:divBdr>
        <w:top w:val="none" w:sz="0" w:space="0" w:color="auto"/>
        <w:left w:val="none" w:sz="0" w:space="0" w:color="auto"/>
        <w:bottom w:val="none" w:sz="0" w:space="0" w:color="auto"/>
        <w:right w:val="none" w:sz="0" w:space="0" w:color="auto"/>
      </w:divBdr>
      <w:divsChild>
        <w:div w:id="1229075555">
          <w:marLeft w:val="547"/>
          <w:marRight w:val="0"/>
          <w:marTop w:val="0"/>
          <w:marBottom w:val="0"/>
          <w:divBdr>
            <w:top w:val="none" w:sz="0" w:space="0" w:color="auto"/>
            <w:left w:val="none" w:sz="0" w:space="0" w:color="auto"/>
            <w:bottom w:val="none" w:sz="0" w:space="0" w:color="auto"/>
            <w:right w:val="none" w:sz="0" w:space="0" w:color="auto"/>
          </w:divBdr>
        </w:div>
      </w:divsChild>
    </w:div>
    <w:div w:id="1422677112">
      <w:bodyDiv w:val="1"/>
      <w:marLeft w:val="0"/>
      <w:marRight w:val="0"/>
      <w:marTop w:val="0"/>
      <w:marBottom w:val="0"/>
      <w:divBdr>
        <w:top w:val="none" w:sz="0" w:space="0" w:color="auto"/>
        <w:left w:val="none" w:sz="0" w:space="0" w:color="auto"/>
        <w:bottom w:val="none" w:sz="0" w:space="0" w:color="auto"/>
        <w:right w:val="none" w:sz="0" w:space="0" w:color="auto"/>
      </w:divBdr>
    </w:div>
    <w:div w:id="1532568373">
      <w:bodyDiv w:val="1"/>
      <w:marLeft w:val="0"/>
      <w:marRight w:val="0"/>
      <w:marTop w:val="0"/>
      <w:marBottom w:val="0"/>
      <w:divBdr>
        <w:top w:val="none" w:sz="0" w:space="0" w:color="auto"/>
        <w:left w:val="none" w:sz="0" w:space="0" w:color="auto"/>
        <w:bottom w:val="none" w:sz="0" w:space="0" w:color="auto"/>
        <w:right w:val="none" w:sz="0" w:space="0" w:color="auto"/>
      </w:divBdr>
      <w:divsChild>
        <w:div w:id="995375843">
          <w:marLeft w:val="547"/>
          <w:marRight w:val="0"/>
          <w:marTop w:val="0"/>
          <w:marBottom w:val="0"/>
          <w:divBdr>
            <w:top w:val="none" w:sz="0" w:space="0" w:color="auto"/>
            <w:left w:val="none" w:sz="0" w:space="0" w:color="auto"/>
            <w:bottom w:val="none" w:sz="0" w:space="0" w:color="auto"/>
            <w:right w:val="none" w:sz="0" w:space="0" w:color="auto"/>
          </w:divBdr>
        </w:div>
        <w:div w:id="1043674106">
          <w:marLeft w:val="1166"/>
          <w:marRight w:val="0"/>
          <w:marTop w:val="0"/>
          <w:marBottom w:val="0"/>
          <w:divBdr>
            <w:top w:val="none" w:sz="0" w:space="0" w:color="auto"/>
            <w:left w:val="none" w:sz="0" w:space="0" w:color="auto"/>
            <w:bottom w:val="none" w:sz="0" w:space="0" w:color="auto"/>
            <w:right w:val="none" w:sz="0" w:space="0" w:color="auto"/>
          </w:divBdr>
        </w:div>
        <w:div w:id="58359094">
          <w:marLeft w:val="1166"/>
          <w:marRight w:val="0"/>
          <w:marTop w:val="0"/>
          <w:marBottom w:val="0"/>
          <w:divBdr>
            <w:top w:val="none" w:sz="0" w:space="0" w:color="auto"/>
            <w:left w:val="none" w:sz="0" w:space="0" w:color="auto"/>
            <w:bottom w:val="none" w:sz="0" w:space="0" w:color="auto"/>
            <w:right w:val="none" w:sz="0" w:space="0" w:color="auto"/>
          </w:divBdr>
        </w:div>
        <w:div w:id="210864717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notes.xml" Type="http://schemas.openxmlformats.org/officeDocument/2006/relationships/footnotes"/><Relationship Id="rId11" Target="endnotes.xml" Type="http://schemas.openxmlformats.org/officeDocument/2006/relationships/endnotes"/><Relationship Id="rId12" Target="header1.xml" Type="http://schemas.openxmlformats.org/officeDocument/2006/relationships/header"/><Relationship Id="rId13" Target="header2.xml" Type="http://schemas.openxmlformats.org/officeDocument/2006/relationships/header"/><Relationship Id="rId14" Target="footer1.xml" Type="http://schemas.openxmlformats.org/officeDocument/2006/relationships/footer"/><Relationship Id="rId15" Target="footer2.xml" Type="http://schemas.openxmlformats.org/officeDocument/2006/relationships/footer"/><Relationship Id="rId16" Target="header3.xml" Type="http://schemas.openxmlformats.org/officeDocument/2006/relationships/header"/><Relationship Id="rId17" Target="footer3.xml" Type="http://schemas.openxmlformats.org/officeDocument/2006/relationships/footer"/><Relationship Id="rId18" Target="fontTable.xml" Type="http://schemas.openxmlformats.org/officeDocument/2006/relationships/fontTable"/><Relationship Id="rId19" Target="theme/theme1.xml" Type="http://schemas.openxmlformats.org/officeDocument/2006/relationships/theme"/><Relationship Id="rId2" Target="../customXml/item2.xml" Type="http://schemas.openxmlformats.org/officeDocument/2006/relationships/customXml"/><Relationship Id="rId3" Target="../customXml/item3.xml" Type="http://schemas.openxmlformats.org/officeDocument/2006/relationships/customXml"/><Relationship Id="rId4" Target="../customXml/item4.xml" Type="http://schemas.openxmlformats.org/officeDocument/2006/relationships/customXml"/><Relationship Id="rId5" Target="../customXml/item5.xml" Type="http://schemas.openxmlformats.org/officeDocument/2006/relationships/customXml"/><Relationship Id="rId6" Target="numbering.xml" Type="http://schemas.openxmlformats.org/officeDocument/2006/relationships/numbering"/><Relationship Id="rId7" Target="styles.xml" Type="http://schemas.openxmlformats.org/officeDocument/2006/relationships/styles"/><Relationship Id="rId8" Target="settings.xml" Type="http://schemas.openxmlformats.org/officeDocument/2006/relationships/settings"/><Relationship Id="rId9" Target="webSettings.xml" Type="http://schemas.openxmlformats.org/officeDocument/2006/relationships/webSettings"/></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_rels/item5.xml.rels><?xml version="1.0" encoding="UTF-8" standalone="no"?><Relationships xmlns="http://schemas.openxmlformats.org/package/2006/relationships"><Relationship Id="rId1" Target="itemProps5.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b1b820adfd3e4a078472514c1a5cb5ff xmlns="87037488-ec5d-4aba-84c2-9b1d22638e8e">
      <Terms xmlns="http://schemas.microsoft.com/office/infopath/2007/PartnerControls"/>
    </b1b820adfd3e4a078472514c1a5cb5ff>
    <TaxCatchAll xmlns="87037488-ec5d-4aba-84c2-9b1d22638e8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A21BD50028D2243A71299E9C6756FA5" ma:contentTypeVersion="13" ma:contentTypeDescription="Create a new document." ma:contentTypeScope="" ma:versionID="d8b88808e6ff61475b380d3696ac7393">
  <xsd:schema xmlns:xsd="http://www.w3.org/2001/XMLSchema" xmlns:xs="http://www.w3.org/2001/XMLSchema" xmlns:p="http://schemas.microsoft.com/office/2006/metadata/properties" xmlns:ns3="87037488-ec5d-4aba-84c2-9b1d22638e8e" xmlns:ns4="1059e9b3-e546-431c-9b2d-8e528a859fdd" xmlns:ns5="4b2fe8df-a676-4adf-8fbf-07525a6185b0" targetNamespace="http://schemas.microsoft.com/office/2006/metadata/properties" ma:root="true" ma:fieldsID="d39d160687f71e3d978ed1aaed62ac15" ns3:_="" ns4:_="" ns5:_="">
    <xsd:import namespace="87037488-ec5d-4aba-84c2-9b1d22638e8e"/>
    <xsd:import namespace="1059e9b3-e546-431c-9b2d-8e528a859fdd"/>
    <xsd:import namespace="4b2fe8df-a676-4adf-8fbf-07525a6185b0"/>
    <xsd:element name="properties">
      <xsd:complexType>
        <xsd:sequence>
          <xsd:element name="documentManagement">
            <xsd:complexType>
              <xsd:all>
                <xsd:element ref="ns3:b1b820adfd3e4a078472514c1a5cb5ff" minOccurs="0"/>
                <xsd:element ref="ns3:TaxCatchAll" minOccurs="0"/>
                <xsd:element ref="ns3:TaxCatchAllLabel"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element ref="ns5:SharedWithUsers" minOccurs="0"/>
                <xsd:element ref="ns5:SharedWithDetails" minOccurs="0"/>
                <xsd:element ref="ns5:SharingHintHash"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037488-ec5d-4aba-84c2-9b1d22638e8e" elementFormDefault="qualified">
    <xsd:import namespace="http://schemas.microsoft.com/office/2006/documentManagement/types"/>
    <xsd:import namespace="http://schemas.microsoft.com/office/infopath/2007/PartnerControls"/>
    <xsd:element name="b1b820adfd3e4a078472514c1a5cb5ff" ma:index="8" nillable="true" ma:taxonomy="true" ma:internalName="b1b820adfd3e4a078472514c1a5cb5ff" ma:taxonomyFieldName="Security_x0020_Classification" ma:displayName="Security Classification" ma:default="" ma:fieldId="{b1b820ad-fd3e-4a07-8472-514c1a5cb5ff}" ma:sspId="3bf472f7-a010-4b5a-bb99-a26ed4c99680" ma:termSetId="0c0ba91f-ee81-4a79-83f6-c19eebf2f16f"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a3161948-976a-4bb3-8c95-a5fcadf914f6}" ma:internalName="TaxCatchAll" ma:showField="CatchAllData" ma:web="4b2fe8df-a676-4adf-8fbf-07525a6185b0">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a3161948-976a-4bb3-8c95-a5fcadf914f6}" ma:internalName="TaxCatchAllLabel" ma:readOnly="true" ma:showField="CatchAllDataLabel" ma:web="4b2fe8df-a676-4adf-8fbf-07525a6185b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059e9b3-e546-431c-9b2d-8e528a859fdd" elementFormDefault="qualified">
    <xsd:import namespace="http://schemas.microsoft.com/office/2006/documentManagement/types"/>
    <xsd:import namespace="http://schemas.microsoft.com/office/infopath/2007/PartnerControls"/>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MediaServiceLocation" ma:internalName="MediaServiceLocation" ma:readOnly="true">
      <xsd:simpleType>
        <xsd:restriction base="dms:Text"/>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2fe8df-a676-4adf-8fbf-07525a6185b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haredContentType xmlns="Microsoft.SharePoint.Taxonomy.ContentTypeSync" SourceId="3bf472f7-a010-4b5a-bb99-a26ed4c99680" ContentTypeId="0x0101" PreviousValue="false"/>
</file>

<file path=customXml/itemProps1.xml><?xml version="1.0" encoding="utf-8"?>
<ds:datastoreItem xmlns:ds="http://schemas.openxmlformats.org/officeDocument/2006/customXml" ds:itemID="{0CE2441C-35C2-414A-97F8-659FC339C3BF}">
  <ds:schemaRefs>
    <ds:schemaRef ds:uri="http://schemas.openxmlformats.org/officeDocument/2006/bibliography"/>
  </ds:schemaRefs>
</ds:datastoreItem>
</file>

<file path=customXml/itemProps2.xml><?xml version="1.0" encoding="utf-8"?>
<ds:datastoreItem xmlns:ds="http://schemas.openxmlformats.org/officeDocument/2006/customXml" ds:itemID="{DC4A1F45-1F9B-42A2-ADE8-1D2227A9227E}">
  <ds:schemaRefs>
    <ds:schemaRef ds:uri="http://schemas.microsoft.com/office/2006/metadata/properties"/>
    <ds:schemaRef ds:uri="http://schemas.microsoft.com/office/infopath/2007/PartnerControls"/>
    <ds:schemaRef ds:uri="87037488-ec5d-4aba-84c2-9b1d22638e8e"/>
  </ds:schemaRefs>
</ds:datastoreItem>
</file>

<file path=customXml/itemProps3.xml><?xml version="1.0" encoding="utf-8"?>
<ds:datastoreItem xmlns:ds="http://schemas.openxmlformats.org/officeDocument/2006/customXml" ds:itemID="{4D2A6F22-E6AA-4CD2-8BF0-B39CEBE299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037488-ec5d-4aba-84c2-9b1d22638e8e"/>
    <ds:schemaRef ds:uri="1059e9b3-e546-431c-9b2d-8e528a859fdd"/>
    <ds:schemaRef ds:uri="4b2fe8df-a676-4adf-8fbf-07525a6185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A633689-F8C7-4A1C-A08D-75C95F0729E8}">
  <ds:schemaRefs>
    <ds:schemaRef ds:uri="http://schemas.microsoft.com/sharepoint/v3/contenttype/forms"/>
  </ds:schemaRefs>
</ds:datastoreItem>
</file>

<file path=customXml/itemProps5.xml><?xml version="1.0" encoding="utf-8"?>
<ds:datastoreItem xmlns:ds="http://schemas.openxmlformats.org/officeDocument/2006/customXml" ds:itemID="{8AB630E9-BB9A-4F32-BA1E-C8F02889EC54}">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2969</Words>
  <Characters>15972</Characters>
  <Application>Microsoft Office Word</Application>
  <DocSecurity>0</DocSecurity>
  <Lines>133</Lines>
  <Paragraphs>37</Paragraphs>
  <ScaleCrop>false</ScaleCrop>
  <HeadingPairs>
    <vt:vector baseType="variant" size="2">
      <vt:variant>
        <vt:lpstr>Titre</vt:lpstr>
      </vt:variant>
      <vt:variant>
        <vt:i4>1</vt:i4>
      </vt:variant>
    </vt:vector>
  </HeadingPairs>
  <TitlesOfParts>
    <vt:vector baseType="lpstr" size="1">
      <vt:lpstr>Entre :</vt:lpstr>
    </vt:vector>
  </TitlesOfParts>
  <Company>INEO</Company>
  <LinksUpToDate>false</LinksUpToDate>
  <CharactersWithSpaces>18904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2022-05-18T12:37:00Z</dcterms:created>
  <cp:lastPrinted>2022-01-17T10:28:00Z</cp:lastPrinted>
  <dcterms:modified xsi:type="dcterms:W3CDTF">2022-05-18T12:40:00Z</dcterms:modified>
  <cp:revision>3</cp:revision>
  <dc:title>Entre :</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ContentTypeId" pid="2">
    <vt:lpwstr>0x0101000A21BD50028D2243A71299E9C6756FA5</vt:lpwstr>
  </property>
  <property fmtid="{D5CDD505-2E9C-101B-9397-08002B2CF9AE}" name="MSIP_Label_c135c4ba-2280-41f8-be7d-6f21d368baa3_Enabled" pid="3">
    <vt:lpwstr>true</vt:lpwstr>
  </property>
  <property fmtid="{D5CDD505-2E9C-101B-9397-08002B2CF9AE}" name="MSIP_Label_c135c4ba-2280-41f8-be7d-6f21d368baa3_SetDate" pid="4">
    <vt:lpwstr>2021-10-26T12:51:26Z</vt:lpwstr>
  </property>
  <property fmtid="{D5CDD505-2E9C-101B-9397-08002B2CF9AE}" name="MSIP_Label_c135c4ba-2280-41f8-be7d-6f21d368baa3_Method" pid="5">
    <vt:lpwstr>Standard</vt:lpwstr>
  </property>
  <property fmtid="{D5CDD505-2E9C-101B-9397-08002B2CF9AE}" name="MSIP_Label_c135c4ba-2280-41f8-be7d-6f21d368baa3_Name" pid="6">
    <vt:lpwstr>c135c4ba-2280-41f8-be7d-6f21d368baa3</vt:lpwstr>
  </property>
  <property fmtid="{D5CDD505-2E9C-101B-9397-08002B2CF9AE}" name="MSIP_Label_c135c4ba-2280-41f8-be7d-6f21d368baa3_SiteId" pid="7">
    <vt:lpwstr>24139d14-c62c-4c47-8bdd-ce71ea1d50cf</vt:lpwstr>
  </property>
  <property fmtid="{D5CDD505-2E9C-101B-9397-08002B2CF9AE}" name="MSIP_Label_c135c4ba-2280-41f8-be7d-6f21d368baa3_ActionId" pid="8">
    <vt:lpwstr>d7d144cf-1fe0-4e93-9d30-782a6f845b7b</vt:lpwstr>
  </property>
  <property fmtid="{D5CDD505-2E9C-101B-9397-08002B2CF9AE}" name="MSIP_Label_c135c4ba-2280-41f8-be7d-6f21d368baa3_ContentBits" pid="9">
    <vt:lpwstr>0</vt:lpwstr>
  </property>
</Properties>
</file>