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CC27418" w14:textId="7DA88158" w:rsidP="005E4769" w:rsidR="005E4769" w:rsidRDefault="000C1CED" w:rsidRPr="00F73668">
      <w:pPr>
        <w:rPr>
          <w:sz w:val="16"/>
          <w:szCs w:val="16"/>
        </w:rPr>
      </w:pPr>
      <w:r>
        <w:rPr>
          <w:sz w:val="16"/>
          <w:szCs w:val="16"/>
        </w:rPr>
        <w:t>FD</w:t>
      </w:r>
      <w:r w:rsidR="009564BD">
        <w:rPr>
          <w:sz w:val="16"/>
          <w:szCs w:val="16"/>
        </w:rPr>
        <w:t xml:space="preserve"> / DR</w:t>
      </w:r>
    </w:p>
    <w:p w14:paraId="7AEC9E59" w14:textId="77777777" w:rsidP="005E4769" w:rsidR="005E4769" w:rsidRDefault="005E4769"/>
    <w:p w14:paraId="6283B03F" w14:textId="77777777" w:rsidP="005E4769" w:rsidR="005E4769" w:rsidRDefault="005E4769"/>
    <w:p w14:paraId="710D3AB9" w14:textId="77777777" w:rsidP="005E4769" w:rsidR="005E4769" w:rsidRDefault="005E476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</w:pPr>
    </w:p>
    <w:p w14:paraId="2392C33F" w14:textId="3100861D" w:rsidP="005E4769" w:rsidR="005E4769" w:rsidRDefault="005E4769" w:rsidRPr="001B777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44"/>
          <w:szCs w:val="44"/>
        </w:rPr>
      </w:pPr>
      <w:r w:rsidRPr="001B7777">
        <w:rPr>
          <w:b/>
          <w:sz w:val="44"/>
          <w:szCs w:val="44"/>
        </w:rPr>
        <w:t xml:space="preserve">Protocole d’accord salarial </w:t>
      </w:r>
      <w:r w:rsidR="009564BD">
        <w:rPr>
          <w:b/>
          <w:sz w:val="44"/>
          <w:szCs w:val="44"/>
        </w:rPr>
        <w:t>202</w:t>
      </w:r>
      <w:r w:rsidR="000C1CED">
        <w:rPr>
          <w:b/>
          <w:sz w:val="44"/>
          <w:szCs w:val="44"/>
        </w:rPr>
        <w:t>3</w:t>
      </w:r>
    </w:p>
    <w:p w14:paraId="5058FB10" w14:textId="77777777" w:rsidP="005E4769" w:rsidR="005E4769" w:rsidRDefault="005E476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20"/>
        </w:rPr>
      </w:pPr>
    </w:p>
    <w:p w14:paraId="00A470FA" w14:textId="77777777" w:rsidP="005E4769" w:rsidR="005E4769" w:rsidRDefault="005E4769" w:rsidRPr="00154070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36"/>
          <w:szCs w:val="44"/>
        </w:rPr>
      </w:pPr>
      <w:r w:rsidRPr="00154070">
        <w:rPr>
          <w:b/>
          <w:sz w:val="36"/>
          <w:szCs w:val="44"/>
        </w:rPr>
        <w:t xml:space="preserve">AGC </w:t>
      </w:r>
      <w:r>
        <w:rPr>
          <w:b/>
          <w:sz w:val="36"/>
          <w:szCs w:val="44"/>
        </w:rPr>
        <w:t>Automotive</w:t>
      </w:r>
      <w:r w:rsidRPr="00154070">
        <w:rPr>
          <w:b/>
          <w:sz w:val="36"/>
          <w:szCs w:val="44"/>
        </w:rPr>
        <w:t xml:space="preserve"> France SAS</w:t>
      </w:r>
    </w:p>
    <w:p w14:paraId="3F8EEA55" w14:textId="77777777" w:rsidP="005E4769" w:rsidR="005E4769" w:rsidRDefault="005E4769" w:rsidRPr="001B777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20"/>
        </w:rPr>
      </w:pPr>
    </w:p>
    <w:p w14:paraId="68C08B9B" w14:textId="77777777" w:rsidP="005E4769" w:rsidR="005E4769" w:rsidRDefault="005E4769" w:rsidRPr="001B777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36"/>
          <w:szCs w:val="36"/>
        </w:rPr>
      </w:pPr>
      <w:r>
        <w:rPr>
          <w:sz w:val="28"/>
          <w:szCs w:val="28"/>
        </w:rPr>
        <w:t xml:space="preserve">- </w:t>
      </w:r>
      <w:r w:rsidRPr="001B7777">
        <w:rPr>
          <w:sz w:val="28"/>
          <w:szCs w:val="28"/>
        </w:rPr>
        <w:t>Ensemble du Personnel Cadre et Non Cadre</w:t>
      </w:r>
      <w:r>
        <w:rPr>
          <w:sz w:val="28"/>
          <w:szCs w:val="28"/>
        </w:rPr>
        <w:t xml:space="preserve"> -</w:t>
      </w:r>
    </w:p>
    <w:p w14:paraId="3DB89E9D" w14:textId="77777777" w:rsidP="005E4769" w:rsidR="005E4769" w:rsidRDefault="005E476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</w:pPr>
    </w:p>
    <w:p w14:paraId="7FD26CFA" w14:textId="77777777" w:rsidP="005E4769" w:rsidR="005E4769" w:rsidRDefault="005E4769">
      <w:pPr>
        <w:jc w:val="both"/>
      </w:pPr>
    </w:p>
    <w:p w14:paraId="46ABBA84" w14:textId="77777777" w:rsidP="005E4769" w:rsidR="005E4769" w:rsidRDefault="005E4769" w:rsidRPr="00550C6D">
      <w:pPr>
        <w:jc w:val="both"/>
        <w:rPr>
          <w:szCs w:val="22"/>
        </w:rPr>
      </w:pPr>
      <w:r w:rsidRPr="00550C6D">
        <w:rPr>
          <w:szCs w:val="22"/>
        </w:rPr>
        <w:t>Entre les Organisations Syndicales représentées par :</w:t>
      </w:r>
    </w:p>
    <w:p w14:paraId="451F31FE" w14:textId="77777777" w:rsidP="005E4769" w:rsidR="005E4769" w:rsidRDefault="005E4769" w:rsidRPr="00BB1295">
      <w:pPr>
        <w:jc w:val="both"/>
        <w:rPr>
          <w:szCs w:val="22"/>
        </w:rPr>
      </w:pPr>
    </w:p>
    <w:p w14:paraId="0F4B6C90" w14:textId="72C6CD53" w:rsidP="00B75E3E" w:rsidR="00B75E3E" w:rsidRDefault="00B75E3E" w:rsidRPr="009D3B68">
      <w:pPr>
        <w:numPr>
          <w:ilvl w:val="0"/>
          <w:numId w:val="5"/>
        </w:numPr>
        <w:jc w:val="both"/>
        <w:rPr>
          <w:rFonts w:cs="Arial"/>
          <w:szCs w:val="22"/>
        </w:rPr>
      </w:pPr>
      <w:r w:rsidRPr="009D3B68">
        <w:rPr>
          <w:rFonts w:cs="Arial"/>
          <w:szCs w:val="22"/>
        </w:rPr>
        <w:t>CFE/CGC.</w:t>
      </w:r>
      <w:r w:rsidRPr="009D3B68">
        <w:rPr>
          <w:rFonts w:cs="Arial"/>
          <w:szCs w:val="22"/>
        </w:rPr>
        <w:tab/>
      </w:r>
    </w:p>
    <w:p w14:paraId="5B907BC5" w14:textId="4FBFDC51" w:rsidP="00B75E3E" w:rsidR="00B75E3E" w:rsidRDefault="00B75E3E" w:rsidRPr="009D3B68">
      <w:pPr>
        <w:numPr>
          <w:ilvl w:val="0"/>
          <w:numId w:val="5"/>
        </w:numPr>
        <w:jc w:val="both"/>
        <w:rPr>
          <w:rFonts w:cs="Arial"/>
          <w:szCs w:val="22"/>
        </w:rPr>
      </w:pPr>
      <w:r w:rsidRPr="009D3B68">
        <w:rPr>
          <w:rFonts w:cs="Arial"/>
          <w:szCs w:val="22"/>
        </w:rPr>
        <w:t>CGT</w:t>
      </w:r>
      <w:r w:rsidRPr="009D3B68">
        <w:rPr>
          <w:rFonts w:cs="Arial"/>
          <w:szCs w:val="22"/>
        </w:rPr>
        <w:tab/>
      </w:r>
      <w:r w:rsidRPr="009D3B68">
        <w:rPr>
          <w:rFonts w:cs="Arial"/>
          <w:szCs w:val="22"/>
        </w:rPr>
        <w:tab/>
      </w:r>
    </w:p>
    <w:p w14:paraId="50E91BE4" w14:textId="0E73F050" w:rsidP="00B75E3E" w:rsidR="00B75E3E" w:rsidRDefault="00B75E3E" w:rsidRPr="009D3B68">
      <w:pPr>
        <w:numPr>
          <w:ilvl w:val="0"/>
          <w:numId w:val="5"/>
        </w:numPr>
        <w:jc w:val="both"/>
        <w:rPr>
          <w:rFonts w:cs="Arial"/>
          <w:szCs w:val="22"/>
        </w:rPr>
      </w:pPr>
      <w:r w:rsidRPr="009D3B68">
        <w:rPr>
          <w:rFonts w:cs="Arial"/>
          <w:szCs w:val="22"/>
        </w:rPr>
        <w:t>FO</w:t>
      </w:r>
      <w:r w:rsidRPr="009D3B68">
        <w:rPr>
          <w:rFonts w:cs="Arial"/>
          <w:szCs w:val="22"/>
        </w:rPr>
        <w:tab/>
      </w:r>
      <w:r w:rsidRPr="009D3B68">
        <w:rPr>
          <w:rFonts w:cs="Arial"/>
          <w:szCs w:val="22"/>
        </w:rPr>
        <w:tab/>
      </w:r>
    </w:p>
    <w:p w14:paraId="19DFE62D" w14:textId="10D6DB39" w:rsidP="00B75E3E" w:rsidR="00B75E3E" w:rsidRDefault="00B75E3E" w:rsidRPr="009D3B68">
      <w:pPr>
        <w:numPr>
          <w:ilvl w:val="0"/>
          <w:numId w:val="5"/>
        </w:numPr>
        <w:jc w:val="both"/>
        <w:rPr>
          <w:rFonts w:cs="Arial"/>
          <w:szCs w:val="22"/>
        </w:rPr>
      </w:pPr>
      <w:r w:rsidRPr="009D3B68">
        <w:rPr>
          <w:rFonts w:cs="Arial"/>
          <w:szCs w:val="22"/>
        </w:rPr>
        <w:t>UNSA</w:t>
      </w:r>
      <w:r w:rsidRPr="009D3B68">
        <w:rPr>
          <w:rFonts w:cs="Arial"/>
          <w:szCs w:val="22"/>
        </w:rPr>
        <w:tab/>
      </w:r>
      <w:r w:rsidRPr="009D3B68">
        <w:rPr>
          <w:rFonts w:cs="Arial"/>
          <w:szCs w:val="22"/>
        </w:rPr>
        <w:tab/>
      </w:r>
    </w:p>
    <w:p w14:paraId="64701392" w14:textId="77777777" w:rsidP="005E4769" w:rsidR="005E4769" w:rsidRDefault="005E4769" w:rsidRPr="00BB1295">
      <w:pPr>
        <w:jc w:val="both"/>
        <w:rPr>
          <w:szCs w:val="22"/>
        </w:rPr>
      </w:pPr>
    </w:p>
    <w:p w14:paraId="3AABB642" w14:textId="1D4F6123" w:rsidP="005E4769" w:rsidR="005E4769" w:rsidRDefault="005E4769" w:rsidRPr="00BB1295">
      <w:pPr>
        <w:jc w:val="both"/>
        <w:rPr>
          <w:szCs w:val="22"/>
        </w:rPr>
      </w:pPr>
      <w:r w:rsidRPr="00BB1295">
        <w:rPr>
          <w:szCs w:val="22"/>
        </w:rPr>
        <w:t xml:space="preserve">Et la Direction d’AGC </w:t>
      </w:r>
      <w:r w:rsidR="00B75E3E">
        <w:rPr>
          <w:szCs w:val="22"/>
        </w:rPr>
        <w:t xml:space="preserve">Automotive </w:t>
      </w:r>
      <w:r w:rsidRPr="00BB1295">
        <w:rPr>
          <w:szCs w:val="22"/>
        </w:rPr>
        <w:t>France représentée par :</w:t>
      </w:r>
    </w:p>
    <w:p w14:paraId="687BE33B" w14:textId="77777777" w:rsidP="005E4769" w:rsidR="005E4769" w:rsidRDefault="005E4769" w:rsidRPr="00BB1295">
      <w:pPr>
        <w:jc w:val="both"/>
        <w:rPr>
          <w:szCs w:val="22"/>
        </w:rPr>
      </w:pPr>
    </w:p>
    <w:p w14:paraId="0F5C2822" w14:textId="43BD6A2A" w:rsidP="00B75E3E" w:rsidR="00B75E3E" w:rsidRDefault="00A11DEB">
      <w:pPr>
        <w:numPr>
          <w:ilvl w:val="0"/>
          <w:numId w:val="4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>Président</w:t>
      </w:r>
      <w:r w:rsidR="00B75E3E">
        <w:rPr>
          <w:rFonts w:cs="Arial"/>
          <w:szCs w:val="22"/>
        </w:rPr>
        <w:t xml:space="preserve"> AGC Automotive France</w:t>
      </w:r>
    </w:p>
    <w:p w14:paraId="58EDC518" w14:textId="56D8AF91" w:rsidP="00B75E3E" w:rsidR="00B75E3E" w:rsidRDefault="00B75E3E">
      <w:pPr>
        <w:numPr>
          <w:ilvl w:val="0"/>
          <w:numId w:val="4"/>
        </w:numPr>
        <w:jc w:val="both"/>
        <w:textAlignment w:val="auto"/>
        <w:rPr>
          <w:szCs w:val="22"/>
        </w:rPr>
      </w:pPr>
      <w:r>
        <w:rPr>
          <w:szCs w:val="22"/>
        </w:rPr>
        <w:t>Responsable RH Automotive France</w:t>
      </w:r>
    </w:p>
    <w:p w14:paraId="18978F6A" w14:textId="77777777" w:rsidP="00B75E3E" w:rsidR="00B75E3E" w:rsidRDefault="00B75E3E" w:rsidRPr="009D3B68">
      <w:pPr>
        <w:ind w:left="720"/>
        <w:jc w:val="both"/>
        <w:rPr>
          <w:rFonts w:cs="Arial"/>
          <w:szCs w:val="22"/>
        </w:rPr>
      </w:pPr>
    </w:p>
    <w:p w14:paraId="6419D2C1" w14:textId="77777777" w:rsidP="005E4769" w:rsidR="005E4769" w:rsidRDefault="005E4769" w:rsidRPr="00BB1295">
      <w:pPr>
        <w:jc w:val="both"/>
        <w:rPr>
          <w:szCs w:val="22"/>
        </w:rPr>
      </w:pPr>
    </w:p>
    <w:p w14:paraId="6DC28FA4" w14:textId="77777777" w:rsidP="00B75E3E" w:rsidR="00B75E3E" w:rsidRDefault="00B75E3E" w:rsidRPr="00B75E3E">
      <w:pPr>
        <w:jc w:val="both"/>
        <w:rPr>
          <w:szCs w:val="22"/>
        </w:rPr>
      </w:pPr>
    </w:p>
    <w:p w14:paraId="5C0D838F" w14:textId="77777777" w:rsidP="00B75E3E" w:rsidR="00B75E3E" w:rsidRDefault="00B75E3E" w:rsidRPr="00725C61">
      <w:pPr>
        <w:jc w:val="both"/>
        <w:rPr>
          <w:b/>
          <w:szCs w:val="22"/>
          <w:u w:val="single"/>
        </w:rPr>
      </w:pPr>
      <w:r w:rsidRPr="00725C61">
        <w:rPr>
          <w:b/>
          <w:szCs w:val="22"/>
          <w:u w:val="single"/>
        </w:rPr>
        <w:t>Préambule</w:t>
      </w:r>
    </w:p>
    <w:p w14:paraId="0D7CDDE4" w14:textId="77777777" w:rsidP="00B75E3E" w:rsidR="00B75E3E" w:rsidRDefault="00B75E3E">
      <w:pPr>
        <w:jc w:val="both"/>
        <w:rPr>
          <w:szCs w:val="22"/>
        </w:rPr>
      </w:pPr>
    </w:p>
    <w:p w14:paraId="0A593E9C" w14:textId="2DC49ADD" w:rsidP="00B75E3E" w:rsidR="00B75E3E" w:rsidRDefault="00B75E3E">
      <w:pPr>
        <w:jc w:val="both"/>
        <w:rPr>
          <w:rFonts w:cs="Arial"/>
          <w:szCs w:val="22"/>
        </w:rPr>
      </w:pPr>
      <w:r w:rsidRPr="00A11DEB">
        <w:rPr>
          <w:szCs w:val="22"/>
        </w:rPr>
        <w:t xml:space="preserve">La Direction et les Organisations Syndicales ont engagé le processus de négociation annuelle obligatoire </w:t>
      </w:r>
      <w:r w:rsidR="002C1B21" w:rsidRPr="00A11DEB">
        <w:rPr>
          <w:rFonts w:cs="Arial"/>
          <w:szCs w:val="22"/>
        </w:rPr>
        <w:t>dans un</w:t>
      </w:r>
      <w:r w:rsidRPr="00A11DEB">
        <w:rPr>
          <w:rFonts w:cs="Arial"/>
          <w:szCs w:val="22"/>
        </w:rPr>
        <w:t xml:space="preserve"> contexte sanitaire</w:t>
      </w:r>
      <w:r w:rsidR="00A11DEB" w:rsidRPr="00A11DEB">
        <w:rPr>
          <w:rFonts w:cs="Arial"/>
          <w:szCs w:val="22"/>
        </w:rPr>
        <w:t xml:space="preserve"> et géopolitique</w:t>
      </w:r>
      <w:r w:rsidRPr="00A11DEB">
        <w:rPr>
          <w:rFonts w:cs="Arial"/>
          <w:szCs w:val="22"/>
        </w:rPr>
        <w:t xml:space="preserve"> mondial</w:t>
      </w:r>
      <w:r w:rsidR="002C1B21" w:rsidRPr="00A11DEB">
        <w:rPr>
          <w:rFonts w:cs="Arial"/>
          <w:szCs w:val="22"/>
        </w:rPr>
        <w:t xml:space="preserve"> </w:t>
      </w:r>
      <w:r w:rsidR="00A11DEB" w:rsidRPr="00A11DEB">
        <w:rPr>
          <w:rFonts w:cs="Arial"/>
          <w:szCs w:val="22"/>
        </w:rPr>
        <w:t xml:space="preserve"> complexe</w:t>
      </w:r>
      <w:r w:rsidR="0011626A" w:rsidRPr="00A11DEB">
        <w:rPr>
          <w:rFonts w:cs="Arial"/>
          <w:szCs w:val="22"/>
        </w:rPr>
        <w:t xml:space="preserve"> </w:t>
      </w:r>
      <w:r w:rsidR="00CF4E8E" w:rsidRPr="00A11DEB">
        <w:rPr>
          <w:rFonts w:cs="Arial"/>
          <w:szCs w:val="22"/>
        </w:rPr>
        <w:t>avec</w:t>
      </w:r>
      <w:r w:rsidR="00EF74E1" w:rsidRPr="00A11DEB">
        <w:rPr>
          <w:rFonts w:cs="Arial"/>
          <w:szCs w:val="22"/>
        </w:rPr>
        <w:t xml:space="preserve"> les conséquences économiques qui en découlent</w:t>
      </w:r>
      <w:r w:rsidR="002C1B21" w:rsidRPr="00A11DEB">
        <w:rPr>
          <w:rFonts w:cs="Arial"/>
          <w:szCs w:val="22"/>
        </w:rPr>
        <w:t>,</w:t>
      </w:r>
      <w:r w:rsidRPr="00A11DEB">
        <w:rPr>
          <w:rFonts w:cs="Arial"/>
          <w:szCs w:val="22"/>
        </w:rPr>
        <w:t xml:space="preserve">  </w:t>
      </w:r>
      <w:r w:rsidR="00EF74E1" w:rsidRPr="00A11DEB">
        <w:rPr>
          <w:rFonts w:cs="Arial"/>
          <w:szCs w:val="22"/>
        </w:rPr>
        <w:t>notamment un</w:t>
      </w:r>
      <w:r w:rsidRPr="00A11DEB">
        <w:rPr>
          <w:rFonts w:cs="Arial"/>
          <w:szCs w:val="22"/>
        </w:rPr>
        <w:t xml:space="preserve"> marché </w:t>
      </w:r>
      <w:r w:rsidR="00EF74E1" w:rsidRPr="00A11DEB">
        <w:rPr>
          <w:rFonts w:cs="Arial"/>
          <w:szCs w:val="22"/>
        </w:rPr>
        <w:t>de l’</w:t>
      </w:r>
      <w:r w:rsidRPr="00A11DEB">
        <w:rPr>
          <w:rFonts w:cs="Arial"/>
          <w:szCs w:val="22"/>
        </w:rPr>
        <w:t xml:space="preserve">automobile </w:t>
      </w:r>
      <w:r w:rsidR="00A11DEB" w:rsidRPr="00A11DEB">
        <w:rPr>
          <w:rFonts w:cs="Arial"/>
          <w:szCs w:val="22"/>
        </w:rPr>
        <w:t xml:space="preserve">instable et en profonde mutation </w:t>
      </w:r>
      <w:r w:rsidR="002C1B21" w:rsidRPr="00A11DEB">
        <w:rPr>
          <w:rFonts w:cs="Arial"/>
          <w:szCs w:val="22"/>
        </w:rPr>
        <w:t>pénalisé par les difficultés d’approvisionnement, et ce sans perdre de vue les enjeux en termes de profitabilité et de compétitivité d’AGC Automotive France</w:t>
      </w:r>
      <w:r w:rsidRPr="00A11DEB">
        <w:rPr>
          <w:rFonts w:cs="Arial"/>
          <w:szCs w:val="22"/>
        </w:rPr>
        <w:t>.</w:t>
      </w:r>
      <w:r w:rsidR="0011626A" w:rsidRPr="00A11DEB">
        <w:t xml:space="preserve"> </w:t>
      </w:r>
    </w:p>
    <w:p w14:paraId="6401E81E" w14:textId="73D49203" w:rsidP="00B75E3E" w:rsidR="00B75E3E" w:rsidRDefault="00B75E3E">
      <w:pPr>
        <w:jc w:val="both"/>
        <w:rPr>
          <w:szCs w:val="22"/>
        </w:rPr>
      </w:pPr>
    </w:p>
    <w:p w14:paraId="3832AEE6" w14:textId="77777777" w:rsidP="00B75E3E" w:rsidR="00B75E3E" w:rsidRDefault="00B75E3E">
      <w:pPr>
        <w:jc w:val="both"/>
      </w:pPr>
      <w:r>
        <w:t xml:space="preserve">Conformément aux dispositions du code du </w:t>
      </w:r>
      <w:r w:rsidRPr="00FE1A84">
        <w:t>travail</w:t>
      </w:r>
      <w:r>
        <w:t xml:space="preserve"> -</w:t>
      </w:r>
      <w:r w:rsidRPr="00FE1A84">
        <w:t xml:space="preserve"> </w:t>
      </w:r>
      <w:r>
        <w:t>A</w:t>
      </w:r>
      <w:r w:rsidRPr="00FE1A84">
        <w:t>rticles L.</w:t>
      </w:r>
      <w:r>
        <w:t xml:space="preserve"> 2242-</w:t>
      </w:r>
      <w:r w:rsidRPr="00FE1A84">
        <w:t xml:space="preserve">1 </w:t>
      </w:r>
      <w:r>
        <w:t xml:space="preserve">et suivants portant sur la négociation obligatoire en entreprise, et </w:t>
      </w:r>
    </w:p>
    <w:p w14:paraId="0B6C8BE5" w14:textId="77777777" w:rsidP="00B75E3E" w:rsidR="00B75E3E" w:rsidRDefault="00B75E3E" w:rsidRPr="00725C61">
      <w:pPr>
        <w:jc w:val="both"/>
        <w:rPr>
          <w:sz w:val="8"/>
        </w:rPr>
      </w:pPr>
    </w:p>
    <w:p w14:paraId="5E3F779A" w14:textId="77777777" w:rsidP="00B75E3E" w:rsidR="00B75E3E" w:rsidRDefault="00B75E3E">
      <w:pPr>
        <w:jc w:val="both"/>
      </w:pPr>
      <w:r>
        <w:t>Conformément aux dispositions de la loi n</w:t>
      </w:r>
      <w:r>
        <w:rPr>
          <w:vertAlign w:val="superscript"/>
        </w:rPr>
        <w:t>o</w:t>
      </w:r>
      <w:r>
        <w:t xml:space="preserve"> 2016-1088 du 8 août 2016 relative au travail, à la modernisation du dialogue social et à la sécurisation des parcours professionnels (dite « Loi Travail ») publiée au Journal officiel du 9 août 2016, et</w:t>
      </w:r>
    </w:p>
    <w:p w14:paraId="43DC3D9D" w14:textId="77777777" w:rsidP="00B75E3E" w:rsidR="00B75E3E" w:rsidRDefault="00B75E3E" w:rsidRPr="00725C61">
      <w:pPr>
        <w:jc w:val="both"/>
        <w:rPr>
          <w:sz w:val="8"/>
        </w:rPr>
      </w:pPr>
    </w:p>
    <w:p w14:paraId="733494BC" w14:textId="5D43EB68" w:rsidP="00B75E3E" w:rsidR="00B75E3E" w:rsidRDefault="00B75E3E">
      <w:pPr>
        <w:jc w:val="both"/>
      </w:pPr>
      <w:r>
        <w:t>Aux termes d’une négociation qui a porté,</w:t>
      </w:r>
      <w:r w:rsidRPr="003B02FD">
        <w:t xml:space="preserve"> </w:t>
      </w:r>
      <w:r>
        <w:t xml:space="preserve">pour l’année </w:t>
      </w:r>
      <w:r w:rsidRPr="009A7F71">
        <w:t>20</w:t>
      </w:r>
      <w:r>
        <w:t>2</w:t>
      </w:r>
      <w:r w:rsidR="00DA7868">
        <w:t>3</w:t>
      </w:r>
      <w:r>
        <w:t xml:space="preserve">, notamment sur les salaires - le temps de travail et le partage de la valeur ajoutée faisant l’objet d’accords existants - </w:t>
      </w:r>
    </w:p>
    <w:p w14:paraId="433AF54B" w14:textId="77777777" w:rsidP="00B75E3E" w:rsidR="00B75E3E" w:rsidRDefault="00B75E3E">
      <w:pPr>
        <w:jc w:val="both"/>
      </w:pPr>
    </w:p>
    <w:p w14:paraId="47E127F8" w14:textId="77777777" w:rsidP="00B75E3E" w:rsidR="00B75E3E" w:rsidRDefault="00B75E3E">
      <w:pPr>
        <w:jc w:val="both"/>
      </w:pPr>
      <w:r>
        <w:t>L</w:t>
      </w:r>
      <w:r w:rsidRPr="009A7F71">
        <w:t>es parties signataires sont parvenues à</w:t>
      </w:r>
      <w:r>
        <w:t xml:space="preserve"> l’accord suivant :</w:t>
      </w:r>
    </w:p>
    <w:p w14:paraId="23C73A40" w14:textId="77777777" w:rsidP="00B75E3E" w:rsidR="00B75E3E" w:rsidRDefault="00B75E3E">
      <w:pPr>
        <w:jc w:val="both"/>
        <w:rPr>
          <w:szCs w:val="22"/>
        </w:rPr>
      </w:pPr>
    </w:p>
    <w:p w14:paraId="2D1264F8" w14:textId="77777777" w:rsidP="00B75E3E" w:rsidR="00B75E3E" w:rsidRDefault="00B75E3E">
      <w:pPr>
        <w:overflowPunct/>
        <w:autoSpaceDE/>
        <w:autoSpaceDN/>
        <w:adjustRightInd/>
        <w:textAlignment w:val="auto"/>
        <w:rPr>
          <w:szCs w:val="22"/>
        </w:rPr>
      </w:pPr>
      <w:r>
        <w:rPr>
          <w:szCs w:val="22"/>
        </w:rPr>
        <w:br w:type="page"/>
      </w:r>
    </w:p>
    <w:p w14:paraId="35B84F04" w14:textId="77777777" w:rsidP="00B75E3E" w:rsidR="00B75E3E" w:rsidRDefault="00B75E3E" w:rsidRPr="00550C6D">
      <w:pPr>
        <w:jc w:val="both"/>
        <w:rPr>
          <w:szCs w:val="22"/>
        </w:rPr>
      </w:pPr>
    </w:p>
    <w:p w14:paraId="7ABC2CE2" w14:textId="77777777" w:rsidP="00B75E3E" w:rsidR="00B75E3E" w:rsidRDefault="00B75E3E" w:rsidRPr="00550C6D">
      <w:pPr>
        <w:jc w:val="both"/>
        <w:rPr>
          <w:b/>
          <w:szCs w:val="22"/>
          <w:u w:val="single"/>
        </w:rPr>
      </w:pPr>
      <w:r w:rsidRPr="00550C6D">
        <w:rPr>
          <w:b/>
          <w:szCs w:val="22"/>
          <w:u w:val="single"/>
        </w:rPr>
        <w:t>Article 1 : Périmètre d’application</w:t>
      </w:r>
      <w:r w:rsidRPr="00550C6D">
        <w:rPr>
          <w:b/>
          <w:szCs w:val="22"/>
        </w:rPr>
        <w:t> :</w:t>
      </w:r>
    </w:p>
    <w:p w14:paraId="2012D18A" w14:textId="77777777" w:rsidP="00B75E3E" w:rsidR="00B75E3E" w:rsidRDefault="00B75E3E" w:rsidRPr="00550C6D">
      <w:pPr>
        <w:jc w:val="both"/>
        <w:rPr>
          <w:szCs w:val="22"/>
        </w:rPr>
      </w:pPr>
    </w:p>
    <w:p w14:paraId="0CFD634B" w14:textId="63775C65" w:rsidP="00B75E3E" w:rsidR="00B75E3E" w:rsidRDefault="00B75E3E">
      <w:pPr>
        <w:jc w:val="both"/>
        <w:rPr>
          <w:szCs w:val="22"/>
        </w:rPr>
      </w:pPr>
      <w:r>
        <w:rPr>
          <w:szCs w:val="22"/>
        </w:rPr>
        <w:t>Le p</w:t>
      </w:r>
      <w:r w:rsidRPr="00550C6D">
        <w:rPr>
          <w:szCs w:val="22"/>
        </w:rPr>
        <w:t xml:space="preserve">résent accord définit la politique salariale de l’entreprise pour </w:t>
      </w:r>
      <w:r>
        <w:rPr>
          <w:szCs w:val="22"/>
        </w:rPr>
        <w:t xml:space="preserve">l’année </w:t>
      </w:r>
      <w:r w:rsidRPr="00550C6D">
        <w:rPr>
          <w:szCs w:val="22"/>
        </w:rPr>
        <w:t>20</w:t>
      </w:r>
      <w:r>
        <w:rPr>
          <w:szCs w:val="22"/>
        </w:rPr>
        <w:t>2</w:t>
      </w:r>
      <w:r w:rsidR="00DA7868">
        <w:rPr>
          <w:szCs w:val="22"/>
        </w:rPr>
        <w:t>3</w:t>
      </w:r>
      <w:r>
        <w:rPr>
          <w:szCs w:val="22"/>
        </w:rPr>
        <w:t xml:space="preserve"> et donc les mesures salariales qui seront mises en œuvre et leurs dates d’effets.</w:t>
      </w:r>
    </w:p>
    <w:p w14:paraId="6FD6E4A6" w14:textId="77777777" w:rsidP="00B75E3E" w:rsidR="00B75E3E" w:rsidRDefault="00B75E3E">
      <w:pPr>
        <w:jc w:val="both"/>
        <w:rPr>
          <w:b/>
          <w:szCs w:val="22"/>
          <w:u w:val="single"/>
        </w:rPr>
      </w:pPr>
    </w:p>
    <w:p w14:paraId="220E9B2F" w14:textId="77777777" w:rsidP="00B75E3E" w:rsidR="00B75E3E" w:rsidRDefault="00B75E3E">
      <w:pPr>
        <w:jc w:val="both"/>
        <w:rPr>
          <w:b/>
          <w:szCs w:val="22"/>
          <w:u w:val="single"/>
        </w:rPr>
      </w:pPr>
    </w:p>
    <w:p w14:paraId="25641CB0" w14:textId="77777777" w:rsidP="00B75E3E" w:rsidR="00B75E3E" w:rsidRDefault="00B75E3E" w:rsidRPr="00550C6D">
      <w:pPr>
        <w:jc w:val="both"/>
        <w:rPr>
          <w:b/>
          <w:szCs w:val="22"/>
          <w:u w:val="single"/>
        </w:rPr>
      </w:pPr>
      <w:r>
        <w:rPr>
          <w:b/>
          <w:szCs w:val="22"/>
          <w:u w:val="single"/>
        </w:rPr>
        <w:t>Article 2</w:t>
      </w:r>
      <w:r w:rsidRPr="00550C6D">
        <w:rPr>
          <w:b/>
          <w:szCs w:val="22"/>
          <w:u w:val="single"/>
        </w:rPr>
        <w:t> : Durée et application de l’accord</w:t>
      </w:r>
    </w:p>
    <w:p w14:paraId="0CAD51C6" w14:textId="77777777" w:rsidP="00B75E3E" w:rsidR="00B75E3E" w:rsidRDefault="00B75E3E" w:rsidRPr="00550C6D">
      <w:pPr>
        <w:jc w:val="both"/>
        <w:rPr>
          <w:szCs w:val="22"/>
        </w:rPr>
      </w:pPr>
    </w:p>
    <w:p w14:paraId="7026D77E" w14:textId="572ABBD3" w:rsidP="00B75E3E" w:rsidR="00B75E3E" w:rsidRDefault="00B75E3E">
      <w:pPr>
        <w:jc w:val="both"/>
        <w:rPr>
          <w:szCs w:val="22"/>
        </w:rPr>
      </w:pPr>
      <w:r w:rsidRPr="00550C6D">
        <w:rPr>
          <w:szCs w:val="22"/>
        </w:rPr>
        <w:t>Le présent accord est conclu pour une durée déterminée à compter du 1</w:t>
      </w:r>
      <w:r w:rsidRPr="00550C6D">
        <w:rPr>
          <w:szCs w:val="22"/>
          <w:vertAlign w:val="superscript"/>
        </w:rPr>
        <w:t>er</w:t>
      </w:r>
      <w:r>
        <w:rPr>
          <w:szCs w:val="22"/>
        </w:rPr>
        <w:t xml:space="preserve"> janvier 202</w:t>
      </w:r>
      <w:r w:rsidR="00DA7868">
        <w:rPr>
          <w:szCs w:val="22"/>
        </w:rPr>
        <w:t>3</w:t>
      </w:r>
      <w:r>
        <w:rPr>
          <w:szCs w:val="22"/>
        </w:rPr>
        <w:t xml:space="preserve"> et jusqu’au 31 décembre 202</w:t>
      </w:r>
      <w:r w:rsidR="00DA7868">
        <w:rPr>
          <w:szCs w:val="22"/>
        </w:rPr>
        <w:t>3</w:t>
      </w:r>
      <w:r w:rsidRPr="00550C6D">
        <w:rPr>
          <w:szCs w:val="22"/>
        </w:rPr>
        <w:t>.</w:t>
      </w:r>
    </w:p>
    <w:p w14:paraId="1D25F051" w14:textId="77777777" w:rsidP="00B75E3E" w:rsidR="00B75E3E" w:rsidRDefault="00B75E3E">
      <w:pPr>
        <w:jc w:val="both"/>
        <w:rPr>
          <w:b/>
          <w:szCs w:val="22"/>
          <w:u w:val="single"/>
        </w:rPr>
      </w:pPr>
    </w:p>
    <w:p w14:paraId="53810A7F" w14:textId="77777777" w:rsidP="00B75E3E" w:rsidR="00B75E3E" w:rsidRDefault="00B75E3E">
      <w:pPr>
        <w:jc w:val="both"/>
        <w:rPr>
          <w:b/>
          <w:szCs w:val="22"/>
          <w:u w:val="single"/>
        </w:rPr>
      </w:pPr>
    </w:p>
    <w:p w14:paraId="187C9763" w14:textId="77777777" w:rsidP="00B75E3E" w:rsidR="00B75E3E" w:rsidRDefault="00B75E3E" w:rsidRPr="00D246D4">
      <w:pPr>
        <w:jc w:val="both"/>
        <w:rPr>
          <w:b/>
          <w:szCs w:val="22"/>
          <w:u w:val="single"/>
        </w:rPr>
      </w:pPr>
      <w:r w:rsidRPr="00D246D4">
        <w:rPr>
          <w:b/>
          <w:szCs w:val="22"/>
          <w:u w:val="single"/>
        </w:rPr>
        <w:t>Article 3 : Rémunération, durée du travail et partage de la valeur ajoutée</w:t>
      </w:r>
    </w:p>
    <w:p w14:paraId="7EC85DFE" w14:textId="77777777" w:rsidP="00B75E3E" w:rsidR="00B75E3E" w:rsidRDefault="00B75E3E">
      <w:pPr>
        <w:jc w:val="both"/>
        <w:rPr>
          <w:rFonts w:cs="Arial"/>
          <w:szCs w:val="22"/>
        </w:rPr>
      </w:pPr>
    </w:p>
    <w:p w14:paraId="67CADFD8" w14:textId="77777777" w:rsidP="00B75E3E" w:rsidR="00B75E3E" w:rsidRDefault="00B75E3E">
      <w:pPr>
        <w:jc w:val="both"/>
        <w:rPr>
          <w:rFonts w:cs="Arial"/>
          <w:szCs w:val="22"/>
        </w:rPr>
      </w:pPr>
    </w:p>
    <w:p w14:paraId="6CFA43FF" w14:textId="77777777" w:rsidP="00B75E3E" w:rsidR="00B75E3E" w:rsidRDefault="00B75E3E" w:rsidRPr="00710925">
      <w:pPr>
        <w:pStyle w:val="Paragraphedeliste"/>
        <w:jc w:val="both"/>
        <w:rPr>
          <w:rFonts w:cs="Arial"/>
          <w:b/>
          <w:i/>
          <w:szCs w:val="22"/>
          <w:u w:val="single"/>
        </w:rPr>
      </w:pPr>
      <w:r w:rsidRPr="00710925">
        <w:rPr>
          <w:rFonts w:cs="Arial"/>
          <w:b/>
          <w:i/>
          <w:szCs w:val="22"/>
          <w:u w:val="single"/>
        </w:rPr>
        <w:t>Rémunération</w:t>
      </w:r>
    </w:p>
    <w:p w14:paraId="580F885E" w14:textId="77777777" w:rsidP="00B75E3E" w:rsidR="00B75E3E" w:rsidRDefault="00B75E3E" w:rsidRPr="00D2361B">
      <w:pPr>
        <w:jc w:val="both"/>
        <w:rPr>
          <w:rFonts w:cs="Arial"/>
          <w:szCs w:val="22"/>
        </w:rPr>
      </w:pPr>
    </w:p>
    <w:p w14:paraId="3CDCA593" w14:textId="77777777" w:rsidP="00B75E3E" w:rsidR="00B75E3E" w:rsidRDefault="00B75E3E" w:rsidRPr="00D2361B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1A2659F9" w14:textId="1E9A44FB" w:rsidP="00AE3811" w:rsidR="00AE3811" w:rsidRDefault="00AE3811">
      <w:pPr>
        <w:tabs>
          <w:tab w:pos="9072" w:val="right"/>
          <w:tab w:pos="10065" w:val="right"/>
        </w:tabs>
        <w:ind w:right="124"/>
        <w:jc w:val="both"/>
        <w:rPr>
          <w:rFonts w:cs="Arial"/>
          <w:b/>
          <w:szCs w:val="22"/>
        </w:rPr>
      </w:pPr>
      <w:r w:rsidRPr="001D73F7">
        <w:rPr>
          <w:rFonts w:cs="Arial"/>
          <w:b/>
          <w:szCs w:val="22"/>
          <w:u w:val="single"/>
        </w:rPr>
        <w:t>Augmentation Générale</w:t>
      </w:r>
      <w:r w:rsidRPr="001D73F7">
        <w:rPr>
          <w:rFonts w:cs="Arial"/>
          <w:b/>
          <w:szCs w:val="22"/>
        </w:rPr>
        <w:t xml:space="preserve"> </w:t>
      </w:r>
    </w:p>
    <w:p w14:paraId="4C565676" w14:textId="390E9870" w:rsidP="00AE3811" w:rsidR="00AE3811" w:rsidRDefault="0080622D" w:rsidRPr="00D914C0">
      <w:pPr>
        <w:tabs>
          <w:tab w:pos="9072" w:val="right"/>
          <w:tab w:pos="10065" w:val="right"/>
        </w:tabs>
        <w:ind w:right="124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Du </w:t>
      </w:r>
      <w:r w:rsidRPr="00D914C0">
        <w:rPr>
          <w:rFonts w:cs="Arial"/>
          <w:szCs w:val="22"/>
        </w:rPr>
        <w:t>salaire forfaitaire p</w:t>
      </w:r>
      <w:r w:rsidR="00AE3811" w:rsidRPr="00D914C0">
        <w:rPr>
          <w:rFonts w:cs="Arial"/>
          <w:szCs w:val="22"/>
        </w:rPr>
        <w:t xml:space="preserve">ersonnel cadre et </w:t>
      </w:r>
      <w:r w:rsidRPr="00D914C0">
        <w:rPr>
          <w:rFonts w:cs="Arial"/>
          <w:szCs w:val="22"/>
        </w:rPr>
        <w:t xml:space="preserve">salaire de base pour le personnel </w:t>
      </w:r>
      <w:r w:rsidR="00AE3811" w:rsidRPr="00D914C0">
        <w:rPr>
          <w:rFonts w:cs="Arial"/>
          <w:szCs w:val="22"/>
        </w:rPr>
        <w:t xml:space="preserve">non cadre </w:t>
      </w:r>
      <w:r w:rsidR="00AE3811" w:rsidRPr="00D914C0">
        <w:rPr>
          <w:rFonts w:cs="Arial"/>
          <w:szCs w:val="22"/>
        </w:rPr>
        <w:tab/>
      </w:r>
      <w:r w:rsidR="00AE3811" w:rsidRPr="00D914C0">
        <w:rPr>
          <w:rFonts w:cs="Arial"/>
          <w:b/>
          <w:szCs w:val="22"/>
        </w:rPr>
        <w:tab/>
        <w:t xml:space="preserve">+ </w:t>
      </w:r>
      <w:r w:rsidR="00DA7868">
        <w:rPr>
          <w:rFonts w:cs="Arial"/>
          <w:b/>
          <w:szCs w:val="22"/>
        </w:rPr>
        <w:t>5</w:t>
      </w:r>
      <w:r w:rsidR="00AE3811" w:rsidRPr="00D914C0">
        <w:rPr>
          <w:rFonts w:cs="Arial"/>
          <w:b/>
          <w:szCs w:val="22"/>
        </w:rPr>
        <w:t>,</w:t>
      </w:r>
      <w:r w:rsidR="00DA7868">
        <w:rPr>
          <w:rFonts w:cs="Arial"/>
          <w:b/>
          <w:szCs w:val="22"/>
        </w:rPr>
        <w:t>00</w:t>
      </w:r>
      <w:r w:rsidR="00AE3811" w:rsidRPr="00D914C0">
        <w:rPr>
          <w:rFonts w:cs="Arial"/>
          <w:b/>
          <w:szCs w:val="22"/>
        </w:rPr>
        <w:t xml:space="preserve"> % </w:t>
      </w:r>
    </w:p>
    <w:p w14:paraId="273FBEC4" w14:textId="355AA57B" w:rsidP="00DA7868" w:rsidR="00AE3811" w:rsidRDefault="00AE3811" w:rsidRPr="00D914C0">
      <w:pPr>
        <w:tabs>
          <w:tab w:pos="1701" w:val="left"/>
          <w:tab w:pos="9072" w:val="right"/>
        </w:tabs>
        <w:ind w:right="124"/>
        <w:jc w:val="both"/>
        <w:rPr>
          <w:rFonts w:cs="Arial"/>
          <w:szCs w:val="22"/>
        </w:rPr>
      </w:pPr>
      <w:r w:rsidRPr="00D914C0">
        <w:rPr>
          <w:rFonts w:cs="Arial"/>
          <w:szCs w:val="22"/>
        </w:rPr>
        <w:t>au 1</w:t>
      </w:r>
      <w:r w:rsidRPr="00D914C0">
        <w:rPr>
          <w:rFonts w:cs="Arial"/>
          <w:szCs w:val="22"/>
          <w:vertAlign w:val="superscript"/>
        </w:rPr>
        <w:t>er</w:t>
      </w:r>
      <w:r w:rsidRPr="00D914C0">
        <w:rPr>
          <w:rFonts w:cs="Arial"/>
          <w:szCs w:val="22"/>
        </w:rPr>
        <w:t xml:space="preserve"> janvier 202</w:t>
      </w:r>
      <w:r w:rsidR="00DA7868">
        <w:rPr>
          <w:rFonts w:cs="Arial"/>
          <w:szCs w:val="22"/>
        </w:rPr>
        <w:t>3.</w:t>
      </w:r>
    </w:p>
    <w:p w14:paraId="53862D22" w14:textId="6FD40F44" w:rsidP="00AE3811" w:rsidR="00AE3811" w:rsidRDefault="00AE3811" w:rsidRPr="00D914C0">
      <w:pPr>
        <w:tabs>
          <w:tab w:pos="1701" w:val="left"/>
          <w:tab w:pos="9072" w:val="right"/>
        </w:tabs>
        <w:ind w:left="720" w:right="124"/>
        <w:jc w:val="both"/>
        <w:rPr>
          <w:rFonts w:cs="Arial"/>
          <w:szCs w:val="22"/>
        </w:rPr>
      </w:pPr>
      <w:r w:rsidRPr="00D914C0">
        <w:rPr>
          <w:rFonts w:cs="Arial"/>
          <w:szCs w:val="22"/>
        </w:rPr>
        <w:tab/>
      </w:r>
    </w:p>
    <w:p w14:paraId="5D7E5993" w14:textId="77777777" w:rsidP="00AE3811" w:rsidR="00AE3811" w:rsidRDefault="00AE3811" w:rsidRPr="00D914C0">
      <w:pPr>
        <w:tabs>
          <w:tab w:pos="1701" w:val="left"/>
          <w:tab w:pos="9072" w:val="right"/>
        </w:tabs>
        <w:ind w:left="720" w:right="124"/>
        <w:jc w:val="both"/>
        <w:rPr>
          <w:rFonts w:cs="Arial"/>
          <w:szCs w:val="22"/>
        </w:rPr>
      </w:pPr>
    </w:p>
    <w:p w14:paraId="533F4FA4" w14:textId="77777777" w:rsidP="00AE3811" w:rsidR="00AE3811" w:rsidRDefault="00AE3811" w:rsidRPr="00D914C0">
      <w:pPr>
        <w:tabs>
          <w:tab w:pos="1701" w:val="left"/>
          <w:tab w:pos="9072" w:val="right"/>
        </w:tabs>
        <w:ind w:right="124"/>
        <w:jc w:val="both"/>
        <w:rPr>
          <w:rFonts w:cs="Arial"/>
          <w:szCs w:val="22"/>
        </w:rPr>
      </w:pPr>
      <w:r w:rsidRPr="00D914C0">
        <w:rPr>
          <w:rFonts w:cs="Arial"/>
          <w:szCs w:val="22"/>
        </w:rPr>
        <w:t>A quoi s’ajoutent :</w:t>
      </w:r>
    </w:p>
    <w:p w14:paraId="3EDF2E5B" w14:textId="77777777" w:rsidP="00AE3811" w:rsidR="00AE3811" w:rsidRDefault="00AE3811" w:rsidRPr="00D914C0">
      <w:pPr>
        <w:tabs>
          <w:tab w:pos="9072" w:val="right"/>
        </w:tabs>
        <w:ind w:right="124"/>
        <w:jc w:val="both"/>
        <w:rPr>
          <w:rFonts w:cs="Arial"/>
          <w:b/>
          <w:szCs w:val="22"/>
        </w:rPr>
      </w:pPr>
      <w:r w:rsidRPr="00D914C0">
        <w:rPr>
          <w:rFonts w:cs="Arial"/>
          <w:szCs w:val="22"/>
        </w:rPr>
        <w:t>G</w:t>
      </w:r>
      <w:r w:rsidRPr="00D914C0">
        <w:rPr>
          <w:rFonts w:cs="Arial"/>
          <w:b/>
          <w:sz w:val="28"/>
          <w:szCs w:val="22"/>
        </w:rPr>
        <w:t>V</w:t>
      </w:r>
      <w:r w:rsidRPr="00D914C0">
        <w:rPr>
          <w:rFonts w:cs="Arial"/>
          <w:szCs w:val="22"/>
        </w:rPr>
        <w:t>T – V = Vieillesse (ancienneté personnel non cadre)</w:t>
      </w:r>
      <w:r w:rsidRPr="00D914C0">
        <w:rPr>
          <w:rFonts w:cs="Arial"/>
          <w:szCs w:val="22"/>
        </w:rPr>
        <w:tab/>
      </w:r>
      <w:r w:rsidRPr="00D914C0">
        <w:rPr>
          <w:rFonts w:cs="Arial"/>
          <w:szCs w:val="22"/>
        </w:rPr>
        <w:tab/>
      </w:r>
      <w:r w:rsidRPr="00D914C0">
        <w:rPr>
          <w:rFonts w:cs="Arial"/>
          <w:b/>
          <w:szCs w:val="22"/>
        </w:rPr>
        <w:t>+ 0,10 %</w:t>
      </w:r>
    </w:p>
    <w:p w14:paraId="1302227E" w14:textId="77777777" w:rsidP="00AE3811" w:rsidR="00AE3811" w:rsidRDefault="00AE3811" w:rsidRPr="00D914C0">
      <w:pPr>
        <w:tabs>
          <w:tab w:pos="9072" w:val="right"/>
          <w:tab w:pos="10065" w:val="right"/>
        </w:tabs>
        <w:ind w:right="124"/>
        <w:jc w:val="both"/>
        <w:rPr>
          <w:rFonts w:cs="Arial"/>
          <w:szCs w:val="22"/>
        </w:rPr>
      </w:pPr>
    </w:p>
    <w:p w14:paraId="53F1EF8C" w14:textId="77777777" w:rsidP="00AE3811" w:rsidR="00AE3811" w:rsidRDefault="00AE3811" w:rsidRPr="00D914C0">
      <w:pPr>
        <w:tabs>
          <w:tab w:pos="9072" w:val="right"/>
          <w:tab w:pos="10065" w:val="right"/>
        </w:tabs>
        <w:ind w:right="124"/>
        <w:jc w:val="both"/>
        <w:rPr>
          <w:rFonts w:cs="Arial"/>
          <w:szCs w:val="22"/>
        </w:rPr>
      </w:pPr>
    </w:p>
    <w:p w14:paraId="037FBB69" w14:textId="77777777" w:rsidP="00AE3811" w:rsidR="00AE3811" w:rsidRDefault="00AE3811" w:rsidRPr="00D914C0">
      <w:pPr>
        <w:ind w:right="124"/>
        <w:jc w:val="both"/>
        <w:rPr>
          <w:rFonts w:cs="Arial"/>
          <w:b/>
          <w:szCs w:val="22"/>
          <w:u w:val="single"/>
        </w:rPr>
      </w:pPr>
      <w:r w:rsidRPr="00D914C0">
        <w:rPr>
          <w:rFonts w:cs="Arial"/>
          <w:b/>
          <w:szCs w:val="22"/>
          <w:u w:val="single"/>
        </w:rPr>
        <w:t xml:space="preserve">Panier de jour </w:t>
      </w:r>
      <w:r w:rsidRPr="00D914C0">
        <w:rPr>
          <w:rFonts w:cs="Arial"/>
          <w:b/>
          <w:szCs w:val="22"/>
        </w:rPr>
        <w:t>:</w:t>
      </w:r>
    </w:p>
    <w:p w14:paraId="56454DAF" w14:textId="61B17AC0" w:rsidP="00AE3811" w:rsidR="00AE3811" w:rsidRDefault="00AE3811" w:rsidRPr="00D914C0">
      <w:pPr>
        <w:tabs>
          <w:tab w:pos="8505" w:val="right"/>
          <w:tab w:pos="10065" w:val="right"/>
        </w:tabs>
        <w:ind w:right="124"/>
        <w:jc w:val="both"/>
        <w:rPr>
          <w:rFonts w:cs="Arial"/>
          <w:b/>
          <w:szCs w:val="22"/>
        </w:rPr>
      </w:pPr>
      <w:r w:rsidRPr="00D914C0">
        <w:rPr>
          <w:rFonts w:cs="Arial"/>
          <w:szCs w:val="22"/>
        </w:rPr>
        <w:t>Personnel posté</w:t>
      </w:r>
      <w:r w:rsidRPr="00D914C0">
        <w:rPr>
          <w:rFonts w:cs="Arial"/>
          <w:b/>
          <w:szCs w:val="22"/>
        </w:rPr>
        <w:t xml:space="preserve"> </w:t>
      </w:r>
      <w:r w:rsidRPr="00D914C0">
        <w:rPr>
          <w:rFonts w:cs="Arial"/>
          <w:szCs w:val="22"/>
        </w:rPr>
        <w:t>au 1</w:t>
      </w:r>
      <w:r w:rsidRPr="00D914C0">
        <w:rPr>
          <w:rFonts w:cs="Arial"/>
          <w:szCs w:val="22"/>
          <w:vertAlign w:val="superscript"/>
        </w:rPr>
        <w:t>er</w:t>
      </w:r>
      <w:r w:rsidRPr="00D914C0">
        <w:rPr>
          <w:rFonts w:cs="Arial"/>
          <w:szCs w:val="22"/>
        </w:rPr>
        <w:t xml:space="preserve"> janvier 202</w:t>
      </w:r>
      <w:r w:rsidR="00DA7868">
        <w:rPr>
          <w:rFonts w:cs="Arial"/>
          <w:szCs w:val="22"/>
        </w:rPr>
        <w:t>3</w:t>
      </w:r>
      <w:r w:rsidRPr="00D914C0">
        <w:rPr>
          <w:rFonts w:cs="Arial"/>
          <w:b/>
          <w:szCs w:val="22"/>
        </w:rPr>
        <w:t xml:space="preserve"> passe de 3,</w:t>
      </w:r>
      <w:r w:rsidR="00DA7868">
        <w:rPr>
          <w:rFonts w:cs="Arial"/>
          <w:b/>
          <w:szCs w:val="22"/>
        </w:rPr>
        <w:t>8</w:t>
      </w:r>
      <w:r w:rsidRPr="00D914C0">
        <w:rPr>
          <w:rFonts w:cs="Arial"/>
          <w:b/>
          <w:szCs w:val="22"/>
        </w:rPr>
        <w:t xml:space="preserve">0 € à </w:t>
      </w:r>
      <w:r w:rsidR="00DA7868">
        <w:rPr>
          <w:rFonts w:cs="Arial"/>
          <w:b/>
          <w:szCs w:val="22"/>
        </w:rPr>
        <w:t>4</w:t>
      </w:r>
      <w:r w:rsidR="00B361FF" w:rsidRPr="00D914C0">
        <w:rPr>
          <w:rFonts w:cs="Arial"/>
          <w:b/>
          <w:szCs w:val="22"/>
        </w:rPr>
        <w:t>,</w:t>
      </w:r>
      <w:r w:rsidR="00DA7868">
        <w:rPr>
          <w:rFonts w:cs="Arial"/>
          <w:b/>
          <w:szCs w:val="22"/>
        </w:rPr>
        <w:t>00</w:t>
      </w:r>
      <w:r w:rsidRPr="00D914C0">
        <w:rPr>
          <w:rFonts w:cs="Arial"/>
          <w:b/>
          <w:szCs w:val="22"/>
        </w:rPr>
        <w:t xml:space="preserve"> €</w:t>
      </w:r>
      <w:r w:rsidRPr="00D914C0">
        <w:rPr>
          <w:rFonts w:cs="Arial"/>
          <w:b/>
          <w:szCs w:val="22"/>
        </w:rPr>
        <w:tab/>
      </w:r>
      <w:r w:rsidRPr="00D914C0">
        <w:rPr>
          <w:rFonts w:cs="Arial"/>
          <w:b/>
          <w:szCs w:val="22"/>
        </w:rPr>
        <w:tab/>
        <w:t xml:space="preserve">+ </w:t>
      </w:r>
      <w:r w:rsidR="00B361FF" w:rsidRPr="00D914C0">
        <w:rPr>
          <w:rFonts w:cs="Arial"/>
          <w:b/>
          <w:szCs w:val="22"/>
        </w:rPr>
        <w:t>5</w:t>
      </w:r>
      <w:r w:rsidRPr="00D914C0">
        <w:rPr>
          <w:rFonts w:cs="Arial"/>
          <w:b/>
          <w:szCs w:val="22"/>
        </w:rPr>
        <w:t>,</w:t>
      </w:r>
      <w:r w:rsidR="000C1CED">
        <w:rPr>
          <w:rFonts w:cs="Arial"/>
          <w:b/>
          <w:szCs w:val="22"/>
        </w:rPr>
        <w:t>2</w:t>
      </w:r>
      <w:r w:rsidR="00B361FF" w:rsidRPr="00D914C0">
        <w:rPr>
          <w:rFonts w:cs="Arial"/>
          <w:b/>
          <w:szCs w:val="22"/>
        </w:rPr>
        <w:t>6</w:t>
      </w:r>
      <w:r w:rsidRPr="00D914C0">
        <w:rPr>
          <w:rFonts w:cs="Arial"/>
          <w:b/>
          <w:szCs w:val="22"/>
        </w:rPr>
        <w:t xml:space="preserve"> %</w:t>
      </w:r>
    </w:p>
    <w:p w14:paraId="3BC228A9" w14:textId="77777777" w:rsidP="00AE3811" w:rsidR="00AE3811" w:rsidRDefault="00AE3811" w:rsidRPr="00D914C0">
      <w:pPr>
        <w:tabs>
          <w:tab w:pos="8505" w:val="right"/>
          <w:tab w:pos="10065" w:val="right"/>
        </w:tabs>
        <w:ind w:left="708" w:right="124"/>
        <w:jc w:val="both"/>
        <w:rPr>
          <w:rFonts w:cs="Arial"/>
          <w:b/>
          <w:szCs w:val="22"/>
        </w:rPr>
      </w:pPr>
    </w:p>
    <w:p w14:paraId="229EBF6D" w14:textId="77777777" w:rsidP="00AE3811" w:rsidR="00AE3811" w:rsidRDefault="00AE3811" w:rsidRPr="00D914C0">
      <w:pPr>
        <w:tabs>
          <w:tab w:pos="9072" w:val="right"/>
        </w:tabs>
        <w:ind w:right="124"/>
        <w:jc w:val="both"/>
        <w:rPr>
          <w:rFonts w:cs="Arial"/>
          <w:sz w:val="18"/>
          <w:szCs w:val="18"/>
        </w:rPr>
      </w:pPr>
    </w:p>
    <w:p w14:paraId="3F227EE1" w14:textId="77777777" w:rsidP="00AE3811" w:rsidR="00AE3811" w:rsidRDefault="00AE3811" w:rsidRPr="00D914C0">
      <w:pPr>
        <w:ind w:right="124"/>
        <w:jc w:val="both"/>
        <w:rPr>
          <w:rFonts w:cs="Arial"/>
          <w:b/>
          <w:szCs w:val="22"/>
          <w:u w:val="single"/>
        </w:rPr>
      </w:pPr>
      <w:r w:rsidRPr="00D914C0">
        <w:rPr>
          <w:rFonts w:cs="Arial"/>
          <w:b/>
          <w:szCs w:val="22"/>
          <w:u w:val="single"/>
        </w:rPr>
        <w:t>Tickets repas</w:t>
      </w:r>
      <w:r w:rsidRPr="00D914C0">
        <w:rPr>
          <w:rFonts w:cs="Arial"/>
          <w:b/>
          <w:szCs w:val="22"/>
        </w:rPr>
        <w:t xml:space="preserve"> :</w:t>
      </w:r>
    </w:p>
    <w:p w14:paraId="296A661D" w14:textId="54836FB7" w:rsidP="00AE3811" w:rsidR="00AE3811" w:rsidRDefault="00AE3811" w:rsidRPr="002F461E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D914C0">
        <w:rPr>
          <w:rFonts w:cs="Arial"/>
          <w:szCs w:val="22"/>
        </w:rPr>
        <w:t>Personnel de jour - Passage de 1</w:t>
      </w:r>
      <w:r w:rsidR="00DA7868">
        <w:rPr>
          <w:rFonts w:cs="Arial"/>
          <w:szCs w:val="22"/>
        </w:rPr>
        <w:t>43</w:t>
      </w:r>
      <w:r w:rsidRPr="00D914C0">
        <w:rPr>
          <w:rFonts w:cs="Arial"/>
          <w:szCs w:val="22"/>
        </w:rPr>
        <w:t xml:space="preserve"> à </w:t>
      </w:r>
      <w:r w:rsidR="00B361FF" w:rsidRPr="00D914C0">
        <w:rPr>
          <w:rFonts w:cs="Arial"/>
          <w:b/>
          <w:szCs w:val="22"/>
        </w:rPr>
        <w:t>1</w:t>
      </w:r>
      <w:r w:rsidR="00DA7868">
        <w:rPr>
          <w:rFonts w:cs="Arial"/>
          <w:b/>
          <w:szCs w:val="22"/>
        </w:rPr>
        <w:t>5</w:t>
      </w:r>
      <w:r w:rsidR="00B361FF" w:rsidRPr="00D914C0">
        <w:rPr>
          <w:rFonts w:cs="Arial"/>
          <w:b/>
          <w:szCs w:val="22"/>
        </w:rPr>
        <w:t>3</w:t>
      </w:r>
      <w:r w:rsidRPr="00D914C0">
        <w:rPr>
          <w:rFonts w:cs="Arial"/>
          <w:b/>
          <w:szCs w:val="22"/>
        </w:rPr>
        <w:t xml:space="preserve"> du nombre de tickets</w:t>
      </w:r>
      <w:r w:rsidRPr="00D914C0">
        <w:rPr>
          <w:rFonts w:cs="Arial"/>
          <w:szCs w:val="22"/>
        </w:rPr>
        <w:t xml:space="preserve"> attribués annuellement (pour un temps complet) - Application en mai et novembre 202</w:t>
      </w:r>
      <w:r w:rsidR="00DA7868">
        <w:rPr>
          <w:rFonts w:cs="Arial"/>
          <w:szCs w:val="22"/>
        </w:rPr>
        <w:t>3</w:t>
      </w:r>
    </w:p>
    <w:p w14:paraId="77C8C0C8" w14:textId="75E08310" w:rsidP="00B75E3E" w:rsidR="00B75E3E" w:rsidRDefault="00B75E3E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4110E137" w14:textId="3F9CE41B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00E7B395" w14:textId="77777777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6B98A453" w14:textId="77777777" w:rsidP="00B75E3E" w:rsidR="00B75E3E" w:rsidRDefault="00B75E3E" w:rsidRPr="00710925">
      <w:pPr>
        <w:pStyle w:val="Paragraphedeliste"/>
        <w:jc w:val="both"/>
        <w:rPr>
          <w:rFonts w:cs="Arial"/>
          <w:b/>
          <w:i/>
          <w:szCs w:val="22"/>
          <w:u w:val="single"/>
        </w:rPr>
      </w:pPr>
      <w:r w:rsidRPr="00710925">
        <w:rPr>
          <w:rFonts w:cs="Arial"/>
          <w:b/>
          <w:i/>
          <w:szCs w:val="22"/>
          <w:u w:val="single"/>
        </w:rPr>
        <w:t>Durée et Organ</w:t>
      </w:r>
      <w:r>
        <w:rPr>
          <w:rFonts w:cs="Arial"/>
          <w:b/>
          <w:i/>
          <w:szCs w:val="22"/>
          <w:u w:val="single"/>
        </w:rPr>
        <w:t>isation de la durée du travail</w:t>
      </w:r>
    </w:p>
    <w:p w14:paraId="59E5051A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4201A783" w14:textId="5C9FBFDA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color w:val="000000"/>
          <w:szCs w:val="22"/>
        </w:rPr>
      </w:pPr>
      <w:r>
        <w:rPr>
          <w:rFonts w:cs="Arial"/>
          <w:szCs w:val="22"/>
        </w:rPr>
        <w:t>La durée du travail ne se trouve en rien modifiée par le présent accord ; la thématique ayant fait l’objet de négociations d’accord</w:t>
      </w:r>
      <w:r w:rsidR="00865C1A">
        <w:rPr>
          <w:rFonts w:cs="Arial"/>
          <w:szCs w:val="22"/>
        </w:rPr>
        <w:t>s par ailleurs qui sont toujours en vigueur.</w:t>
      </w:r>
      <w:r>
        <w:rPr>
          <w:rFonts w:cs="Arial"/>
          <w:szCs w:val="22"/>
        </w:rPr>
        <w:t xml:space="preserve"> </w:t>
      </w:r>
    </w:p>
    <w:p w14:paraId="656EB4DE" w14:textId="3472DF36" w:rsidP="00B75E3E" w:rsidR="00865C1A" w:rsidRDefault="00865C1A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54842A19" w14:textId="45C36C22" w:rsidP="00B75E3E" w:rsidR="00B75E3E" w:rsidRDefault="00B75E3E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751822A6" w14:textId="39F63364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351E4B2F" w14:textId="66372B54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6D862CE0" w14:textId="4F7474C7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41B0C33F" w14:textId="353F1045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4F5FEC60" w14:textId="2DFBF964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369B34FD" w14:textId="7B4CA892" w:rsidP="00B75E3E" w:rsidR="008D27DD" w:rsidRDefault="008D27DD">
      <w:pPr>
        <w:overflowPunct/>
        <w:autoSpaceDE/>
        <w:autoSpaceDN/>
        <w:adjustRightInd/>
        <w:textAlignment w:val="auto"/>
        <w:rPr>
          <w:rFonts w:cs="Arial"/>
          <w:szCs w:val="22"/>
        </w:rPr>
      </w:pPr>
    </w:p>
    <w:p w14:paraId="2EC15068" w14:textId="246A36E2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19C8508C" w14:textId="77777777" w:rsidP="00B75E3E" w:rsidR="008D27DD" w:rsidRDefault="008D27DD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493666E5" w14:textId="77777777" w:rsidP="00B75E3E" w:rsidR="00B75E3E" w:rsidRDefault="00B75E3E" w:rsidRPr="00710925">
      <w:pPr>
        <w:pStyle w:val="Paragraphedeliste"/>
        <w:jc w:val="both"/>
        <w:rPr>
          <w:rFonts w:cs="Arial"/>
          <w:b/>
          <w:i/>
          <w:szCs w:val="22"/>
          <w:u w:val="single"/>
        </w:rPr>
      </w:pPr>
      <w:r w:rsidRPr="00710925">
        <w:rPr>
          <w:rFonts w:cs="Arial"/>
          <w:b/>
          <w:i/>
          <w:szCs w:val="22"/>
          <w:u w:val="single"/>
        </w:rPr>
        <w:lastRenderedPageBreak/>
        <w:t>Partage de la valeur ajoutée</w:t>
      </w:r>
    </w:p>
    <w:p w14:paraId="47164A1D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3D261C18" w14:textId="162DA951" w:rsidP="00B75E3E" w:rsidR="00B75E3E" w:rsidRDefault="00B75E3E" w:rsidRPr="00710925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710925">
        <w:rPr>
          <w:rFonts w:cs="Arial"/>
          <w:szCs w:val="22"/>
        </w:rPr>
        <w:t xml:space="preserve">Il est précisé que des protocoles d’accord indépendants </w:t>
      </w:r>
      <w:r>
        <w:rPr>
          <w:rFonts w:cs="Arial"/>
          <w:szCs w:val="22"/>
        </w:rPr>
        <w:t xml:space="preserve">ont été signés sur </w:t>
      </w:r>
      <w:r w:rsidRPr="00710925">
        <w:rPr>
          <w:rFonts w:cs="Arial"/>
          <w:szCs w:val="22"/>
        </w:rPr>
        <w:t>les thèmes suivants :</w:t>
      </w:r>
    </w:p>
    <w:p w14:paraId="7A108B39" w14:textId="77777777" w:rsidP="00B75E3E" w:rsidR="00B75E3E" w:rsidRDefault="00B75E3E">
      <w:pPr>
        <w:tabs>
          <w:tab w:pos="9072" w:val="right"/>
        </w:tabs>
        <w:jc w:val="both"/>
        <w:rPr>
          <w:rFonts w:cs="Arial"/>
          <w:i/>
          <w:szCs w:val="22"/>
        </w:rPr>
      </w:pPr>
    </w:p>
    <w:p w14:paraId="67BA06FC" w14:textId="77777777" w:rsidP="00B75E3E" w:rsidR="00B75E3E" w:rsidRDefault="00B75E3E" w:rsidRPr="00E954D0">
      <w:pPr>
        <w:pStyle w:val="Paragraphedeliste"/>
        <w:numPr>
          <w:ilvl w:val="0"/>
          <w:numId w:val="6"/>
        </w:numPr>
        <w:ind w:left="1068"/>
        <w:jc w:val="both"/>
        <w:rPr>
          <w:rFonts w:cs="Arial"/>
          <w:i/>
          <w:sz w:val="24"/>
          <w:szCs w:val="24"/>
          <w:u w:val="single"/>
        </w:rPr>
      </w:pPr>
      <w:r w:rsidRPr="00E954D0">
        <w:rPr>
          <w:rFonts w:cs="Arial"/>
          <w:i/>
          <w:sz w:val="24"/>
          <w:szCs w:val="24"/>
          <w:u w:val="single"/>
        </w:rPr>
        <w:t>Réserve Spéciale de Participation</w:t>
      </w:r>
    </w:p>
    <w:p w14:paraId="66AAE65C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45543814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  <w:r>
        <w:rPr>
          <w:rFonts w:cs="Arial"/>
          <w:szCs w:val="22"/>
        </w:rPr>
        <w:t>La signature de l’accord de participation est intervenue le 05 mai 2017.</w:t>
      </w:r>
    </w:p>
    <w:p w14:paraId="4AF83D3E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30525588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  <w:r>
        <w:rPr>
          <w:rFonts w:cs="Arial"/>
          <w:szCs w:val="22"/>
        </w:rPr>
        <w:t>Il est rappelé que l</w:t>
      </w:r>
      <w:r w:rsidRPr="00817C8C">
        <w:rPr>
          <w:rFonts w:cs="Arial"/>
          <w:szCs w:val="22"/>
        </w:rPr>
        <w:t xml:space="preserve">a formule de calcul applicable </w:t>
      </w:r>
      <w:r>
        <w:rPr>
          <w:rFonts w:cs="Arial"/>
          <w:szCs w:val="22"/>
        </w:rPr>
        <w:t>est</w:t>
      </w:r>
      <w:r w:rsidRPr="00817C8C">
        <w:rPr>
          <w:rFonts w:cs="Arial"/>
          <w:szCs w:val="22"/>
        </w:rPr>
        <w:t xml:space="preserve"> définie par l'article </w:t>
      </w:r>
      <w:hyperlink r:id="rId11" w:history="1">
        <w:r w:rsidRPr="00817C8C">
          <w:rPr>
            <w:szCs w:val="22"/>
          </w:rPr>
          <w:t>L. 3324-1</w:t>
        </w:r>
      </w:hyperlink>
      <w:r w:rsidRPr="00817C8C">
        <w:rPr>
          <w:rFonts w:cs="Arial"/>
          <w:szCs w:val="22"/>
        </w:rPr>
        <w:t xml:space="preserve"> du code du travail :</w:t>
      </w:r>
      <w:r>
        <w:rPr>
          <w:rFonts w:cs="Arial"/>
          <w:szCs w:val="22"/>
        </w:rPr>
        <w:t xml:space="preserve"> </w:t>
      </w:r>
    </w:p>
    <w:p w14:paraId="61A80C5C" w14:textId="77777777" w:rsidP="00B75E3E" w:rsidR="00B75E3E" w:rsidRDefault="00B75E3E" w:rsidRPr="00817C8C">
      <w:pPr>
        <w:tabs>
          <w:tab w:pos="9072" w:val="right"/>
        </w:tabs>
        <w:ind w:left="348"/>
        <w:jc w:val="center"/>
        <w:rPr>
          <w:rFonts w:cs="Arial"/>
          <w:szCs w:val="22"/>
        </w:rPr>
      </w:pPr>
      <w:r w:rsidRPr="00817C8C">
        <w:rPr>
          <w:rFonts w:cs="Arial"/>
          <w:noProof/>
          <w:szCs w:val="22"/>
          <w:lang w:eastAsia="fr-FR"/>
        </w:rPr>
        <w:drawing>
          <wp:inline distB="0" distL="0" distR="0" distT="0" wp14:anchorId="5E374769" wp14:editId="09BB6D33">
            <wp:extent cx="3329940" cy="676275"/>
            <wp:effectExtent b="9525" l="0" r="3810" t="0"/>
            <wp:docPr descr="http://www.elnet.fr/documentation/hulkStatic/EL/CD02/ETD/Z2106/sharp_/ANX/z2106eq1.gif"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www.elnet.fr/documentation/hulkStatic/EL/CD02/ETD/Z2106/sharp_/ANX/z2106eq1.gif" id="0" name="Picture 4"/>
                    <pic:cNvPicPr>
                      <a:picLocks noChangeArrowheads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09FB" w14:textId="77777777" w:rsidP="00B75E3E" w:rsidR="00B75E3E" w:rsidRDefault="00B75E3E" w:rsidRPr="00192284">
      <w:pPr>
        <w:tabs>
          <w:tab w:pos="851" w:val="left"/>
        </w:tabs>
        <w:ind w:left="348"/>
        <w:rPr>
          <w:i/>
          <w:sz w:val="21"/>
        </w:rPr>
      </w:pPr>
      <w:r w:rsidRPr="00192284">
        <w:rPr>
          <w:rFonts w:cs="Arial"/>
          <w:i/>
          <w:sz w:val="21"/>
          <w:szCs w:val="22"/>
        </w:rPr>
        <w:t xml:space="preserve">RSP : </w:t>
      </w:r>
      <w:r>
        <w:rPr>
          <w:rFonts w:cs="Arial"/>
          <w:i/>
          <w:sz w:val="21"/>
          <w:szCs w:val="22"/>
        </w:rPr>
        <w:tab/>
      </w:r>
      <w:r w:rsidRPr="00192284">
        <w:rPr>
          <w:rFonts w:cs="Arial"/>
          <w:i/>
          <w:sz w:val="21"/>
          <w:szCs w:val="22"/>
        </w:rPr>
        <w:t>réserve spéciale de participation</w:t>
      </w:r>
    </w:p>
    <w:p w14:paraId="1B5E8C85" w14:textId="77777777" w:rsidP="00B75E3E" w:rsidR="00B75E3E" w:rsidRDefault="00B75E3E" w:rsidRPr="00192284">
      <w:pPr>
        <w:tabs>
          <w:tab w:pos="851" w:val="left"/>
        </w:tabs>
        <w:ind w:left="348"/>
        <w:rPr>
          <w:i/>
          <w:sz w:val="21"/>
        </w:rPr>
      </w:pPr>
      <w:r w:rsidRPr="00192284">
        <w:rPr>
          <w:rFonts w:cs="Arial"/>
          <w:i/>
          <w:sz w:val="21"/>
          <w:szCs w:val="22"/>
        </w:rPr>
        <w:t xml:space="preserve">B : </w:t>
      </w:r>
      <w:r>
        <w:rPr>
          <w:rFonts w:cs="Arial"/>
          <w:i/>
          <w:sz w:val="21"/>
          <w:szCs w:val="22"/>
        </w:rPr>
        <w:tab/>
      </w:r>
      <w:r w:rsidRPr="00192284">
        <w:rPr>
          <w:rFonts w:cs="Arial"/>
          <w:i/>
          <w:sz w:val="21"/>
          <w:szCs w:val="22"/>
        </w:rPr>
        <w:t>bénéfice net</w:t>
      </w:r>
    </w:p>
    <w:p w14:paraId="154195D9" w14:textId="77777777" w:rsidP="00B75E3E" w:rsidR="00B75E3E" w:rsidRDefault="00B75E3E" w:rsidRPr="00192284">
      <w:pPr>
        <w:tabs>
          <w:tab w:pos="851" w:val="left"/>
        </w:tabs>
        <w:ind w:left="348"/>
        <w:rPr>
          <w:i/>
          <w:sz w:val="21"/>
        </w:rPr>
      </w:pPr>
      <w:r w:rsidRPr="00192284">
        <w:rPr>
          <w:rFonts w:cs="Arial"/>
          <w:i/>
          <w:sz w:val="21"/>
          <w:szCs w:val="22"/>
        </w:rPr>
        <w:t xml:space="preserve">C : </w:t>
      </w:r>
      <w:r>
        <w:rPr>
          <w:rFonts w:cs="Arial"/>
          <w:i/>
          <w:sz w:val="21"/>
          <w:szCs w:val="22"/>
        </w:rPr>
        <w:tab/>
      </w:r>
      <w:r w:rsidRPr="00192284">
        <w:rPr>
          <w:rFonts w:cs="Arial"/>
          <w:i/>
          <w:sz w:val="21"/>
          <w:szCs w:val="22"/>
        </w:rPr>
        <w:t>capitaux propres de l'entreprise</w:t>
      </w:r>
    </w:p>
    <w:p w14:paraId="101E5CE8" w14:textId="77777777" w:rsidP="00B75E3E" w:rsidR="00B75E3E" w:rsidRDefault="00B75E3E" w:rsidRPr="00192284">
      <w:pPr>
        <w:tabs>
          <w:tab w:pos="851" w:val="left"/>
        </w:tabs>
        <w:ind w:left="348"/>
        <w:rPr>
          <w:i/>
          <w:sz w:val="21"/>
        </w:rPr>
      </w:pPr>
      <w:r w:rsidRPr="00192284">
        <w:rPr>
          <w:rFonts w:cs="Arial"/>
          <w:i/>
          <w:sz w:val="21"/>
          <w:szCs w:val="22"/>
        </w:rPr>
        <w:t xml:space="preserve">S : </w:t>
      </w:r>
      <w:r>
        <w:rPr>
          <w:rFonts w:cs="Arial"/>
          <w:i/>
          <w:sz w:val="21"/>
          <w:szCs w:val="22"/>
        </w:rPr>
        <w:tab/>
      </w:r>
      <w:r w:rsidRPr="00192284">
        <w:rPr>
          <w:rFonts w:cs="Arial"/>
          <w:i/>
          <w:sz w:val="21"/>
          <w:szCs w:val="22"/>
        </w:rPr>
        <w:t>masse salariale</w:t>
      </w:r>
    </w:p>
    <w:p w14:paraId="77DEF729" w14:textId="77777777" w:rsidP="00B75E3E" w:rsidR="00B75E3E" w:rsidRDefault="00B75E3E" w:rsidRPr="00192284">
      <w:pPr>
        <w:tabs>
          <w:tab w:pos="851" w:val="left"/>
        </w:tabs>
        <w:ind w:left="348"/>
        <w:rPr>
          <w:i/>
          <w:sz w:val="21"/>
        </w:rPr>
      </w:pPr>
      <w:r w:rsidRPr="00192284">
        <w:rPr>
          <w:rFonts w:cs="Arial"/>
          <w:i/>
          <w:sz w:val="21"/>
          <w:szCs w:val="22"/>
        </w:rPr>
        <w:t xml:space="preserve">VA : </w:t>
      </w:r>
      <w:r>
        <w:rPr>
          <w:rFonts w:cs="Arial"/>
          <w:i/>
          <w:sz w:val="21"/>
          <w:szCs w:val="22"/>
        </w:rPr>
        <w:tab/>
      </w:r>
      <w:r w:rsidRPr="00192284">
        <w:rPr>
          <w:rFonts w:cs="Arial"/>
          <w:i/>
          <w:sz w:val="21"/>
          <w:szCs w:val="22"/>
        </w:rPr>
        <w:t>valeur ajoutée</w:t>
      </w:r>
    </w:p>
    <w:p w14:paraId="3FBCD9A7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4AF6BBF3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i/>
          <w:szCs w:val="22"/>
        </w:rPr>
      </w:pPr>
    </w:p>
    <w:p w14:paraId="769542C6" w14:textId="77777777" w:rsidP="00B75E3E" w:rsidR="00B75E3E" w:rsidRDefault="00B75E3E" w:rsidRPr="00E954D0">
      <w:pPr>
        <w:pStyle w:val="Paragraphedeliste"/>
        <w:numPr>
          <w:ilvl w:val="0"/>
          <w:numId w:val="6"/>
        </w:numPr>
        <w:ind w:left="1068"/>
        <w:jc w:val="both"/>
        <w:rPr>
          <w:rFonts w:cs="Arial"/>
          <w:i/>
          <w:sz w:val="24"/>
          <w:szCs w:val="24"/>
          <w:u w:val="single"/>
        </w:rPr>
      </w:pPr>
      <w:r w:rsidRPr="00E954D0">
        <w:rPr>
          <w:rFonts w:cs="Arial"/>
          <w:i/>
          <w:sz w:val="24"/>
          <w:szCs w:val="24"/>
          <w:u w:val="single"/>
        </w:rPr>
        <w:t>Réserve Spéciale d’Intéressement</w:t>
      </w:r>
    </w:p>
    <w:p w14:paraId="572F9C8A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589548A7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La signature de l’accord d’intéressement industriel triennal </w:t>
      </w:r>
      <w:r w:rsidRPr="00B75E3E">
        <w:rPr>
          <w:rFonts w:cs="Arial"/>
          <w:szCs w:val="22"/>
        </w:rPr>
        <w:t>est intervenue le 03 février 2020.</w:t>
      </w:r>
    </w:p>
    <w:p w14:paraId="7211056F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120A5A34" w14:textId="2301C6A0" w:rsidP="00B75E3E" w:rsidR="00B75E3E" w:rsidRDefault="00E07880">
      <w:pPr>
        <w:tabs>
          <w:tab w:pos="9072" w:val="right"/>
        </w:tabs>
        <w:ind w:left="348"/>
        <w:jc w:val="both"/>
        <w:rPr>
          <w:rFonts w:cs="Arial"/>
          <w:szCs w:val="22"/>
        </w:rPr>
      </w:pPr>
      <w:r>
        <w:rPr>
          <w:rFonts w:cs="Arial"/>
          <w:szCs w:val="22"/>
        </w:rPr>
        <w:t>Une</w:t>
      </w:r>
      <w:r w:rsidR="00B75E3E">
        <w:rPr>
          <w:rFonts w:cs="Arial"/>
          <w:szCs w:val="22"/>
        </w:rPr>
        <w:t xml:space="preserve"> réunion de négociation d’un </w:t>
      </w:r>
      <w:r w:rsidR="00AA5444">
        <w:rPr>
          <w:rFonts w:cs="Arial"/>
          <w:szCs w:val="22"/>
        </w:rPr>
        <w:t>nouvel</w:t>
      </w:r>
      <w:r w:rsidR="00B75E3E">
        <w:rPr>
          <w:rFonts w:cs="Arial"/>
          <w:szCs w:val="22"/>
        </w:rPr>
        <w:t xml:space="preserve"> accord </w:t>
      </w:r>
      <w:r>
        <w:rPr>
          <w:rFonts w:cs="Arial"/>
          <w:szCs w:val="22"/>
        </w:rPr>
        <w:t>est</w:t>
      </w:r>
      <w:r w:rsidR="00B75E3E">
        <w:rPr>
          <w:rFonts w:cs="Arial"/>
          <w:szCs w:val="22"/>
        </w:rPr>
        <w:t xml:space="preserve"> programmée début 202</w:t>
      </w:r>
      <w:r w:rsidR="00AA5444">
        <w:rPr>
          <w:rFonts w:cs="Arial"/>
          <w:szCs w:val="22"/>
        </w:rPr>
        <w:t>3</w:t>
      </w:r>
      <w:r w:rsidR="00B75E3E">
        <w:rPr>
          <w:rFonts w:cs="Arial"/>
          <w:szCs w:val="22"/>
        </w:rPr>
        <w:t xml:space="preserve">. </w:t>
      </w:r>
    </w:p>
    <w:p w14:paraId="32333F81" w14:textId="77777777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7317FDB2" w14:textId="34C6D989" w:rsidP="00B75E3E" w:rsidR="00B75E3E" w:rsidRDefault="00B75E3E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4B942BF8" w14:textId="77777777" w:rsidP="00B75E3E" w:rsidR="008D27DD" w:rsidRDefault="008D27DD">
      <w:pPr>
        <w:tabs>
          <w:tab w:pos="9072" w:val="right"/>
        </w:tabs>
        <w:ind w:left="348"/>
        <w:jc w:val="both"/>
        <w:rPr>
          <w:rFonts w:cs="Arial"/>
          <w:szCs w:val="22"/>
        </w:rPr>
      </w:pPr>
    </w:p>
    <w:p w14:paraId="7A6C7A97" w14:textId="77777777" w:rsidP="00B75E3E" w:rsidR="00B75E3E" w:rsidRDefault="00B75E3E" w:rsidRPr="001B5AEF">
      <w:pPr>
        <w:jc w:val="both"/>
        <w:rPr>
          <w:b/>
          <w:szCs w:val="22"/>
          <w:u w:val="single"/>
        </w:rPr>
      </w:pPr>
      <w:r w:rsidRPr="001B5AEF">
        <w:rPr>
          <w:b/>
          <w:szCs w:val="22"/>
          <w:u w:val="single"/>
        </w:rPr>
        <w:t>Article 4 : Egalité professionnelle femmes / hommes et Qualité de vie au travail</w:t>
      </w:r>
    </w:p>
    <w:p w14:paraId="2EA7E679" w14:textId="77777777" w:rsidP="00B75E3E" w:rsidR="00B75E3E" w:rsidRDefault="00B75E3E" w:rsidRPr="001B5AEF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7A416DEB" w14:textId="27489165" w:rsidP="00B75E3E" w:rsidR="00B75E3E" w:rsidRDefault="00B75E3E" w:rsidRPr="001B5AEF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1B5AEF">
        <w:rPr>
          <w:rFonts w:cs="Arial"/>
          <w:szCs w:val="22"/>
        </w:rPr>
        <w:t>La Direction s’engage à poursuivre ses efforts dans toute la mesure du possible en matière</w:t>
      </w:r>
      <w:r w:rsidR="00C166F9" w:rsidRPr="001B5AEF">
        <w:rPr>
          <w:rFonts w:cs="Arial"/>
          <w:szCs w:val="22"/>
        </w:rPr>
        <w:t xml:space="preserve"> d’égalité professionnelle des femmes et des hommes</w:t>
      </w:r>
      <w:r w:rsidRPr="001B5AEF">
        <w:rPr>
          <w:rFonts w:cs="Arial"/>
          <w:szCs w:val="22"/>
        </w:rPr>
        <w:t xml:space="preserve"> </w:t>
      </w:r>
      <w:r w:rsidR="00C166F9" w:rsidRPr="001B5AEF">
        <w:rPr>
          <w:rFonts w:cs="Arial"/>
          <w:szCs w:val="22"/>
        </w:rPr>
        <w:t>conformément à</w:t>
      </w:r>
      <w:r w:rsidRPr="001B5AEF">
        <w:rPr>
          <w:rFonts w:cs="Arial"/>
          <w:szCs w:val="22"/>
        </w:rPr>
        <w:t xml:space="preserve"> l’accord sur l’égalité professionnelle </w:t>
      </w:r>
      <w:r w:rsidR="00C166F9" w:rsidRPr="001B5AEF">
        <w:rPr>
          <w:rFonts w:cs="Arial"/>
          <w:szCs w:val="22"/>
        </w:rPr>
        <w:t>du 07 décembre 2021.</w:t>
      </w:r>
    </w:p>
    <w:p w14:paraId="3B22D8E4" w14:textId="77777777" w:rsidP="00B75E3E" w:rsidR="00B75E3E" w:rsidRDefault="00B75E3E" w:rsidRPr="001B5AEF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42E77ADE" w14:textId="7491131F" w:rsidP="00B75E3E" w:rsidR="00B75E3E" w:rsidRDefault="00B75E3E" w:rsidRPr="001B5AEF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1B5AEF">
        <w:rPr>
          <w:rFonts w:cs="Arial"/>
          <w:szCs w:val="22"/>
        </w:rPr>
        <w:t>L’index de l’égalité professionnelle 20</w:t>
      </w:r>
      <w:r w:rsidR="00C166F9" w:rsidRPr="001B5AEF">
        <w:rPr>
          <w:rFonts w:cs="Arial"/>
          <w:szCs w:val="22"/>
        </w:rPr>
        <w:t>2</w:t>
      </w:r>
      <w:r w:rsidR="00DA7868">
        <w:rPr>
          <w:rFonts w:cs="Arial"/>
          <w:szCs w:val="22"/>
        </w:rPr>
        <w:t>1</w:t>
      </w:r>
      <w:r w:rsidRPr="001B5AEF">
        <w:rPr>
          <w:rFonts w:cs="Arial"/>
          <w:szCs w:val="22"/>
        </w:rPr>
        <w:t xml:space="preserve"> a été publié dans les règles et le CSE en a été informé.</w:t>
      </w:r>
    </w:p>
    <w:p w14:paraId="3645B273" w14:textId="77777777" w:rsidP="00B75E3E" w:rsidR="00B75E3E" w:rsidRDefault="00B75E3E" w:rsidRPr="001B5AEF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2ADBADA3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1B5AEF">
        <w:rPr>
          <w:rFonts w:cs="Arial"/>
          <w:szCs w:val="22"/>
        </w:rPr>
        <w:t>Dans le cadre de la Qualité de Vie au Travail, une charte portant sur le droit à la déconnexion a été signée en 2018.</w:t>
      </w:r>
    </w:p>
    <w:p w14:paraId="48A1011C" w14:textId="0E67A2B6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38D9DCE3" w14:textId="18FBAFDB" w:rsidP="00B75E3E" w:rsidR="008D27DD" w:rsidRDefault="008D27DD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63B4602B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19DA3906" w14:textId="77777777" w:rsidP="00B75E3E" w:rsidR="00B75E3E" w:rsidRDefault="00B75E3E" w:rsidRPr="00550C6D">
      <w:pPr>
        <w:jc w:val="both"/>
        <w:rPr>
          <w:b/>
          <w:szCs w:val="22"/>
          <w:u w:val="single"/>
        </w:rPr>
      </w:pPr>
      <w:r w:rsidRPr="00550C6D">
        <w:rPr>
          <w:b/>
          <w:szCs w:val="22"/>
          <w:u w:val="single"/>
        </w:rPr>
        <w:t xml:space="preserve">Article </w:t>
      </w:r>
      <w:r>
        <w:rPr>
          <w:b/>
          <w:szCs w:val="22"/>
          <w:u w:val="single"/>
        </w:rPr>
        <w:t>5</w:t>
      </w:r>
      <w:r w:rsidRPr="00550C6D">
        <w:rPr>
          <w:b/>
          <w:szCs w:val="22"/>
          <w:u w:val="single"/>
        </w:rPr>
        <w:t> : Publicité de l’accord</w:t>
      </w:r>
      <w:r w:rsidRPr="00E70F77">
        <w:rPr>
          <w:b/>
          <w:szCs w:val="22"/>
        </w:rPr>
        <w:t> :</w:t>
      </w:r>
    </w:p>
    <w:p w14:paraId="63CA6821" w14:textId="77777777" w:rsidP="00B75E3E" w:rsidR="00B75E3E" w:rsidRDefault="00B75E3E" w:rsidRPr="00550C6D">
      <w:pPr>
        <w:jc w:val="both"/>
        <w:rPr>
          <w:szCs w:val="22"/>
        </w:rPr>
      </w:pPr>
    </w:p>
    <w:p w14:paraId="6709A8BB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850383">
        <w:rPr>
          <w:rFonts w:cs="Arial"/>
          <w:szCs w:val="22"/>
        </w:rPr>
        <w:t>La Société notifiera le texte à l’ensemble des organisations représentatives.</w:t>
      </w:r>
    </w:p>
    <w:p w14:paraId="789AF99A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6C6689D2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34C22750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850383">
        <w:rPr>
          <w:rFonts w:cs="Arial"/>
          <w:szCs w:val="22"/>
        </w:rPr>
        <w:t>Le présent accord sera déposé, accompagné des pièces constitutives du dossier de dépôt, par le représentant légal de l'entreprise :</w:t>
      </w:r>
      <w:r>
        <w:rPr>
          <w:rFonts w:cs="Arial"/>
          <w:szCs w:val="22"/>
        </w:rPr>
        <w:t xml:space="preserve"> </w:t>
      </w:r>
    </w:p>
    <w:p w14:paraId="176B02CE" w14:textId="77777777" w:rsidP="00B75E3E" w:rsidR="00B75E3E" w:rsidRDefault="00B75E3E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7F574B09" w14:textId="77777777" w:rsidP="00B75E3E" w:rsidR="00B75E3E" w:rsidRDefault="00B75E3E" w:rsidRPr="004B21D9">
      <w:pPr>
        <w:pStyle w:val="Paragraphedeliste"/>
        <w:numPr>
          <w:ilvl w:val="0"/>
          <w:numId w:val="10"/>
        </w:num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4B21D9">
        <w:rPr>
          <w:rFonts w:cs="Arial"/>
          <w:szCs w:val="22"/>
        </w:rPr>
        <w:t xml:space="preserve">sur la plateforme de télé-procédure du Ministère du Travail (à titre informatif, à ce jour </w:t>
      </w:r>
      <w:hyperlink r:id="rId13" w:history="1">
        <w:r w:rsidRPr="004B21D9">
          <w:rPr>
            <w:rFonts w:cs="Arial"/>
            <w:szCs w:val="22"/>
          </w:rPr>
          <w:t>www.teleaccords.travail-emploi.gouv.fr</w:t>
        </w:r>
      </w:hyperlink>
      <w:r w:rsidRPr="004B21D9">
        <w:rPr>
          <w:rFonts w:cs="Arial"/>
          <w:szCs w:val="22"/>
        </w:rPr>
        <w:t>) en deux versions à savoir une version intégrale et une version anonymisée</w:t>
      </w:r>
      <w:r>
        <w:rPr>
          <w:rFonts w:cs="Arial"/>
          <w:szCs w:val="22"/>
        </w:rPr>
        <w:t>.</w:t>
      </w:r>
    </w:p>
    <w:p w14:paraId="52E68CEF" w14:textId="77777777" w:rsidP="00B75E3E" w:rsidR="00B75E3E" w:rsidRDefault="00B75E3E" w:rsidRPr="00850383">
      <w:pPr>
        <w:pStyle w:val="Paragraphedeliste"/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71B97F9E" w14:textId="77777777" w:rsidP="00B75E3E" w:rsidR="00B75E3E" w:rsidRDefault="00B75E3E" w:rsidRPr="00850383">
      <w:pPr>
        <w:pStyle w:val="Paragraphedeliste"/>
        <w:numPr>
          <w:ilvl w:val="0"/>
          <w:numId w:val="10"/>
        </w:num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850383">
        <w:rPr>
          <w:rFonts w:cs="Arial"/>
          <w:szCs w:val="22"/>
        </w:rPr>
        <w:t>au secrétariat greffe du Conseil de prud’hommes en 1 exemplaire.</w:t>
      </w:r>
    </w:p>
    <w:p w14:paraId="7461C595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65E5E8A0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850383">
        <w:rPr>
          <w:rFonts w:cs="Arial"/>
          <w:szCs w:val="22"/>
        </w:rPr>
        <w:t>Le texte du présent accord est également affiché dans l’entreprise aux endroits habituels.</w:t>
      </w:r>
    </w:p>
    <w:p w14:paraId="401A39F0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492D70AC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  <w:r w:rsidRPr="00850383">
        <w:rPr>
          <w:rFonts w:cs="Arial"/>
          <w:szCs w:val="22"/>
        </w:rPr>
        <w:t>Ces dépôts seront effectués par l’employeur.</w:t>
      </w:r>
    </w:p>
    <w:p w14:paraId="6F485112" w14:textId="77777777" w:rsidP="00B75E3E" w:rsidR="00B75E3E" w:rsidRDefault="00B75E3E" w:rsidRPr="00850383">
      <w:pPr>
        <w:tabs>
          <w:tab w:pos="9072" w:val="right"/>
        </w:tabs>
        <w:ind w:right="124"/>
        <w:jc w:val="both"/>
        <w:rPr>
          <w:rFonts w:cs="Arial"/>
          <w:szCs w:val="22"/>
        </w:rPr>
      </w:pPr>
    </w:p>
    <w:p w14:paraId="445B1088" w14:textId="77777777" w:rsidP="00B75E3E" w:rsidR="00B75E3E" w:rsidRDefault="00B75E3E">
      <w:pPr>
        <w:jc w:val="both"/>
        <w:rPr>
          <w:sz w:val="20"/>
        </w:rPr>
      </w:pPr>
    </w:p>
    <w:p w14:paraId="749607F2" w14:textId="7D5F9B0A" w:rsidP="00B75E3E" w:rsidR="00B75E3E" w:rsidRDefault="00B75E3E">
      <w:pPr>
        <w:ind w:left="4253"/>
        <w:jc w:val="both"/>
        <w:rPr>
          <w:sz w:val="20"/>
        </w:rPr>
      </w:pPr>
      <w:r>
        <w:rPr>
          <w:sz w:val="20"/>
        </w:rPr>
        <w:t xml:space="preserve">Fait à </w:t>
      </w:r>
      <w:r w:rsidR="009564BD">
        <w:rPr>
          <w:sz w:val="20"/>
        </w:rPr>
        <w:t>Aniche en 7</w:t>
      </w:r>
      <w:r w:rsidRPr="00045B32">
        <w:rPr>
          <w:sz w:val="20"/>
        </w:rPr>
        <w:t xml:space="preserve"> exemplaires originaux, le </w:t>
      </w:r>
      <w:r w:rsidR="00DA7868">
        <w:rPr>
          <w:sz w:val="20"/>
        </w:rPr>
        <w:t>24</w:t>
      </w:r>
      <w:r>
        <w:rPr>
          <w:sz w:val="20"/>
        </w:rPr>
        <w:t xml:space="preserve"> </w:t>
      </w:r>
      <w:r w:rsidR="00DA7868">
        <w:rPr>
          <w:sz w:val="20"/>
        </w:rPr>
        <w:t>novem</w:t>
      </w:r>
      <w:r>
        <w:rPr>
          <w:sz w:val="20"/>
        </w:rPr>
        <w:t>bre 202</w:t>
      </w:r>
      <w:r w:rsidR="00DA7868">
        <w:rPr>
          <w:sz w:val="20"/>
        </w:rPr>
        <w:t>2</w:t>
      </w:r>
    </w:p>
    <w:p w14:paraId="3ABBC740" w14:textId="77777777" w:rsidP="00B75E3E" w:rsidR="00B75E3E" w:rsidRDefault="00B75E3E">
      <w:pPr>
        <w:jc w:val="both"/>
        <w:rPr>
          <w:sz w:val="20"/>
        </w:rPr>
      </w:pPr>
    </w:p>
    <w:p w14:paraId="50D7B14C" w14:textId="77777777" w:rsidP="00B75E3E" w:rsidR="00B75E3E" w:rsidRDefault="00B75E3E" w:rsidRPr="00045B32">
      <w:pPr>
        <w:jc w:val="both"/>
        <w:rPr>
          <w:sz w:val="20"/>
        </w:rPr>
      </w:pPr>
    </w:p>
    <w:p w14:paraId="590CA352" w14:textId="77777777" w:rsidP="00B75E3E" w:rsidR="00B75E3E" w:rsidRDefault="00B75E3E" w:rsidRPr="00045B32">
      <w:pPr>
        <w:jc w:val="both"/>
        <w:rPr>
          <w:sz w:val="20"/>
        </w:rPr>
      </w:pPr>
    </w:p>
    <w:p w14:paraId="0E49C291" w14:textId="77777777" w:rsidP="009564BD" w:rsidR="009564BD" w:rsidRDefault="009564BD" w:rsidRPr="009564BD">
      <w:pPr>
        <w:jc w:val="both"/>
        <w:rPr>
          <w:rFonts w:cs="Arial"/>
          <w:b/>
          <w:sz w:val="20"/>
          <w:u w:val="single"/>
        </w:rPr>
      </w:pPr>
      <w:r w:rsidRPr="009564BD">
        <w:rPr>
          <w:rFonts w:cs="Arial"/>
          <w:b/>
          <w:sz w:val="20"/>
          <w:u w:val="single"/>
        </w:rPr>
        <w:t>Pour les Organisations syndicales :</w:t>
      </w:r>
    </w:p>
    <w:p w14:paraId="3EB9F44A" w14:textId="77777777" w:rsidP="009564BD" w:rsidR="009564BD" w:rsidRDefault="009564BD" w:rsidRPr="009564BD">
      <w:pPr>
        <w:jc w:val="both"/>
        <w:rPr>
          <w:rFonts w:cs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5108"/>
        <w:gridCol w:w="5097"/>
      </w:tblGrid>
      <w:tr w14:paraId="299E0A5F" w14:textId="77777777" w:rsidR="009564BD" w:rsidRPr="009564BD" w:rsidTr="006C259F">
        <w:tc>
          <w:tcPr>
            <w:tcW w:type="dxa" w:w="5210"/>
          </w:tcPr>
          <w:p w14:paraId="7EDD9CE3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  <w:r w:rsidRPr="009564BD">
              <w:rPr>
                <w:rFonts w:cs="Arial"/>
                <w:sz w:val="20"/>
              </w:rPr>
              <w:t>CFE/CGC</w:t>
            </w:r>
          </w:p>
          <w:p w14:paraId="16D8A0C9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0F9CFD4A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14ADB130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667345D8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6F4B4D47" w14:textId="51D4324E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36E08685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</w:tc>
        <w:tc>
          <w:tcPr>
            <w:tcW w:type="dxa" w:w="5211"/>
          </w:tcPr>
          <w:p w14:paraId="5E955B2E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  <w:r w:rsidRPr="009564BD">
              <w:rPr>
                <w:rFonts w:cs="Arial"/>
                <w:sz w:val="20"/>
              </w:rPr>
              <w:t>CGT</w:t>
            </w:r>
          </w:p>
          <w:p w14:paraId="22D7DCC3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E3CF1A4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130F0163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1B50084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0605DA8D" w14:textId="77777777" w:rsidP="00C027A0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</w:tc>
      </w:tr>
    </w:tbl>
    <w:p w14:paraId="2F00AC5D" w14:textId="77777777" w:rsidP="009564BD" w:rsidR="009564BD" w:rsidRDefault="009564BD" w:rsidRPr="009564BD">
      <w:pPr>
        <w:jc w:val="both"/>
        <w:rPr>
          <w:rFonts w:cs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5098"/>
        <w:gridCol w:w="5107"/>
      </w:tblGrid>
      <w:tr w14:paraId="3DBB84E7" w14:textId="77777777" w:rsidR="009564BD" w:rsidRPr="009564BD" w:rsidTr="006C259F">
        <w:tc>
          <w:tcPr>
            <w:tcW w:type="dxa" w:w="5210"/>
          </w:tcPr>
          <w:p w14:paraId="47E13B0F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  <w:r w:rsidRPr="009564BD">
              <w:rPr>
                <w:rFonts w:cs="Arial"/>
                <w:sz w:val="20"/>
              </w:rPr>
              <w:t>FO</w:t>
            </w:r>
          </w:p>
          <w:p w14:paraId="26A38F09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6BB304EA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DD06B22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FAAE75E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095D68FD" w14:textId="77777777" w:rsidP="00C027A0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</w:tc>
        <w:tc>
          <w:tcPr>
            <w:tcW w:type="dxa" w:w="5211"/>
          </w:tcPr>
          <w:p w14:paraId="5F915593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  <w:r w:rsidRPr="009564BD">
              <w:rPr>
                <w:rFonts w:cs="Arial"/>
                <w:sz w:val="20"/>
              </w:rPr>
              <w:t>UNSA</w:t>
            </w:r>
          </w:p>
          <w:p w14:paraId="658CD3EC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66AAF7AC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7EC73C0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552166AA" w14:textId="77777777" w:rsidP="006C259F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  <w:p w14:paraId="41BAFE53" w14:textId="77777777" w:rsidP="00C027A0" w:rsidR="009564BD" w:rsidRDefault="009564BD" w:rsidRPr="009564BD">
            <w:pPr>
              <w:ind w:left="360"/>
              <w:jc w:val="both"/>
              <w:rPr>
                <w:rFonts w:cs="Arial"/>
                <w:sz w:val="20"/>
              </w:rPr>
            </w:pPr>
          </w:p>
        </w:tc>
      </w:tr>
    </w:tbl>
    <w:p w14:paraId="5DE66816" w14:textId="77777777" w:rsidP="009564BD" w:rsidR="009564BD" w:rsidRDefault="009564BD" w:rsidRPr="009564BD">
      <w:pPr>
        <w:jc w:val="both"/>
        <w:rPr>
          <w:rFonts w:cs="Arial"/>
          <w:b/>
          <w:sz w:val="20"/>
          <w:u w:val="single"/>
        </w:rPr>
      </w:pPr>
    </w:p>
    <w:p w14:paraId="54E27753" w14:textId="77777777" w:rsidP="00B75E3E" w:rsidR="00B75E3E" w:rsidRDefault="00B75E3E" w:rsidRPr="00EF2FAE">
      <w:pPr>
        <w:jc w:val="both"/>
        <w:rPr>
          <w:b/>
          <w:u w:val="single"/>
        </w:rPr>
      </w:pPr>
    </w:p>
    <w:p w14:paraId="0F0892A2" w14:textId="77777777" w:rsidP="00B75E3E" w:rsidR="00B75E3E" w:rsidRDefault="00B75E3E" w:rsidRPr="00045B32">
      <w:pPr>
        <w:jc w:val="both"/>
        <w:rPr>
          <w:b/>
          <w:sz w:val="20"/>
          <w:u w:val="single"/>
        </w:rPr>
      </w:pPr>
      <w:r w:rsidRPr="00045B32">
        <w:rPr>
          <w:b/>
          <w:sz w:val="20"/>
          <w:u w:val="single"/>
        </w:rPr>
        <w:t>Pour la Direction</w:t>
      </w:r>
      <w:r w:rsidRPr="00792DC3">
        <w:rPr>
          <w:b/>
          <w:sz w:val="20"/>
        </w:rPr>
        <w:t> :</w:t>
      </w:r>
    </w:p>
    <w:tbl>
      <w:tblPr>
        <w:tblW w:type="dxa" w:w="9648"/>
        <w:tblLook w:firstColumn="1" w:firstRow="1" w:lastColumn="1" w:lastRow="1" w:noHBand="0" w:noVBand="0" w:val="01E0"/>
      </w:tblPr>
      <w:tblGrid>
        <w:gridCol w:w="5210"/>
        <w:gridCol w:w="4438"/>
      </w:tblGrid>
      <w:tr w14:paraId="37342FA0" w14:textId="77777777" w:rsidR="00B75E3E" w:rsidRPr="00045B32" w:rsidTr="005831F9">
        <w:tc>
          <w:tcPr>
            <w:tcW w:type="dxa" w:w="5210"/>
          </w:tcPr>
          <w:p w14:paraId="56EDFE68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0345C669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26D94977" w14:textId="70C81D45" w:rsidP="005831F9" w:rsidR="00B75E3E" w:rsidRDefault="00B75E3E">
            <w:pPr>
              <w:jc w:val="center"/>
              <w:rPr>
                <w:sz w:val="20"/>
              </w:rPr>
            </w:pPr>
          </w:p>
          <w:p w14:paraId="4817DE78" w14:textId="77777777" w:rsidP="005831F9" w:rsidR="00C027A0" w:rsidRDefault="00C027A0" w:rsidRPr="009564BD">
            <w:pPr>
              <w:jc w:val="center"/>
              <w:rPr>
                <w:sz w:val="20"/>
              </w:rPr>
            </w:pPr>
          </w:p>
          <w:p w14:paraId="78E43139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13DF7989" w14:textId="733393E0" w:rsidP="005831F9" w:rsidR="00B75E3E" w:rsidRDefault="00A11DEB" w:rsidRPr="009564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Président</w:t>
            </w:r>
            <w:r w:rsidR="009564BD" w:rsidRPr="009564BD">
              <w:rPr>
                <w:sz w:val="20"/>
              </w:rPr>
              <w:t xml:space="preserve"> AGC Automotive France</w:t>
            </w:r>
          </w:p>
        </w:tc>
        <w:tc>
          <w:tcPr>
            <w:tcW w:type="dxa" w:w="4438"/>
          </w:tcPr>
          <w:p w14:paraId="7F46448C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45C0AF83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0C1A09C9" w14:textId="56BE8BEA" w:rsidP="005831F9" w:rsidR="00B75E3E" w:rsidRDefault="00B75E3E">
            <w:pPr>
              <w:jc w:val="center"/>
              <w:rPr>
                <w:sz w:val="20"/>
              </w:rPr>
            </w:pPr>
          </w:p>
          <w:p w14:paraId="670A868B" w14:textId="77777777" w:rsidP="005831F9" w:rsidR="00C027A0" w:rsidRDefault="00C027A0" w:rsidRPr="009564BD">
            <w:pPr>
              <w:jc w:val="center"/>
              <w:rPr>
                <w:sz w:val="20"/>
              </w:rPr>
            </w:pPr>
          </w:p>
          <w:p w14:paraId="5DF62BA6" w14:textId="77777777" w:rsidP="005831F9" w:rsidR="00B75E3E" w:rsidRDefault="00B75E3E" w:rsidRPr="009564BD">
            <w:pPr>
              <w:jc w:val="center"/>
              <w:rPr>
                <w:sz w:val="20"/>
              </w:rPr>
            </w:pPr>
          </w:p>
          <w:p w14:paraId="2E24072E" w14:textId="01564398" w:rsidP="005831F9" w:rsidR="00B75E3E" w:rsidRDefault="009564BD" w:rsidRPr="00045B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Responsable RH AGC Automotive France</w:t>
            </w:r>
          </w:p>
        </w:tc>
      </w:tr>
    </w:tbl>
    <w:p w14:paraId="6813E4A4" w14:textId="77777777" w:rsidP="00B75E3E" w:rsidR="00B75E3E" w:rsidRDefault="00B75E3E" w:rsidRPr="00EF2FAE">
      <w:pPr>
        <w:rPr>
          <w:sz w:val="8"/>
        </w:rPr>
      </w:pPr>
    </w:p>
    <w:p w14:paraId="4DB724DB" w14:textId="77777777" w:rsidP="005E4769" w:rsidR="005E4769" w:rsidRDefault="005E4769" w:rsidRPr="00BB1295">
      <w:pPr>
        <w:jc w:val="both"/>
        <w:rPr>
          <w:szCs w:val="22"/>
        </w:rPr>
      </w:pPr>
    </w:p>
    <w:sectPr w:rsidR="005E4769" w:rsidRPr="00BB1295" w:rsidSect="00921FBC">
      <w:headerReference r:id="rId14" w:type="first"/>
      <w:footerReference r:id="rId15" w:type="first"/>
      <w:type w:val="continuous"/>
      <w:pgSz w:code="9" w:h="16840" w:w="11907"/>
      <w:pgMar w:bottom="1418" w:footer="567" w:gutter="0" w:header="1191" w:left="851" w:right="851" w:top="2099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8CBC" w14:textId="77777777" w:rsidR="006048F3" w:rsidRDefault="006048F3">
      <w:r>
        <w:separator/>
      </w:r>
    </w:p>
  </w:endnote>
  <w:endnote w:type="continuationSeparator" w:id="0">
    <w:p w14:paraId="55C738DF" w14:textId="77777777" w:rsidR="006048F3" w:rsidRDefault="0060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3CF83A1" w14:textId="4E13DD60" w:rsidP="00130E8C" w:rsidR="004A4B9A" w:rsidRDefault="004A4B9A" w:rsidRPr="004A4B9A">
    <w:pPr>
      <w:pStyle w:val="BODYTEXT"/>
      <w:ind w:left="0" w:right="-1"/>
      <w:rPr>
        <w:rFonts w:cs="Arial"/>
        <w:b/>
        <w:color w:val="465A64"/>
        <w:sz w:val="18"/>
        <w:szCs w:val="18"/>
      </w:rPr>
    </w:pPr>
    <w:r w:rsidRPr="004A4B9A">
      <w:rPr>
        <w:rFonts w:cs="Arial"/>
        <w:b/>
        <w:color w:val="465A64"/>
        <w:sz w:val="18"/>
        <w:szCs w:val="18"/>
      </w:rPr>
      <w:t xml:space="preserve">AGC Automotive </w:t>
    </w:r>
    <w:r w:rsidR="007A4153">
      <w:rPr>
        <w:rFonts w:cs="Arial"/>
        <w:b/>
        <w:color w:val="465A64"/>
        <w:sz w:val="18"/>
        <w:szCs w:val="18"/>
      </w:rPr>
      <w:t>France</w:t>
    </w:r>
    <w:r w:rsidRPr="004A4B9A">
      <w:rPr>
        <w:rFonts w:cs="Arial"/>
        <w:b/>
        <w:color w:val="465A64"/>
        <w:sz w:val="18"/>
        <w:szCs w:val="18"/>
      </w:rPr>
      <w:t xml:space="preserve"> SA</w:t>
    </w:r>
    <w:r w:rsidR="007A4153">
      <w:rPr>
        <w:rFonts w:cs="Arial"/>
        <w:b/>
        <w:color w:val="465A64"/>
        <w:sz w:val="18"/>
        <w:szCs w:val="18"/>
      </w:rPr>
      <w:t>S</w:t>
    </w:r>
  </w:p>
  <w:p w14:paraId="5812E208" w14:textId="77777777" w:rsidP="007A4153" w:rsidR="007A4153" w:rsidRDefault="007A4153" w:rsidRPr="007A4153">
    <w:pPr>
      <w:ind w:right="-285"/>
      <w:jc w:val="both"/>
      <w:rPr>
        <w:rFonts w:ascii="Arial (W1)" w:cs="Arial" w:hAnsi="Arial (W1)"/>
        <w:color w:val="465A64"/>
        <w:sz w:val="13"/>
        <w:szCs w:val="13"/>
      </w:rPr>
    </w:pPr>
    <w:r w:rsidRPr="007A4153">
      <w:rPr>
        <w:rFonts w:ascii="Arial (W1)" w:cs="Arial" w:hAnsi="Arial (W1)"/>
        <w:color w:val="465A64"/>
        <w:sz w:val="13"/>
        <w:szCs w:val="13"/>
      </w:rPr>
      <w:t>Rue de la Verrerie d’en Bas – 59580 Aniche, France – Tél. :+33(0)3.27.93.62.35 – Fax : +33(0)3.27.93.62.09 - www.agc-glass.eu – TVA : FR 89 814 884 060 – RCS Douai</w:t>
    </w:r>
  </w:p>
  <w:p w14:paraId="30A2B1BE" w14:textId="6B207AC6" w:rsidP="007A4153" w:rsidR="00921FBC" w:rsidRDefault="00921FBC" w:rsidRPr="007A4153">
    <w:pPr>
      <w:pStyle w:val="BODYTEXT"/>
      <w:ind w:left="0" w:right="-1"/>
      <w:rPr>
        <w:rFonts w:ascii="Arial (W1)" w:cs="Arial" w:hAnsi="Arial (W1)"/>
        <w:color w:val="465A64"/>
        <w:sz w:val="13"/>
        <w:szCs w:val="13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18A3023" w14:textId="77777777" w:rsidR="006048F3" w:rsidRDefault="006048F3">
      <w:r>
        <w:separator/>
      </w:r>
    </w:p>
  </w:footnote>
  <w:footnote w:id="0" w:type="continuationSeparator">
    <w:p w14:paraId="0F19F463" w14:textId="77777777" w:rsidR="006048F3" w:rsidRDefault="006048F3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175C76" w14:textId="40EA5824" w:rsidR="009523A8" w:rsidRDefault="009523A8">
    <w:pPr>
      <w:pStyle w:val="En-tte"/>
    </w:pPr>
    <w:r>
      <w:rPr>
        <w:noProof/>
        <w:lang w:eastAsia="fr-FR"/>
      </w:rPr>
      <w:drawing>
        <wp:anchor allowOverlap="1" behindDoc="0" distB="0" distL="114300" distR="114300" distT="0" layoutInCell="1" locked="0" relativeHeight="251659264" simplePos="0" wp14:anchorId="3376BAAC" wp14:editId="0DF49ADB">
          <wp:simplePos x="0" y="0"/>
          <wp:positionH relativeFrom="column">
            <wp:posOffset>-137160</wp:posOffset>
          </wp:positionH>
          <wp:positionV relativeFrom="paragraph">
            <wp:posOffset>-449580</wp:posOffset>
          </wp:positionV>
          <wp:extent cx="1883410" cy="886460"/>
          <wp:effectExtent b="8890" l="0" r="2540" t="0"/>
          <wp:wrapNone/>
          <wp:docPr descr="AGC_Statement_Lockup_Logo_Left"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GC_Statement_Lockup_Logo_Left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210" o:bullet="t" style="width:11.25pt;height:11.25pt" type="#_x0000_t75">
        <v:imagedata o:title="" r:id="rId1"/>
      </v:shape>
    </w:pict>
  </w:numPicBullet>
  <w:numPicBullet w:numPicBulletId="1">
    <w:pict>
      <v:shape id="_x0000_i1211" o:bullet="t" style="width:11.25pt;height:11.25pt" type="#_x0000_t75">
        <v:imagedata o:title="msoC571" r:id="rId2"/>
      </v:shape>
    </w:pict>
  </w:numPicBullet>
  <w:abstractNum w15:restartNumberingAfterBreak="0" w:abstractNumId="0">
    <w:nsid w:val="0BB67F24"/>
    <w:multiLevelType w:val="hybridMultilevel"/>
    <w:tmpl w:val="4EB611D8"/>
    <w:lvl w:ilvl="0" w:tplc="C85ABEB2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9D70D83"/>
    <w:multiLevelType w:val="hybridMultilevel"/>
    <w:tmpl w:val="4C64EEB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b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A5C67D5"/>
    <w:multiLevelType w:val="hybridMultilevel"/>
    <w:tmpl w:val="154C8D52"/>
    <w:lvl w:ilvl="0" w:tplc="7360ABB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2C063B3"/>
    <w:multiLevelType w:val="hybridMultilevel"/>
    <w:tmpl w:val="21EA7194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7D14087"/>
    <w:multiLevelType w:val="hybridMultilevel"/>
    <w:tmpl w:val="5B88DF4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38B0C06"/>
    <w:multiLevelType w:val="hybridMultilevel"/>
    <w:tmpl w:val="A5F65F82"/>
    <w:lvl w:ilvl="0" w:tplc="040C0007">
      <w:start w:val="1"/>
      <w:numFmt w:val="bullet"/>
      <w:lvlText w:val=""/>
      <w:lvlPicBulletId w:val="1"/>
      <w:lvlJc w:val="left"/>
      <w:pPr>
        <w:tabs>
          <w:tab w:pos="1068" w:val="num"/>
        </w:tabs>
        <w:ind w:hanging="360" w:left="1068"/>
      </w:pPr>
      <w:rPr>
        <w:rFonts w:ascii="Symbol" w:hAnsi="Symbol" w:hint="default"/>
      </w:rPr>
    </w:lvl>
    <w:lvl w:ilvl="1" w:tplc="7A1E2E98">
      <w:start w:val="31232"/>
      <w:numFmt w:val="bullet"/>
      <w:lvlText w:val="•"/>
      <w:lvlJc w:val="left"/>
      <w:pPr>
        <w:tabs>
          <w:tab w:pos="1788" w:val="num"/>
        </w:tabs>
        <w:ind w:hanging="360" w:left="1788"/>
      </w:pPr>
      <w:rPr>
        <w:rFonts w:ascii="Arial" w:hAnsi="Arial" w:hint="default"/>
      </w:rPr>
    </w:lvl>
    <w:lvl w:ilvl="2" w:tentative="1" w:tplc="F98897AC">
      <w:start w:val="1"/>
      <w:numFmt w:val="bullet"/>
      <w:lvlText w:val="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3498F3CE">
      <w:start w:val="1"/>
      <w:numFmt w:val="bullet"/>
      <w:lvlText w:val=""/>
      <w:lvlJc w:val="left"/>
      <w:pPr>
        <w:tabs>
          <w:tab w:pos="3228" w:val="num"/>
        </w:tabs>
        <w:ind w:hanging="360" w:left="3228"/>
      </w:pPr>
      <w:rPr>
        <w:rFonts w:ascii="Wingdings" w:hAnsi="Wingdings" w:hint="default"/>
      </w:rPr>
    </w:lvl>
    <w:lvl w:ilvl="4" w:tentative="1" w:tplc="B9BC048E">
      <w:start w:val="1"/>
      <w:numFmt w:val="bullet"/>
      <w:lvlText w:val=""/>
      <w:lvlJc w:val="left"/>
      <w:pPr>
        <w:tabs>
          <w:tab w:pos="3948" w:val="num"/>
        </w:tabs>
        <w:ind w:hanging="360" w:left="3948"/>
      </w:pPr>
      <w:rPr>
        <w:rFonts w:ascii="Wingdings" w:hAnsi="Wingdings" w:hint="default"/>
      </w:rPr>
    </w:lvl>
    <w:lvl w:ilvl="5" w:tentative="1" w:tplc="20522FCA">
      <w:start w:val="1"/>
      <w:numFmt w:val="bullet"/>
      <w:lvlText w:val="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C16E27C2">
      <w:start w:val="1"/>
      <w:numFmt w:val="bullet"/>
      <w:lvlText w:val=""/>
      <w:lvlJc w:val="left"/>
      <w:pPr>
        <w:tabs>
          <w:tab w:pos="5388" w:val="num"/>
        </w:tabs>
        <w:ind w:hanging="360" w:left="5388"/>
      </w:pPr>
      <w:rPr>
        <w:rFonts w:ascii="Wingdings" w:hAnsi="Wingdings" w:hint="default"/>
      </w:rPr>
    </w:lvl>
    <w:lvl w:ilvl="7" w:tentative="1" w:tplc="A59A9252">
      <w:start w:val="1"/>
      <w:numFmt w:val="bullet"/>
      <w:lvlText w:val=""/>
      <w:lvlJc w:val="left"/>
      <w:pPr>
        <w:tabs>
          <w:tab w:pos="6108" w:val="num"/>
        </w:tabs>
        <w:ind w:hanging="360" w:left="6108"/>
      </w:pPr>
      <w:rPr>
        <w:rFonts w:ascii="Wingdings" w:hAnsi="Wingdings" w:hint="default"/>
      </w:rPr>
    </w:lvl>
    <w:lvl w:ilvl="8" w:tentative="1" w:tplc="DE6437CE">
      <w:start w:val="1"/>
      <w:numFmt w:val="bullet"/>
      <w:lvlText w:val="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6">
    <w:nsid w:val="4B5D7215"/>
    <w:multiLevelType w:val="hybridMultilevel"/>
    <w:tmpl w:val="A2FE683A"/>
    <w:lvl w:ilvl="0" w:tplc="1B143A90">
      <w:start w:val="1"/>
      <w:numFmt w:val="bullet"/>
      <w:lvlText w:val="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2E9A3C3A">
      <w:start w:val="31232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E60E3396">
      <w:start w:val="1"/>
      <w:numFmt w:val="bullet"/>
      <w:lvlText w:val="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7B9EE318">
      <w:start w:val="1"/>
      <w:numFmt w:val="bullet"/>
      <w:lvlText w:val="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090A70E">
      <w:start w:val="1"/>
      <w:numFmt w:val="bullet"/>
      <w:lvlText w:val="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22AA026">
      <w:start w:val="1"/>
      <w:numFmt w:val="bullet"/>
      <w:lvlText w:val="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CD0E13E">
      <w:start w:val="1"/>
      <w:numFmt w:val="bullet"/>
      <w:lvlText w:val="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8B44330A">
      <w:start w:val="1"/>
      <w:numFmt w:val="bullet"/>
      <w:lvlText w:val="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67A81798">
      <w:start w:val="1"/>
      <w:numFmt w:val="bullet"/>
      <w:lvlText w:val="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D336331"/>
    <w:multiLevelType w:val="hybridMultilevel"/>
    <w:tmpl w:val="BF9E8B36"/>
    <w:lvl w:ilvl="0" w:tplc="040C0007">
      <w:start w:val="1"/>
      <w:numFmt w:val="bullet"/>
      <w:lvlText w:val=""/>
      <w:lvlPicBulletId w:val="1"/>
      <w:lvlJc w:val="left"/>
      <w:pPr>
        <w:ind w:hanging="360" w:left="106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8">
    <w:nsid w:val="50EE779C"/>
    <w:multiLevelType w:val="hybridMultilevel"/>
    <w:tmpl w:val="CFE293C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541E586D"/>
    <w:multiLevelType w:val="hybridMultilevel"/>
    <w:tmpl w:val="1F7407B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3950BFE"/>
    <w:multiLevelType w:val="hybridMultilevel"/>
    <w:tmpl w:val="8CA2A344"/>
    <w:lvl w:ilvl="0" w:tplc="2814D060">
      <w:numFmt w:val="bullet"/>
      <w:lvlText w:val="-"/>
      <w:lvlJc w:val="left"/>
      <w:pPr>
        <w:ind w:hanging="360" w:left="1068"/>
      </w:pPr>
      <w:rPr>
        <w:rFonts w:ascii="Calibri" w:cs="Times New Roman" w:hAnsi="Calibri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1">
    <w:nsid w:val="6F960C5E"/>
    <w:multiLevelType w:val="hybridMultilevel"/>
    <w:tmpl w:val="2EC23C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A8B71FF"/>
    <w:multiLevelType w:val="hybridMultilevel"/>
    <w:tmpl w:val="F442495A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D4100E4"/>
    <w:multiLevelType w:val="hybridMultilevel"/>
    <w:tmpl w:val="FC80725C"/>
    <w:lvl w:ilvl="0" w:tplc="04090007">
      <w:start w:val="1"/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13"/>
  </w:num>
  <w:num w:numId="7">
    <w:abstractNumId w:val="4"/>
  </w:num>
  <w:num w:numId="8">
    <w:abstractNumId w:val="1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5"/>
  </w:num>
  <w:num w:numId="13">
    <w:abstractNumId w:val="9"/>
  </w:num>
  <w:num w:numId="14">
    <w:abstractNumId w:val="7"/>
  </w:num>
  <w:num w:numId="1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7A"/>
    <w:rsid w:val="000660E8"/>
    <w:rsid w:val="00075CAB"/>
    <w:rsid w:val="000C1CED"/>
    <w:rsid w:val="000D3FD1"/>
    <w:rsid w:val="000D70F4"/>
    <w:rsid w:val="000F4D7D"/>
    <w:rsid w:val="0011626A"/>
    <w:rsid w:val="00130E8C"/>
    <w:rsid w:val="0014744B"/>
    <w:rsid w:val="00193974"/>
    <w:rsid w:val="001B0B81"/>
    <w:rsid w:val="001B5AEF"/>
    <w:rsid w:val="00257635"/>
    <w:rsid w:val="00290722"/>
    <w:rsid w:val="0029140E"/>
    <w:rsid w:val="002A10B8"/>
    <w:rsid w:val="002B0D5F"/>
    <w:rsid w:val="002B2F55"/>
    <w:rsid w:val="002B73DE"/>
    <w:rsid w:val="002C0E5A"/>
    <w:rsid w:val="002C1B21"/>
    <w:rsid w:val="002F4261"/>
    <w:rsid w:val="003034CF"/>
    <w:rsid w:val="0035756D"/>
    <w:rsid w:val="003807BE"/>
    <w:rsid w:val="003835D9"/>
    <w:rsid w:val="00383DD6"/>
    <w:rsid w:val="003A2E99"/>
    <w:rsid w:val="003D0FE8"/>
    <w:rsid w:val="003D7DD0"/>
    <w:rsid w:val="003F1FB9"/>
    <w:rsid w:val="003F7415"/>
    <w:rsid w:val="004364C4"/>
    <w:rsid w:val="00474621"/>
    <w:rsid w:val="00482403"/>
    <w:rsid w:val="004A250F"/>
    <w:rsid w:val="004A4299"/>
    <w:rsid w:val="004A4B9A"/>
    <w:rsid w:val="004B035A"/>
    <w:rsid w:val="004E2B36"/>
    <w:rsid w:val="004F7FF6"/>
    <w:rsid w:val="0052201F"/>
    <w:rsid w:val="00524C54"/>
    <w:rsid w:val="005C4B15"/>
    <w:rsid w:val="005E3912"/>
    <w:rsid w:val="005E4769"/>
    <w:rsid w:val="00602030"/>
    <w:rsid w:val="006048F3"/>
    <w:rsid w:val="00620FD4"/>
    <w:rsid w:val="00622B0F"/>
    <w:rsid w:val="0062409B"/>
    <w:rsid w:val="00633837"/>
    <w:rsid w:val="00650560"/>
    <w:rsid w:val="00657DFB"/>
    <w:rsid w:val="006669E8"/>
    <w:rsid w:val="00673177"/>
    <w:rsid w:val="00676351"/>
    <w:rsid w:val="0069054F"/>
    <w:rsid w:val="00690744"/>
    <w:rsid w:val="006A42DC"/>
    <w:rsid w:val="006A57C1"/>
    <w:rsid w:val="006A6B37"/>
    <w:rsid w:val="006F197D"/>
    <w:rsid w:val="00717A10"/>
    <w:rsid w:val="00725B1C"/>
    <w:rsid w:val="00725DB1"/>
    <w:rsid w:val="00740489"/>
    <w:rsid w:val="0075250B"/>
    <w:rsid w:val="0077642E"/>
    <w:rsid w:val="00776F73"/>
    <w:rsid w:val="00783351"/>
    <w:rsid w:val="00793B4C"/>
    <w:rsid w:val="00796D75"/>
    <w:rsid w:val="007A4153"/>
    <w:rsid w:val="007B03B2"/>
    <w:rsid w:val="007C6130"/>
    <w:rsid w:val="007D4418"/>
    <w:rsid w:val="007E02B1"/>
    <w:rsid w:val="007E3359"/>
    <w:rsid w:val="00800000"/>
    <w:rsid w:val="0080622D"/>
    <w:rsid w:val="008124A1"/>
    <w:rsid w:val="00837A4C"/>
    <w:rsid w:val="00841BCB"/>
    <w:rsid w:val="00845533"/>
    <w:rsid w:val="00850383"/>
    <w:rsid w:val="00865C1A"/>
    <w:rsid w:val="00882E3B"/>
    <w:rsid w:val="008B16AB"/>
    <w:rsid w:val="008C03F3"/>
    <w:rsid w:val="008D27DD"/>
    <w:rsid w:val="00921FBC"/>
    <w:rsid w:val="00940102"/>
    <w:rsid w:val="009407DF"/>
    <w:rsid w:val="009523A8"/>
    <w:rsid w:val="009564BD"/>
    <w:rsid w:val="009759D2"/>
    <w:rsid w:val="00983155"/>
    <w:rsid w:val="00A0740D"/>
    <w:rsid w:val="00A11DEB"/>
    <w:rsid w:val="00A12D7A"/>
    <w:rsid w:val="00A56A0F"/>
    <w:rsid w:val="00A972AA"/>
    <w:rsid w:val="00A97E11"/>
    <w:rsid w:val="00AA5444"/>
    <w:rsid w:val="00AB7CDC"/>
    <w:rsid w:val="00AE251D"/>
    <w:rsid w:val="00AE3811"/>
    <w:rsid w:val="00B21B6B"/>
    <w:rsid w:val="00B361FF"/>
    <w:rsid w:val="00B459E3"/>
    <w:rsid w:val="00B7252C"/>
    <w:rsid w:val="00B75E3E"/>
    <w:rsid w:val="00B82676"/>
    <w:rsid w:val="00B912CC"/>
    <w:rsid w:val="00BC4537"/>
    <w:rsid w:val="00BD3735"/>
    <w:rsid w:val="00C027A0"/>
    <w:rsid w:val="00C0421B"/>
    <w:rsid w:val="00C166F9"/>
    <w:rsid w:val="00C24D0A"/>
    <w:rsid w:val="00C3080D"/>
    <w:rsid w:val="00C34745"/>
    <w:rsid w:val="00C4152E"/>
    <w:rsid w:val="00C45E4A"/>
    <w:rsid w:val="00C71F74"/>
    <w:rsid w:val="00C73E19"/>
    <w:rsid w:val="00C75BD6"/>
    <w:rsid w:val="00C76A48"/>
    <w:rsid w:val="00CD48EA"/>
    <w:rsid w:val="00CF4E8E"/>
    <w:rsid w:val="00D23274"/>
    <w:rsid w:val="00D42D82"/>
    <w:rsid w:val="00D51596"/>
    <w:rsid w:val="00D86A83"/>
    <w:rsid w:val="00D914C0"/>
    <w:rsid w:val="00DA3F9B"/>
    <w:rsid w:val="00DA7868"/>
    <w:rsid w:val="00DE4723"/>
    <w:rsid w:val="00DF0B8B"/>
    <w:rsid w:val="00E053B6"/>
    <w:rsid w:val="00E06815"/>
    <w:rsid w:val="00E07880"/>
    <w:rsid w:val="00ED7395"/>
    <w:rsid w:val="00EF74E1"/>
    <w:rsid w:val="00F06ED1"/>
    <w:rsid w:val="00F11E95"/>
    <w:rsid w:val="00F30A5B"/>
    <w:rsid w:val="00F35879"/>
    <w:rsid w:val="00F678B6"/>
    <w:rsid w:val="00F7692B"/>
    <w:rsid w:val="00F8234D"/>
    <w:rsid w:val="00F82BCB"/>
    <w:rsid w:val="00F962C8"/>
    <w:rsid w:val="00F968D8"/>
    <w:rsid w:val="00FB19E5"/>
    <w:rsid w:val="00FB7CAA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,"/>
  <w:listSeparator w:val=";"/>
  <w14:docId w14:val="3BE1157F"/>
  <w15:docId w15:val="{7FF6EF80-AB2C-46B1-AF6C-9BC49F55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ja-JP" w:val="en-GB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B0B8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fr-FR"/>
    </w:rPr>
  </w:style>
  <w:style w:styleId="Titre1" w:type="paragraph">
    <w:name w:val="heading 1"/>
    <w:basedOn w:val="Normal"/>
    <w:next w:val="Normal"/>
    <w:qFormat/>
    <w:rsid w:val="00845533"/>
    <w:pPr>
      <w:keepNext/>
      <w:jc w:val="both"/>
      <w:outlineLvl w:val="0"/>
    </w:pPr>
    <w:rPr>
      <w:b/>
      <w:color w:val="3366FF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customStyle="1" w:styleId="ENTETEADRESSE" w:type="paragraph">
    <w:name w:val="ENTETE_ADRESSE"/>
    <w:basedOn w:val="Normal"/>
    <w:pPr>
      <w:jc w:val="center"/>
    </w:pPr>
    <w:rPr>
      <w:sz w:val="17"/>
      <w:lang w:val="fr-BE"/>
    </w:rPr>
  </w:style>
  <w:style w:customStyle="1" w:styleId="BODYTEXT" w:type="paragraph">
    <w:name w:val="BODYTEXT"/>
    <w:basedOn w:val="Normal"/>
    <w:pPr>
      <w:ind w:left="737" w:right="737"/>
    </w:pPr>
  </w:style>
  <w:style w:customStyle="1" w:styleId="FAXTABLEAU" w:type="paragraph">
    <w:name w:val="FAX TABLEAU"/>
    <w:basedOn w:val="Normal"/>
    <w:rsid w:val="001B0B81"/>
    <w:pPr>
      <w:spacing w:line="360" w:lineRule="auto"/>
      <w:ind w:left="57"/>
    </w:pPr>
    <w:rPr>
      <w:szCs w:val="22"/>
    </w:rPr>
  </w:style>
  <w:style w:styleId="En-tte" w:type="paragraph">
    <w:name w:val="header"/>
    <w:basedOn w:val="Normal"/>
    <w:rsid w:val="00C3080D"/>
    <w:pPr>
      <w:tabs>
        <w:tab w:pos="4536" w:val="center"/>
        <w:tab w:pos="9072" w:val="right"/>
      </w:tabs>
    </w:pPr>
  </w:style>
  <w:style w:styleId="Lienhypertexte" w:type="character">
    <w:name w:val="Hyperlink"/>
    <w:rsid w:val="00783351"/>
    <w:rPr>
      <w:color w:val="0000FF"/>
      <w:u w:val="single"/>
    </w:rPr>
  </w:style>
  <w:style w:styleId="Textedebulles" w:type="paragraph">
    <w:name w:val="Balloon Text"/>
    <w:basedOn w:val="Normal"/>
    <w:semiHidden/>
    <w:rsid w:val="00650560"/>
    <w:rPr>
      <w:rFonts w:ascii="Tahoma" w:cs="Tahoma" w:hAnsi="Tahoma"/>
      <w:sz w:val="16"/>
      <w:szCs w:val="16"/>
    </w:rPr>
  </w:style>
  <w:style w:customStyle="1" w:styleId="BODYTEXTMEMO" w:type="paragraph">
    <w:name w:val="BODY_TEXT_MEMO"/>
    <w:rsid w:val="0014744B"/>
    <w:rPr>
      <w:rFonts w:ascii="Arial" w:cs="Arial" w:hAnsi="Arial"/>
      <w:sz w:val="22"/>
      <w:szCs w:val="22"/>
      <w:lang w:val="fr-FR"/>
    </w:rPr>
  </w:style>
  <w:style w:styleId="Grilledutableau" w:type="table">
    <w:name w:val="Table Grid"/>
    <w:basedOn w:val="TableauNormal"/>
    <w:rsid w:val="002F42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Retraitcorpsdetexte" w:type="paragraph">
    <w:name w:val="Body Text Indent"/>
    <w:basedOn w:val="Normal"/>
    <w:link w:val="RetraitcorpsdetexteCar"/>
    <w:rsid w:val="002F4261"/>
    <w:pPr>
      <w:overflowPunct/>
      <w:autoSpaceDE/>
      <w:autoSpaceDN/>
      <w:adjustRightInd/>
      <w:ind w:hanging="426" w:left="426"/>
      <w:jc w:val="both"/>
      <w:textAlignment w:val="auto"/>
    </w:pPr>
    <w:rPr>
      <w:rFonts w:ascii="Times New Roman" w:hAnsi="Times New Roman"/>
      <w:sz w:val="24"/>
      <w:lang w:eastAsia="fr-FR"/>
    </w:rPr>
  </w:style>
  <w:style w:customStyle="1" w:styleId="RetraitcorpsdetexteCar" w:type="character">
    <w:name w:val="Retrait corps de texte Car"/>
    <w:basedOn w:val="Policepardfaut"/>
    <w:link w:val="Retraitcorpsdetexte"/>
    <w:rsid w:val="002F4261"/>
    <w:rPr>
      <w:sz w:val="24"/>
      <w:lang w:eastAsia="fr-FR" w:val="fr-FR"/>
    </w:rPr>
  </w:style>
  <w:style w:styleId="Paragraphedeliste" w:type="paragraph">
    <w:name w:val="List Paragraph"/>
    <w:basedOn w:val="Normal"/>
    <w:uiPriority w:val="34"/>
    <w:qFormat/>
    <w:rsid w:val="005E4769"/>
    <w:pPr>
      <w:ind w:left="720"/>
      <w:contextualSpacing/>
    </w:pPr>
  </w:style>
  <w:style w:customStyle="1" w:styleId="Default" w:type="paragraph">
    <w:name w:val="Default"/>
    <w:rsid w:val="00AE3811"/>
    <w:pPr>
      <w:autoSpaceDE w:val="0"/>
      <w:autoSpaceDN w:val="0"/>
      <w:adjustRightInd w:val="0"/>
    </w:pPr>
    <w:rPr>
      <w:rFonts w:ascii="Comic Sans MS" w:cs="Comic Sans MS" w:hAnsi="Comic Sans MS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ttp://www.elnet.fr/documentation/Document?id=CODE_CTRA_ARTI_L3324-1&amp;nrf=0_ZF9aMkxTVEVULTF8ZF9aMjA4NC0yMjU2LVJFRjIyOCRaMkxTVEVUfGRfWjIwNDgtMTc4My1SRUYyMzAkWjIwODR8ZF9aMjEwNi0yMzgxLVJFRjIzMiRaMjA0OA==&amp;FromId=Z2106" TargetMode="External" Type="http://schemas.openxmlformats.org/officeDocument/2006/relationships/hyperlink"/><Relationship Id="rId12" Target="media/image3.gif" Type="http://schemas.openxmlformats.org/officeDocument/2006/relationships/image"/><Relationship Id="rId13" Target="http://www.teleaccords.travail-emploi.gouv.fr" TargetMode="External" Type="http://schemas.openxmlformats.org/officeDocument/2006/relationships/hyperlink"/><Relationship Id="rId14" Target="header1.xml" Type="http://schemas.openxmlformats.org/officeDocument/2006/relationships/header"/><Relationship Id="rId15" Target="footer1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4.jpe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_x0020_type xmlns="c02ed812-c639-44a7-8c81-a5136fb54e21">letterhead  (word)</template_x0020_typ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CC98646A8AC40BCCA92EB7EDE9B6E" ma:contentTypeVersion="5" ma:contentTypeDescription="Create a new document." ma:contentTypeScope="" ma:versionID="d98a5229b9b5bcfb1a4e472e063f25a8">
  <xsd:schema xmlns:xsd="http://www.w3.org/2001/XMLSchema" xmlns:xs="http://www.w3.org/2001/XMLSchema" xmlns:p="http://schemas.microsoft.com/office/2006/metadata/properties" xmlns:ns2="c02ed812-c639-44a7-8c81-a5136fb54e21" xmlns:ns3="e95a4aa4-38b8-4574-9eb5-1d83c39416d9" targetNamespace="http://schemas.microsoft.com/office/2006/metadata/properties" ma:root="true" ma:fieldsID="81782cc0c8abb8a4fd222fa537039582" ns2:_="" ns3:_="">
    <xsd:import namespace="c02ed812-c639-44a7-8c81-a5136fb54e21"/>
    <xsd:import namespace="e95a4aa4-38b8-4574-9eb5-1d83c39416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emplate_x0020_typ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ed812-c639-44a7-8c81-a5136fb54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emplate_x0020_type" ma:index="10" nillable="true" ma:displayName="template type" ma:format="Dropdown" ma:internalName="template_x0020_type">
      <xsd:simpleType>
        <xsd:restriction base="dms:Choice">
          <xsd:enumeration value="badge meetings (word)"/>
          <xsd:enumeration value="letterhead  (word)"/>
          <xsd:enumeration value="presentation (powerpoint)"/>
          <xsd:enumeration value="press release (word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a4aa4-38b8-4574-9eb5-1d83c39416d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253A0-FE3B-477C-BDA5-DC15F478F126}">
  <ds:schemaRefs>
    <ds:schemaRef ds:uri="http://www.w3.org/XML/1998/namespace"/>
    <ds:schemaRef ds:uri="http://schemas.microsoft.com/office/2006/documentManagement/types"/>
    <ds:schemaRef ds:uri="c02ed812-c639-44a7-8c81-a5136fb54e21"/>
    <ds:schemaRef ds:uri="http://purl.org/dc/dcmitype/"/>
    <ds:schemaRef ds:uri="http://purl.org/dc/elements/1.1/"/>
    <ds:schemaRef ds:uri="http://purl.org/dc/terms/"/>
    <ds:schemaRef ds:uri="e95a4aa4-38b8-4574-9eb5-1d83c39416d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91ED646-74B4-427D-AF55-ADB458BC3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ed812-c639-44a7-8c81-a5136fb54e21"/>
    <ds:schemaRef ds:uri="e95a4aa4-38b8-4574-9eb5-1d83c394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39D0AF-1870-444A-8E67-7752F7B5C5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9CC8F-1569-44E2-BE30-EE0C3932C2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4293</Characters>
  <Application>Microsoft Office Word</Application>
  <DocSecurity>0</DocSecurity>
  <Lines>35</Lines>
  <Paragraphs>10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Letter</vt:lpstr>
      <vt:lpstr>Letter</vt:lpstr>
    </vt:vector>
  </TitlesOfParts>
  <Company>AGC Flat Glass Europe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2022-11-30T08:30:00Z</dcterms:created>
  <cp:lastPrinted>2022-11-30T08:28:00Z</cp:lastPrinted>
  <dcterms:modified xsi:type="dcterms:W3CDTF">2022-11-30T08:30:00Z</dcterms:modified>
  <cp:revision>2</cp:revision>
  <dc:title>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0x0101004EFCC98646A8AC40BCCA92EB7EDE9B6E</vt:lpwstr>
  </property>
  <property fmtid="{D5CDD505-2E9C-101B-9397-08002B2CF9AE}" name="MSIP_Label_7591ad2d-c74e-4bcc-a079-aa036b04f981_Enabled" pid="3">
    <vt:lpwstr>True</vt:lpwstr>
  </property>
  <property fmtid="{D5CDD505-2E9C-101B-9397-08002B2CF9AE}" name="MSIP_Label_7591ad2d-c74e-4bcc-a079-aa036b04f981_SiteId" pid="4">
    <vt:lpwstr>faa6053b-36c4-4c36-af04-796200c185bf</vt:lpwstr>
  </property>
  <property fmtid="{D5CDD505-2E9C-101B-9397-08002B2CF9AE}" name="MSIP_Label_7591ad2d-c74e-4bcc-a079-aa036b04f981_Owner" pid="5">
    <vt:lpwstr>Damien.Rossi@eu.agc.com</vt:lpwstr>
  </property>
  <property fmtid="{D5CDD505-2E9C-101B-9397-08002B2CF9AE}" name="MSIP_Label_7591ad2d-c74e-4bcc-a079-aa036b04f981_SetDate" pid="6">
    <vt:lpwstr>2020-12-15T07:21:23.9872406Z</vt:lpwstr>
  </property>
  <property fmtid="{D5CDD505-2E9C-101B-9397-08002B2CF9AE}" name="MSIP_Label_7591ad2d-c74e-4bcc-a079-aa036b04f981_Name" pid="7">
    <vt:lpwstr>Others</vt:lpwstr>
  </property>
  <property fmtid="{D5CDD505-2E9C-101B-9397-08002B2CF9AE}" name="MSIP_Label_7591ad2d-c74e-4bcc-a079-aa036b04f981_Application" pid="8">
    <vt:lpwstr>Microsoft Azure Information Protection</vt:lpwstr>
  </property>
  <property fmtid="{D5CDD505-2E9C-101B-9397-08002B2CF9AE}" name="MSIP_Label_7591ad2d-c74e-4bcc-a079-aa036b04f981_Extended_MSFT_Method" pid="9">
    <vt:lpwstr>Manual</vt:lpwstr>
  </property>
  <property fmtid="{D5CDD505-2E9C-101B-9397-08002B2CF9AE}" name="MSIP_Label_9b500289-1a9c-442f-923d-4f95209608d2_Enabled" pid="10">
    <vt:lpwstr>true</vt:lpwstr>
  </property>
  <property fmtid="{D5CDD505-2E9C-101B-9397-08002B2CF9AE}" name="MSIP_Label_9b500289-1a9c-442f-923d-4f95209608d2_SetDate" pid="11">
    <vt:lpwstr>2022-11-24T14:36:11Z</vt:lpwstr>
  </property>
  <property fmtid="{D5CDD505-2E9C-101B-9397-08002B2CF9AE}" name="MSIP_Label_9b500289-1a9c-442f-923d-4f95209608d2_Method" pid="12">
    <vt:lpwstr>Privileged</vt:lpwstr>
  </property>
  <property fmtid="{D5CDD505-2E9C-101B-9397-08002B2CF9AE}" name="MSIP_Label_9b500289-1a9c-442f-923d-4f95209608d2_Name" pid="13">
    <vt:lpwstr>GCEP2 - Others</vt:lpwstr>
  </property>
  <property fmtid="{D5CDD505-2E9C-101B-9397-08002B2CF9AE}" name="MSIP_Label_9b500289-1a9c-442f-923d-4f95209608d2_SiteId" pid="14">
    <vt:lpwstr>90c56ca2-d892-45ce-810d-6cf368facdb3</vt:lpwstr>
  </property>
  <property fmtid="{D5CDD505-2E9C-101B-9397-08002B2CF9AE}" name="MSIP_Label_9b500289-1a9c-442f-923d-4f95209608d2_ActionId" pid="15">
    <vt:lpwstr>cdac46ed-ee98-47cd-b5e1-06ea067bc973</vt:lpwstr>
  </property>
  <property fmtid="{D5CDD505-2E9C-101B-9397-08002B2CF9AE}" name="MSIP_Label_9b500289-1a9c-442f-923d-4f95209608d2_ContentBits" pid="16">
    <vt:lpwstr>0</vt:lpwstr>
  </property>
</Properties>
</file>