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38485CC9" w14:textId="77777777" w:rsidP="009F5B4C" w:rsidR="009F5B4C" w:rsidRDefault="009F5B4C" w:rsidRPr="00463191">
      <w:pPr>
        <w:ind w:right="333"/>
        <w:jc w:val="center"/>
        <w:rPr>
          <w:rFonts w:ascii="Arial Narrow" w:hAnsi="Arial Narrow"/>
          <w:b/>
          <w:bCs/>
          <w:spacing w:val="-5"/>
          <w:sz w:val="36"/>
          <w:szCs w:val="36"/>
        </w:rPr>
      </w:pPr>
      <w:r w:rsidRPr="00463191">
        <w:rPr>
          <w:rFonts w:ascii="Arial Narrow" w:hAnsi="Arial Narrow"/>
          <w:b/>
          <w:bCs/>
          <w:spacing w:val="-5"/>
          <w:sz w:val="36"/>
          <w:szCs w:val="36"/>
        </w:rPr>
        <w:t>Accord relatif</w:t>
      </w:r>
    </w:p>
    <w:p w14:paraId="4B1C6708" w14:textId="77777777" w:rsidP="009F5B4C" w:rsidR="009F5B4C" w:rsidRDefault="009F5B4C" w:rsidRPr="00463191">
      <w:pPr>
        <w:spacing w:line="259" w:lineRule="auto"/>
        <w:ind w:right="333"/>
        <w:jc w:val="center"/>
        <w:rPr>
          <w:rFonts w:ascii="Arial Narrow" w:hAnsi="Arial Narrow"/>
          <w:b/>
          <w:bCs/>
          <w:sz w:val="36"/>
          <w:szCs w:val="36"/>
        </w:rPr>
      </w:pPr>
      <w:r w:rsidRPr="00463191">
        <w:rPr>
          <w:rFonts w:ascii="Arial Narrow" w:hAnsi="Arial Narrow"/>
          <w:b/>
          <w:bCs/>
          <w:sz w:val="36"/>
          <w:szCs w:val="36"/>
        </w:rPr>
        <w:t>à la négociation annuelle obligatoire 2023</w:t>
      </w:r>
    </w:p>
    <w:p w14:paraId="4D8029C7" w14:textId="77777777" w:rsidP="009F5B4C" w:rsidR="009F5B4C" w:rsidRDefault="009F5B4C" w:rsidRPr="00463191">
      <w:pPr>
        <w:ind w:right="333"/>
        <w:rPr>
          <w:rFonts w:ascii="Arial Narrow" w:hAnsi="Arial Narrow"/>
          <w:spacing w:val="-5"/>
          <w:u w:val="single"/>
        </w:rPr>
      </w:pPr>
    </w:p>
    <w:p w14:paraId="5C8B4724" w14:textId="4183B2E4" w:rsidP="00BF42B7" w:rsidR="00BF42B7" w:rsidRDefault="00BF42B7" w:rsidRPr="007F6AA8">
      <w:pPr>
        <w:widowControl w:val="0"/>
        <w:autoSpaceDE w:val="0"/>
        <w:autoSpaceDN w:val="0"/>
        <w:adjustRightInd w:val="0"/>
        <w:spacing w:line="276" w:lineRule="exact"/>
        <w:ind w:right="333"/>
        <w:rPr>
          <w:rFonts w:ascii="Arial Narrow" w:hAnsi="Arial Narrow"/>
          <w:b/>
          <w:spacing w:val="-5"/>
        </w:rPr>
      </w:pPr>
      <w:r w:rsidRPr="00463191">
        <w:rPr>
          <w:rFonts w:ascii="Arial Narrow" w:hAnsi="Arial Narrow"/>
          <w:b/>
          <w:spacing w:val="-5"/>
        </w:rPr>
        <w:t>Entre d’une part ;</w:t>
      </w:r>
    </w:p>
    <w:p w14:paraId="22A87165" w14:textId="0ED6177F" w:rsidP="007F6AA8" w:rsidR="00BF42B7" w:rsidRDefault="00BF42B7" w:rsidRPr="007F6AA8">
      <w:pPr>
        <w:widowControl w:val="0"/>
        <w:autoSpaceDE w:val="0"/>
        <w:autoSpaceDN w:val="0"/>
        <w:adjustRightInd w:val="0"/>
        <w:spacing w:line="280" w:lineRule="exact"/>
        <w:ind w:right="333"/>
        <w:rPr>
          <w:rFonts w:ascii="Arial Narrow" w:hAnsi="Arial Narrow"/>
        </w:rPr>
      </w:pPr>
      <w:r w:rsidRPr="00463191">
        <w:rPr>
          <w:rFonts w:ascii="Arial Narrow" w:hAnsi="Arial Narrow"/>
        </w:rPr>
        <w:t xml:space="preserve">La Société COCA-COLA PRODUCTION SAS (ci-après désignée « CCP ») dont le siège social est situé Zone d’entreprise de Bergues – Socx – 59380 Bergues, représentée par </w:t>
      </w:r>
      <w:r w:rsidR="00A26C66">
        <w:rPr>
          <w:rFonts w:ascii="Arial Narrow" w:hAnsi="Arial Narrow"/>
        </w:rPr>
        <w:t>#######</w:t>
      </w:r>
      <w:r w:rsidRPr="00463191">
        <w:rPr>
          <w:rFonts w:ascii="Arial Narrow" w:hAnsi="Arial Narrow"/>
        </w:rPr>
        <w:t xml:space="preserve"> agissant en qualité de Directeur de l’Usine. </w:t>
      </w:r>
    </w:p>
    <w:p w14:paraId="6FF8BFD5" w14:textId="65F5FF13" w:rsidP="00BF42B7" w:rsidR="00BF42B7" w:rsidRDefault="00BF42B7" w:rsidRPr="007F6AA8">
      <w:pPr>
        <w:widowControl w:val="0"/>
        <w:autoSpaceDE w:val="0"/>
        <w:autoSpaceDN w:val="0"/>
        <w:adjustRightInd w:val="0"/>
        <w:spacing w:line="276" w:lineRule="exact"/>
        <w:ind w:right="333"/>
        <w:rPr>
          <w:rFonts w:ascii="Arial Narrow" w:hAnsi="Arial Narrow"/>
          <w:b/>
          <w:spacing w:val="-5"/>
        </w:rPr>
      </w:pPr>
      <w:r w:rsidRPr="00463191">
        <w:rPr>
          <w:rFonts w:ascii="Arial Narrow" w:hAnsi="Arial Narrow"/>
          <w:b/>
          <w:spacing w:val="-5"/>
        </w:rPr>
        <w:t xml:space="preserve">Et d’autre part ; </w:t>
      </w:r>
    </w:p>
    <w:p w14:paraId="1D058982" w14:textId="3A1C6812" w:rsidP="007F6AA8" w:rsidR="00BF42B7" w:rsidRDefault="00BF42B7" w:rsidRPr="007F6AA8">
      <w:pPr>
        <w:widowControl w:val="0"/>
        <w:autoSpaceDE w:val="0"/>
        <w:autoSpaceDN w:val="0"/>
        <w:adjustRightInd w:val="0"/>
        <w:spacing w:line="280" w:lineRule="exact"/>
        <w:ind w:right="333"/>
        <w:rPr>
          <w:rFonts w:ascii="Arial Narrow" w:hAnsi="Arial Narrow"/>
          <w:w w:val="104"/>
        </w:rPr>
      </w:pPr>
      <w:r w:rsidRPr="00463191">
        <w:rPr>
          <w:rFonts w:ascii="Arial Narrow" w:hAnsi="Arial Narrow"/>
          <w:w w:val="104"/>
        </w:rPr>
        <w:t xml:space="preserve">Les Organisations Syndicales représentatives au sein de l'entreprise représentées respectivement par : </w:t>
      </w:r>
    </w:p>
    <w:p w14:paraId="5762E16F" w14:textId="114E1430" w:rsidP="007F6AA8" w:rsidR="00BF42B7" w:rsidRDefault="00BF42B7" w:rsidRPr="00463191">
      <w:pPr>
        <w:widowControl w:val="0"/>
        <w:autoSpaceDE w:val="0"/>
        <w:autoSpaceDN w:val="0"/>
        <w:adjustRightInd w:val="0"/>
        <w:spacing w:line="276" w:lineRule="exact"/>
        <w:ind w:right="333"/>
        <w:rPr>
          <w:rFonts w:ascii="Arial Narrow" w:hAnsi="Arial Narrow"/>
        </w:rPr>
      </w:pPr>
      <w:r w:rsidRPr="00463191">
        <w:rPr>
          <w:rFonts w:ascii="Arial Narrow" w:hAnsi="Arial Narrow"/>
        </w:rPr>
        <w:t xml:space="preserve">• Pour la CGT : </w:t>
      </w:r>
      <w:r w:rsidR="00A26C66">
        <w:rPr>
          <w:rFonts w:ascii="Arial Narrow" w:hAnsi="Arial Narrow"/>
        </w:rPr>
        <w:t>#######</w:t>
      </w:r>
      <w:r w:rsidRPr="00463191">
        <w:rPr>
          <w:rFonts w:ascii="Arial Narrow" w:hAnsi="Arial Narrow"/>
        </w:rPr>
        <w:t xml:space="preserve">, agissant en qualité de Délégué Syndical ;  </w:t>
      </w:r>
    </w:p>
    <w:p w14:paraId="54662A19" w14:textId="0AE09B5E" w:rsidP="007F6AA8" w:rsidR="00BF42B7" w:rsidRDefault="00BF42B7" w:rsidRPr="00463191">
      <w:pPr>
        <w:widowControl w:val="0"/>
        <w:tabs>
          <w:tab w:pos="2160" w:val="left"/>
        </w:tabs>
        <w:autoSpaceDE w:val="0"/>
        <w:autoSpaceDN w:val="0"/>
        <w:adjustRightInd w:val="0"/>
        <w:spacing w:line="280" w:lineRule="exact"/>
        <w:ind w:right="333"/>
        <w:rPr>
          <w:rFonts w:ascii="Arial Narrow" w:hAnsi="Arial Narrow"/>
          <w:spacing w:val="-3"/>
        </w:rPr>
      </w:pPr>
      <w:r w:rsidRPr="00463191">
        <w:rPr>
          <w:rFonts w:ascii="Arial Narrow" w:hAnsi="Arial Narrow"/>
          <w:w w:val="105"/>
        </w:rPr>
        <w:t xml:space="preserve">• Pour la CFE-CGC : </w:t>
      </w:r>
      <w:r w:rsidR="00A26C66">
        <w:rPr>
          <w:rFonts w:ascii="Arial Narrow" w:hAnsi="Arial Narrow"/>
        </w:rPr>
        <w:t>#######</w:t>
      </w:r>
      <w:r w:rsidRPr="00463191">
        <w:rPr>
          <w:rFonts w:ascii="Arial Narrow" w:hAnsi="Arial Narrow"/>
          <w:w w:val="105"/>
        </w:rPr>
        <w:t xml:space="preserve">, agissant en qualité de Délégué Syndical ; </w:t>
      </w:r>
    </w:p>
    <w:p w14:paraId="6E69D72C" w14:textId="6E9E4DE2" w:rsidP="00BF42B7" w:rsidR="00BF42B7" w:rsidRDefault="00BF42B7" w:rsidRPr="00463191">
      <w:pPr>
        <w:widowControl w:val="0"/>
        <w:autoSpaceDE w:val="0"/>
        <w:autoSpaceDN w:val="0"/>
        <w:adjustRightInd w:val="0"/>
        <w:spacing w:line="276" w:lineRule="exact"/>
        <w:ind w:right="333"/>
        <w:rPr>
          <w:rFonts w:ascii="Arial Narrow" w:hAnsi="Arial Narrow"/>
          <w:spacing w:val="-3"/>
        </w:rPr>
      </w:pPr>
      <w:r w:rsidRPr="00463191">
        <w:rPr>
          <w:rFonts w:ascii="Arial Narrow" w:hAnsi="Arial Narrow"/>
          <w:spacing w:val="-3"/>
        </w:rPr>
        <w:t xml:space="preserve">• Pour la FGTA-FO : </w:t>
      </w:r>
      <w:r w:rsidR="00A26C66">
        <w:rPr>
          <w:rFonts w:ascii="Arial Narrow" w:hAnsi="Arial Narrow"/>
        </w:rPr>
        <w:t>#######</w:t>
      </w:r>
      <w:r w:rsidRPr="00463191">
        <w:rPr>
          <w:rFonts w:ascii="Arial Narrow" w:hAnsi="Arial Narrow"/>
          <w:spacing w:val="-3"/>
        </w:rPr>
        <w:t xml:space="preserve">, agissant en qualité de Délégué Syndical;  </w:t>
      </w:r>
    </w:p>
    <w:p w14:paraId="03EDCCCB" w14:textId="77777777" w:rsidP="00BF42B7" w:rsidR="00BF42B7" w:rsidRDefault="00BF42B7" w:rsidRPr="00463191">
      <w:pPr>
        <w:widowControl w:val="0"/>
        <w:autoSpaceDE w:val="0"/>
        <w:autoSpaceDN w:val="0"/>
        <w:adjustRightInd w:val="0"/>
        <w:spacing w:line="276" w:lineRule="exact"/>
        <w:ind w:right="333"/>
        <w:rPr>
          <w:rFonts w:ascii="Arial Narrow" w:hAnsi="Arial Narrow"/>
          <w:b/>
          <w:spacing w:val="-3"/>
        </w:rPr>
      </w:pPr>
    </w:p>
    <w:p w14:paraId="32BF07FB" w14:textId="6514E0E4" w:rsidP="007F6AA8" w:rsidR="00BF42B7" w:rsidRDefault="00BF42B7" w:rsidRPr="007F6AA8">
      <w:pPr>
        <w:widowControl w:val="0"/>
        <w:autoSpaceDE w:val="0"/>
        <w:autoSpaceDN w:val="0"/>
        <w:adjustRightInd w:val="0"/>
        <w:spacing w:line="276" w:lineRule="exact"/>
        <w:ind w:right="333"/>
        <w:jc w:val="center"/>
        <w:rPr>
          <w:rFonts w:ascii="Arial Narrow" w:hAnsi="Arial Narrow"/>
          <w:b/>
          <w:spacing w:val="-3"/>
        </w:rPr>
      </w:pPr>
      <w:r w:rsidRPr="00463191">
        <w:rPr>
          <w:rFonts w:ascii="Arial Narrow" w:hAnsi="Arial Narrow"/>
          <w:b/>
          <w:bCs/>
          <w:spacing w:val="-3"/>
        </w:rPr>
        <w:t>Préambule</w:t>
      </w:r>
    </w:p>
    <w:p w14:paraId="11152A4C" w14:textId="4612733C" w:rsidP="00BF42B7" w:rsidR="00BF42B7" w:rsidRDefault="00BF42B7" w:rsidRPr="00463191">
      <w:pPr>
        <w:widowControl w:val="0"/>
        <w:tabs>
          <w:tab w:pos="9720" w:val="left"/>
        </w:tabs>
        <w:autoSpaceDE w:val="0"/>
        <w:autoSpaceDN w:val="0"/>
        <w:adjustRightInd w:val="0"/>
        <w:spacing w:line="277" w:lineRule="exact"/>
        <w:ind w:right="333"/>
        <w:rPr>
          <w:rFonts w:ascii="Arial Narrow" w:hAnsi="Arial Narrow"/>
          <w:w w:val="103"/>
        </w:rPr>
      </w:pPr>
      <w:r w:rsidRPr="00463191">
        <w:rPr>
          <w:rFonts w:ascii="Arial Narrow" w:hAnsi="Arial Narrow"/>
          <w:w w:val="103"/>
        </w:rPr>
        <w:t xml:space="preserve">Conformément à l'article L.2242-1 du code du travail, les négociations annuelles relatives </w:t>
      </w:r>
      <w:bookmarkStart w:id="0" w:name="_Hlk118985435"/>
      <w:r w:rsidRPr="00463191">
        <w:rPr>
          <w:rFonts w:ascii="Arial Narrow" w:hAnsi="Arial Narrow"/>
          <w:w w:val="103"/>
        </w:rPr>
        <w:t xml:space="preserve">à la </w:t>
      </w:r>
      <w:r w:rsidRPr="00463191">
        <w:rPr>
          <w:rFonts w:ascii="Arial Narrow" w:hAnsi="Arial Narrow"/>
        </w:rPr>
        <w:t xml:space="preserve">rémunération, au temps de travail, et au partage de la valeur ajoutée dans l'entreprise </w:t>
      </w:r>
      <w:bookmarkEnd w:id="0"/>
      <w:r w:rsidRPr="00463191">
        <w:rPr>
          <w:rFonts w:ascii="Arial Narrow" w:hAnsi="Arial Narrow"/>
          <w:w w:val="103"/>
        </w:rPr>
        <w:t>ont</w:t>
      </w:r>
      <w:r w:rsidRPr="00463191">
        <w:rPr>
          <w:rFonts w:ascii="Arial Narrow" w:hAnsi="Arial Narrow"/>
          <w:spacing w:val="-3"/>
        </w:rPr>
        <w:t xml:space="preserve"> été engagées par COCA-COLA PRODUCTION le 13 octobre 2022.  </w:t>
      </w:r>
      <w:r w:rsidRPr="00463191">
        <w:rPr>
          <w:rFonts w:ascii="Arial Narrow" w:hAnsi="Arial Narrow"/>
          <w:w w:val="103"/>
        </w:rPr>
        <w:t xml:space="preserve"> </w:t>
      </w:r>
    </w:p>
    <w:p w14:paraId="6786BF64" w14:textId="50BC4DB9" w:rsidP="00BF42B7" w:rsidR="00BF42B7" w:rsidRDefault="00BF42B7" w:rsidRPr="007F6AA8">
      <w:pPr>
        <w:widowControl w:val="0"/>
        <w:tabs>
          <w:tab w:pos="9720" w:val="left"/>
        </w:tabs>
        <w:autoSpaceDE w:val="0"/>
        <w:autoSpaceDN w:val="0"/>
        <w:adjustRightInd w:val="0"/>
        <w:spacing w:line="277" w:lineRule="exact"/>
        <w:ind w:right="333"/>
        <w:rPr>
          <w:rFonts w:ascii="Arial Narrow" w:hAnsi="Arial Narrow"/>
        </w:rPr>
      </w:pPr>
      <w:r w:rsidRPr="00463191">
        <w:rPr>
          <w:rFonts w:ascii="Arial Narrow" w:hAnsi="Arial Narrow"/>
          <w:w w:val="103"/>
        </w:rPr>
        <w:t xml:space="preserve"> Les informations relatives à la rémunération, </w:t>
      </w:r>
      <w:r w:rsidRPr="00463191">
        <w:rPr>
          <w:rFonts w:ascii="Arial Narrow" w:hAnsi="Arial Narrow"/>
          <w:spacing w:val="-2"/>
        </w:rPr>
        <w:t>l’égalité professionnelle entre les hommes et les femmes,</w:t>
      </w:r>
      <w:r w:rsidRPr="00463191">
        <w:rPr>
          <w:rFonts w:ascii="Arial Narrow" w:hAnsi="Arial Narrow"/>
        </w:rPr>
        <w:t xml:space="preserve"> au temps de travail et au partage de la valeur ajoutée dans l’entreprise </w:t>
      </w:r>
      <w:r w:rsidRPr="00463191">
        <w:rPr>
          <w:rFonts w:ascii="Arial Narrow" w:hAnsi="Arial Narrow"/>
          <w:w w:val="103"/>
        </w:rPr>
        <w:t>ont été communiquées dans le cadre de cette négociation</w:t>
      </w:r>
      <w:r w:rsidRPr="00463191">
        <w:rPr>
          <w:rFonts w:ascii="Arial Narrow" w:hAnsi="Arial Narrow"/>
        </w:rPr>
        <w:t>.</w:t>
      </w:r>
    </w:p>
    <w:p w14:paraId="1F5CA788" w14:textId="6E0AEE65" w:rsidP="00BF42B7" w:rsidR="00BF42B7" w:rsidRDefault="00BF42B7" w:rsidRPr="007F6AA8">
      <w:pPr>
        <w:widowControl w:val="0"/>
        <w:tabs>
          <w:tab w:pos="9720" w:val="left"/>
        </w:tabs>
        <w:autoSpaceDE w:val="0"/>
        <w:autoSpaceDN w:val="0"/>
        <w:adjustRightInd w:val="0"/>
        <w:spacing w:line="277" w:lineRule="exact"/>
        <w:ind w:right="333"/>
        <w:rPr>
          <w:rFonts w:ascii="Arial Narrow" w:hAnsi="Arial Narrow"/>
          <w:spacing w:val="-2"/>
        </w:rPr>
      </w:pPr>
      <w:r w:rsidRPr="00463191">
        <w:rPr>
          <w:rFonts w:ascii="Arial Narrow" w:hAnsi="Arial Narrow"/>
          <w:w w:val="102"/>
        </w:rPr>
        <w:t>L</w:t>
      </w:r>
      <w:r w:rsidRPr="00463191">
        <w:rPr>
          <w:rFonts w:ascii="Arial Narrow" w:hAnsi="Arial Narrow"/>
          <w:spacing w:val="-2"/>
        </w:rPr>
        <w:t xml:space="preserve">es parties se sont rencontrées lors de 4 réunions intervenues les 13 et 26 octobre, 9 et 15 novembre 2022. </w:t>
      </w:r>
    </w:p>
    <w:p w14:paraId="3F4F2EA9" w14:textId="25693E8D" w:rsidP="00BF42B7" w:rsidR="00BF42B7" w:rsidRDefault="00BF42B7" w:rsidRPr="007F6AA8">
      <w:pPr>
        <w:ind w:right="333"/>
        <w:rPr>
          <w:rFonts w:ascii="Arial Narrow" w:hAnsi="Arial Narrow"/>
          <w:b/>
          <w:bCs/>
        </w:rPr>
      </w:pPr>
      <w:r w:rsidRPr="00463191">
        <w:rPr>
          <w:rFonts w:ascii="Arial Narrow" w:hAnsi="Arial Narrow"/>
          <w:b/>
          <w:bCs/>
        </w:rPr>
        <w:t>Après avoir rappelé que :</w:t>
      </w:r>
    </w:p>
    <w:p w14:paraId="1D92AB2F" w14:textId="41C56CBB" w:rsidP="007F6AA8" w:rsidR="00BF42B7" w:rsidRDefault="00BF42B7" w:rsidRPr="00463191">
      <w:pPr>
        <w:ind w:right="333"/>
        <w:rPr>
          <w:rFonts w:ascii="Arial Narrow" w:hAnsi="Arial Narrow"/>
        </w:rPr>
      </w:pPr>
      <w:r w:rsidRPr="00463191">
        <w:rPr>
          <w:rFonts w:ascii="Arial Narrow" w:hAnsi="Arial Narrow"/>
        </w:rPr>
        <w:t>La négociation annuelle obligatoire 2023 s’inscrit dans un contexte national d’inflation élevée, le présent accord illustre donc la volonté réaffirmée des signataires de procéder à des révisions salariales avec une part d’augmentation générale pour le plus grand nombre, combinée à des mesures complémentaires de soutien au pouvoir d’achat et de reconnaissance de l’engagement des équipes.</w:t>
      </w:r>
    </w:p>
    <w:p w14:paraId="75B552B6" w14:textId="6CF7F7DA" w:rsidP="007F6AA8" w:rsidR="00BF42B7" w:rsidRDefault="00BF42B7" w:rsidRPr="007F6AA8">
      <w:pPr>
        <w:spacing w:after="240" w:before="240"/>
        <w:ind w:right="333"/>
        <w:rPr>
          <w:rFonts w:ascii="Arial Narrow" w:hAnsi="Arial Narrow"/>
          <w:b/>
          <w:bCs/>
        </w:rPr>
      </w:pPr>
      <w:r w:rsidRPr="00463191">
        <w:rPr>
          <w:rFonts w:ascii="Arial Narrow" w:hAnsi="Arial Narrow"/>
          <w:b/>
          <w:bCs/>
        </w:rPr>
        <w:t>Il a été arrêté et convenu ce qui suit :</w:t>
      </w:r>
    </w:p>
    <w:p w14:paraId="6659F5C0" w14:textId="0718646F" w:rsidP="00BF42B7" w:rsidR="00BF42B7" w:rsidRDefault="00BF42B7" w:rsidRPr="00463191">
      <w:pPr>
        <w:ind w:right="335"/>
        <w:rPr>
          <w:rFonts w:ascii="Arial Narrow" w:hAnsi="Arial Narrow"/>
          <w:b/>
          <w:bCs/>
          <w:sz w:val="28"/>
          <w:szCs w:val="28"/>
        </w:rPr>
      </w:pPr>
      <w:r w:rsidRPr="00463191">
        <w:rPr>
          <w:rFonts w:ascii="Arial Narrow" w:hAnsi="Arial Narrow"/>
          <w:b/>
          <w:bCs/>
          <w:sz w:val="28"/>
          <w:szCs w:val="28"/>
        </w:rPr>
        <w:t>Titre 1 – Dispositions relatives aux rémunérations</w:t>
      </w:r>
    </w:p>
    <w:p w14:paraId="2435A503" w14:textId="77777777" w:rsidP="00BF42B7" w:rsidR="00BF42B7" w:rsidRDefault="00BF42B7" w:rsidRPr="00463191">
      <w:pPr>
        <w:ind w:right="335"/>
        <w:rPr>
          <w:rFonts w:ascii="Arial Narrow" w:hAnsi="Arial Narrow"/>
          <w:b/>
          <w:bCs/>
        </w:rPr>
      </w:pPr>
      <w:r w:rsidRPr="00463191">
        <w:rPr>
          <w:rFonts w:ascii="Arial Narrow" w:hAnsi="Arial Narrow"/>
          <w:b/>
          <w:bCs/>
          <w:u w:val="single"/>
        </w:rPr>
        <w:t>Article 1</w:t>
      </w:r>
      <w:r w:rsidRPr="00463191">
        <w:rPr>
          <w:rFonts w:ascii="Arial Narrow" w:hAnsi="Arial Narrow"/>
          <w:b/>
          <w:bCs/>
        </w:rPr>
        <w:t xml:space="preserve"> – Champ d’application</w:t>
      </w:r>
    </w:p>
    <w:p w14:paraId="096285FC" w14:textId="46F1B44B" w:rsidP="00BF42B7" w:rsidR="00BF42B7" w:rsidRDefault="00BF42B7" w:rsidRPr="00463191">
      <w:pPr>
        <w:ind w:right="333"/>
        <w:rPr>
          <w:rFonts w:ascii="Arial Narrow" w:hAnsi="Arial Narrow"/>
        </w:rPr>
      </w:pPr>
      <w:r w:rsidRPr="00463191">
        <w:rPr>
          <w:rFonts w:ascii="Arial Narrow" w:hAnsi="Arial Narrow"/>
        </w:rPr>
        <w:t xml:space="preserve">Les présentes dispositions s’appliquent à l’ensemble des salariés de la société en contrat à durée indéterminée (CDI) et contrats à durée déterminée (CDD), à l’exclusion des contrats en alternance. </w:t>
      </w:r>
    </w:p>
    <w:p w14:paraId="23BAD284" w14:textId="77777777" w:rsidP="00BF42B7" w:rsidR="00BF42B7" w:rsidRDefault="00BF42B7" w:rsidRPr="00463191">
      <w:pPr>
        <w:spacing w:after="240" w:before="240"/>
        <w:ind w:right="333"/>
        <w:rPr>
          <w:rFonts w:ascii="Arial Narrow" w:hAnsi="Arial Narrow"/>
          <w:b/>
          <w:bCs/>
        </w:rPr>
      </w:pPr>
      <w:r w:rsidRPr="00463191">
        <w:rPr>
          <w:rFonts w:ascii="Arial Narrow" w:hAnsi="Arial Narrow"/>
          <w:b/>
          <w:bCs/>
          <w:u w:val="single"/>
        </w:rPr>
        <w:t>Article 2</w:t>
      </w:r>
      <w:r w:rsidRPr="00463191">
        <w:rPr>
          <w:rFonts w:ascii="Arial Narrow" w:hAnsi="Arial Narrow"/>
          <w:b/>
          <w:bCs/>
        </w:rPr>
        <w:t xml:space="preserve"> – Date d’effet.</w:t>
      </w:r>
    </w:p>
    <w:p w14:paraId="512ACDBF" w14:textId="77777777" w:rsidP="00BF42B7" w:rsidR="00BF42B7" w:rsidRDefault="00BF42B7" w:rsidRPr="00463191">
      <w:pPr>
        <w:spacing w:after="240" w:before="240"/>
        <w:ind w:right="333"/>
        <w:rPr>
          <w:rFonts w:ascii="Arial Narrow" w:hAnsi="Arial Narrow"/>
        </w:rPr>
      </w:pPr>
      <w:r w:rsidRPr="00463191">
        <w:rPr>
          <w:rFonts w:ascii="Arial Narrow" w:hAnsi="Arial Narrow"/>
        </w:rPr>
        <w:t>Les mesures envisagées ci-après s’appliqueront à la date du 1</w:t>
      </w:r>
      <w:r w:rsidRPr="00463191">
        <w:rPr>
          <w:rFonts w:ascii="Arial Narrow" w:hAnsi="Arial Narrow"/>
          <w:vertAlign w:val="superscript"/>
        </w:rPr>
        <w:t>er</w:t>
      </w:r>
      <w:r w:rsidRPr="00463191">
        <w:rPr>
          <w:rFonts w:ascii="Arial Narrow" w:hAnsi="Arial Narrow"/>
        </w:rPr>
        <w:t xml:space="preserve"> avril 2023. </w:t>
      </w:r>
    </w:p>
    <w:p w14:paraId="67C5B01A" w14:textId="0FE7FC93" w:rsidP="00BF42B7" w:rsidR="00BF42B7" w:rsidRDefault="00BF42B7" w:rsidRPr="00463191">
      <w:pPr>
        <w:ind w:right="333"/>
        <w:rPr>
          <w:rFonts w:ascii="Arial Narrow" w:hAnsi="Arial Narrow"/>
          <w:b/>
        </w:rPr>
      </w:pPr>
      <w:r w:rsidRPr="00463191">
        <w:rPr>
          <w:rFonts w:ascii="Arial Narrow" w:hAnsi="Arial Narrow"/>
          <w:b/>
          <w:u w:val="single"/>
        </w:rPr>
        <w:lastRenderedPageBreak/>
        <w:t>Article 3</w:t>
      </w:r>
      <w:r w:rsidRPr="00463191">
        <w:rPr>
          <w:rFonts w:ascii="Arial Narrow" w:hAnsi="Arial Narrow"/>
          <w:b/>
        </w:rPr>
        <w:t xml:space="preserve"> - Dispositions relatives aux ouvriers, employés, techniciens et agents de maîtrise (OETAM)</w:t>
      </w:r>
    </w:p>
    <w:p w14:paraId="2E2C2176" w14:textId="570E13FA" w:rsidP="00BF42B7" w:rsidR="00BF42B7" w:rsidRDefault="00BF42B7" w:rsidRPr="007F6AA8">
      <w:pPr>
        <w:ind w:right="333"/>
        <w:rPr>
          <w:rFonts w:ascii="Arial Narrow" w:hAnsi="Arial Narrow"/>
          <w:b/>
        </w:rPr>
      </w:pPr>
      <w:r w:rsidRPr="00463191">
        <w:rPr>
          <w:rFonts w:ascii="Arial Narrow" w:hAnsi="Arial Narrow"/>
          <w:b/>
        </w:rPr>
        <w:t>3.1 – Révisions salariales</w:t>
      </w:r>
    </w:p>
    <w:p w14:paraId="6E0C8674" w14:textId="77777777" w:rsidP="00BF42B7" w:rsidR="00BF42B7" w:rsidRDefault="00BF42B7" w:rsidRPr="00463191">
      <w:pPr>
        <w:spacing w:after="160" w:line="259" w:lineRule="auto"/>
        <w:ind w:right="333"/>
        <w:rPr>
          <w:rFonts w:ascii="Arial Narrow" w:hAnsi="Arial Narrow"/>
        </w:rPr>
      </w:pPr>
      <w:r w:rsidRPr="00463191">
        <w:rPr>
          <w:rFonts w:ascii="Arial Narrow" w:hAnsi="Arial Narrow"/>
        </w:rPr>
        <w:t xml:space="preserve">Les parties conviennent, pour l’année 2023, d’une enveloppe globale d’augmentation correspondant à </w:t>
      </w:r>
      <w:r w:rsidRPr="00463191">
        <w:rPr>
          <w:rFonts w:ascii="Arial Narrow" w:hAnsi="Arial Narrow"/>
          <w:b/>
          <w:bCs/>
        </w:rPr>
        <w:t>5%</w:t>
      </w:r>
      <w:r w:rsidRPr="00463191">
        <w:rPr>
          <w:rFonts w:ascii="Arial Narrow" w:hAnsi="Arial Narrow"/>
        </w:rPr>
        <w:t xml:space="preserve"> du montant des salaires bruts de base des OETAM éligibles, arrêté à la date du 31 mars 2023.</w:t>
      </w:r>
    </w:p>
    <w:p w14:paraId="162B4BE6" w14:textId="452EF1B7" w:rsidP="00BF42B7" w:rsidR="00BF42B7" w:rsidRDefault="00BF42B7" w:rsidRPr="00463191">
      <w:pPr>
        <w:ind w:right="333"/>
        <w:rPr>
          <w:rFonts w:ascii="Arial Narrow" w:hAnsi="Arial Narrow"/>
        </w:rPr>
      </w:pPr>
      <w:r w:rsidRPr="00463191">
        <w:rPr>
          <w:rFonts w:ascii="Arial Narrow" w:hAnsi="Arial Narrow"/>
        </w:rPr>
        <w:t>Sont exclues de cette enveloppe les augmentations résultant de promotions et de certifications qui auront lieu au cours de l’année 2023.</w:t>
      </w:r>
    </w:p>
    <w:p w14:paraId="4DC49407" w14:textId="3DE7F1EC" w:rsidP="00BF42B7" w:rsidR="00BF42B7" w:rsidRDefault="00BF42B7" w:rsidRPr="00463191">
      <w:pPr>
        <w:ind w:right="333"/>
        <w:rPr>
          <w:rFonts w:ascii="Arial Narrow" w:hAnsi="Arial Narrow"/>
          <w:b/>
        </w:rPr>
      </w:pPr>
      <w:r w:rsidRPr="00463191">
        <w:rPr>
          <w:rFonts w:ascii="Arial Narrow" w:hAnsi="Arial Narrow"/>
          <w:b/>
        </w:rPr>
        <w:t xml:space="preserve">3.2 - Attribution des augmentations </w:t>
      </w:r>
    </w:p>
    <w:p w14:paraId="1CD3F8AC" w14:textId="67B76C84" w:rsidP="00BF42B7" w:rsidR="00BF42B7" w:rsidRDefault="00BF42B7" w:rsidRPr="007F6AA8">
      <w:pPr>
        <w:ind w:right="333"/>
        <w:rPr>
          <w:rFonts w:ascii="Arial Narrow" w:hAnsi="Arial Narrow"/>
          <w:bCs/>
        </w:rPr>
      </w:pPr>
      <w:r w:rsidRPr="00463191">
        <w:rPr>
          <w:rFonts w:ascii="Arial Narrow" w:hAnsi="Arial Narrow"/>
          <w:bCs/>
        </w:rPr>
        <w:t>L’enveloppe d’augmentation allouée sera répartie comme précisé ci-dessous.</w:t>
      </w:r>
    </w:p>
    <w:p w14:paraId="57AFD024" w14:textId="53B8D164" w:rsidP="00BF42B7" w:rsidR="00BF42B7" w:rsidRDefault="00BF42B7" w:rsidRPr="00463191">
      <w:pPr>
        <w:ind w:right="333"/>
        <w:rPr>
          <w:rFonts w:ascii="Arial Narrow" w:hAnsi="Arial Narrow"/>
        </w:rPr>
      </w:pPr>
      <w:r w:rsidRPr="00463191">
        <w:rPr>
          <w:rFonts w:ascii="Arial Narrow" w:hAnsi="Arial Narrow"/>
          <w:b/>
          <w:bCs/>
        </w:rPr>
        <w:t>3.2.1 – Augmentation générale :</w:t>
      </w:r>
      <w:r w:rsidRPr="00463191">
        <w:rPr>
          <w:rFonts w:ascii="Arial Narrow" w:hAnsi="Arial Narrow"/>
        </w:rPr>
        <w:t xml:space="preserve"> Une augmentation générale du salaire de base brut de </w:t>
      </w:r>
      <w:r w:rsidRPr="00463191">
        <w:rPr>
          <w:rFonts w:ascii="Arial Narrow" w:hAnsi="Arial Narrow"/>
          <w:b/>
          <w:bCs/>
        </w:rPr>
        <w:t>4%</w:t>
      </w:r>
      <w:r w:rsidRPr="00463191">
        <w:rPr>
          <w:rFonts w:ascii="Arial Narrow" w:hAnsi="Arial Narrow"/>
        </w:rPr>
        <w:t xml:space="preserve"> sera attribuée à l’ensemble des OETAM entrant dans le champ d’application du présent accord (cf. article 1).</w:t>
      </w:r>
    </w:p>
    <w:p w14:paraId="7C3A180E" w14:textId="6DCAE5CC" w:rsidP="00BF42B7" w:rsidR="00BF42B7" w:rsidRDefault="00BF42B7" w:rsidRPr="00463191">
      <w:pPr>
        <w:ind w:right="333"/>
        <w:rPr>
          <w:rFonts w:ascii="Arial Narrow" w:hAnsi="Arial Narrow"/>
        </w:rPr>
      </w:pPr>
      <w:r w:rsidRPr="00463191">
        <w:rPr>
          <w:rFonts w:ascii="Arial Narrow" w:hAnsi="Arial Narrow"/>
        </w:rPr>
        <w:t>Sont exclues de cette enveloppe les augmentations résultant de promotions qui auront lieu au cours de l’année 2023.</w:t>
      </w:r>
    </w:p>
    <w:p w14:paraId="03B2C938" w14:textId="55F13A05" w:rsidP="00BF42B7" w:rsidR="00BF42B7" w:rsidRDefault="00BF42B7" w:rsidRPr="00463191">
      <w:pPr>
        <w:ind w:right="333"/>
        <w:rPr>
          <w:rFonts w:ascii="Arial Narrow" w:hAnsi="Arial Narrow"/>
        </w:rPr>
      </w:pPr>
      <w:r w:rsidRPr="00463191">
        <w:rPr>
          <w:rFonts w:ascii="Arial Narrow" w:hAnsi="Arial Narrow"/>
        </w:rPr>
        <w:t>Les parties s’engagent à titre exceptionnel étant donné le contexte, à ce que l’application des règles définies ci-dessus garantisse un montant d’augmentation annuelle minimum de 1000€ bruts (pour un salarié à temps plein présent sur toute l’année) et ce, quel que soit le niveau de performance du collaborateur. Cette disposition s’applique au 1</w:t>
      </w:r>
      <w:r w:rsidRPr="00463191">
        <w:rPr>
          <w:rFonts w:ascii="Arial Narrow" w:hAnsi="Arial Narrow"/>
          <w:vertAlign w:val="superscript"/>
        </w:rPr>
        <w:t>er</w:t>
      </w:r>
      <w:r w:rsidRPr="00463191">
        <w:rPr>
          <w:rFonts w:ascii="Arial Narrow" w:hAnsi="Arial Narrow"/>
        </w:rPr>
        <w:t xml:space="preserve"> avril 2023.</w:t>
      </w:r>
    </w:p>
    <w:p w14:paraId="7CDE1759" w14:textId="77777777" w:rsidP="00BF42B7" w:rsidR="00BF42B7" w:rsidRDefault="00BF42B7" w:rsidRPr="00463191">
      <w:pPr>
        <w:ind w:right="333"/>
        <w:rPr>
          <w:rFonts w:ascii="Arial Narrow" w:hAnsi="Arial Narrow"/>
        </w:rPr>
      </w:pPr>
      <w:r w:rsidRPr="00463191">
        <w:rPr>
          <w:rFonts w:ascii="Arial Narrow" w:hAnsi="Arial Narrow"/>
          <w:b/>
          <w:bCs/>
        </w:rPr>
        <w:t>3.2.2 Augmentations individuelles :</w:t>
      </w:r>
      <w:r w:rsidRPr="00463191">
        <w:rPr>
          <w:rFonts w:ascii="Arial Narrow" w:hAnsi="Arial Narrow"/>
        </w:rPr>
        <w:t xml:space="preserve"> une enveloppe de 1% du montant total des salaires bruts de base des OETAM arrêté au 31 mars 2023 est attribuée. Cette augmentation est réalisée en pourcentage du salaire brut de base, en fonction de la performance évaluée au titre de l’année 2022 et du positionnement salarial, selon la grille ci-dessous. </w:t>
      </w:r>
      <w:bookmarkStart w:id="1" w:name="_Hlk119576604"/>
      <w:r w:rsidRPr="00463191">
        <w:rPr>
          <w:rFonts w:ascii="Arial Narrow" w:hAnsi="Arial Narrow"/>
        </w:rPr>
        <w:t>Elle est attribuée uniquement aux salariés embauchés avant le 01/01/2023.</w:t>
      </w:r>
    </w:p>
    <w:bookmarkEnd w:id="1"/>
    <w:p w14:paraId="6F329F66" w14:textId="77777777" w:rsidP="00BF42B7" w:rsidR="00BF42B7" w:rsidRDefault="00BF42B7" w:rsidRPr="00463191">
      <w:pPr>
        <w:ind w:right="333"/>
        <w:rPr>
          <w:rFonts w:ascii="Arial Narrow" w:hAnsi="Arial Narrow"/>
        </w:rPr>
      </w:pPr>
    </w:p>
    <w:p w14:paraId="041A05D1" w14:textId="77777777" w:rsidP="00BF42B7" w:rsidR="00BF42B7" w:rsidRDefault="00BF42B7" w:rsidRPr="00463191">
      <w:pPr>
        <w:ind w:right="333"/>
        <w:rPr>
          <w:rFonts w:ascii="Arial Narrow" w:hAnsi="Arial Narrow"/>
          <w:u w:val="single"/>
        </w:rPr>
      </w:pPr>
      <w:r w:rsidRPr="00463191">
        <w:rPr>
          <w:rFonts w:ascii="Arial Narrow" w:hAnsi="Arial Narrow"/>
          <w:u w:val="single"/>
        </w:rPr>
        <w:t>Tableau récapitulatif - Augmentation Individuelle OETAM :</w:t>
      </w:r>
    </w:p>
    <w:p w14:paraId="755DDCD8" w14:textId="77777777" w:rsidP="00BF42B7" w:rsidR="00BF42B7" w:rsidRDefault="00BF42B7" w:rsidRPr="00463191">
      <w:pPr>
        <w:ind w:right="333"/>
        <w:rPr>
          <w:rFonts w:ascii="Arial Narrow" w:hAnsi="Arial Narrow"/>
          <w:u w:val="single"/>
        </w:rPr>
      </w:pPr>
    </w:p>
    <w:tbl>
      <w:tblPr>
        <w:tblW w:type="dxa" w:w="9556"/>
        <w:tblInd w:type="dxa" w:w="-5"/>
        <w:tblCellMar>
          <w:left w:type="dxa" w:w="0"/>
          <w:right w:type="dxa" w:w="0"/>
        </w:tblCellMar>
        <w:tblLook w:firstColumn="0" w:firstRow="0" w:lastColumn="0" w:lastRow="0" w:noHBand="1" w:noVBand="1" w:val="0600"/>
      </w:tblPr>
      <w:tblGrid>
        <w:gridCol w:w="3660"/>
        <w:gridCol w:w="1905"/>
        <w:gridCol w:w="2196"/>
        <w:gridCol w:w="1795"/>
      </w:tblGrid>
      <w:tr w14:paraId="220B9051" w14:textId="77777777" w:rsidR="00BF42B7" w:rsidRPr="00463191" w:rsidTr="00EA4A53">
        <w:trPr>
          <w:trHeight w:val="395"/>
        </w:trPr>
        <w:tc>
          <w:tcPr>
            <w:tcW w:type="dxa" w:w="3660"/>
            <w:tcBorders>
              <w:top w:color="000000" w:space="0" w:sz="4" w:themeColor="text1" w:val="single"/>
              <w:left w:color="000000" w:space="0" w:sz="4" w:themeColor="text1" w:val="single"/>
              <w:bottom w:color="FFFFFF" w:space="0" w:sz="8" w:themeColor="background1" w:val="single"/>
              <w:right w:color="FFFFFF" w:space="0" w:sz="8" w:themeColor="background1" w:val="single"/>
            </w:tcBorders>
            <w:shd w:color="auto" w:fill="4E0D45" w:val="clear"/>
            <w:tcMar>
              <w:top w:type="dxa" w:w="10"/>
              <w:left w:type="dxa" w:w="10"/>
              <w:bottom w:type="dxa" w:w="0"/>
              <w:right w:type="dxa" w:w="10"/>
            </w:tcMar>
            <w:vAlign w:val="center"/>
            <w:hideMark/>
          </w:tcPr>
          <w:p w14:paraId="2CEE33F8" w14:textId="77777777" w:rsidP="00EA4A53" w:rsidR="00BF42B7" w:rsidRDefault="00BF42B7" w:rsidRPr="00463191">
            <w:pPr>
              <w:ind w:right="333"/>
              <w:rPr>
                <w:rFonts w:ascii="Arial Narrow" w:hAnsi="Arial Narrow"/>
                <w:b/>
                <w:bCs/>
              </w:rPr>
            </w:pPr>
          </w:p>
        </w:tc>
        <w:tc>
          <w:tcPr>
            <w:tcW w:type="dxa" w:w="1905"/>
            <w:tcBorders>
              <w:top w:color="000000" w:space="0" w:sz="4" w:themeColor="text1" w:val="single"/>
              <w:left w:color="FFFFFF" w:space="0" w:sz="8" w:themeColor="background1" w:val="single"/>
              <w:bottom w:color="FFFFFF" w:space="0" w:sz="8" w:themeColor="background1" w:val="single"/>
              <w:right w:color="FFFFFF" w:space="0" w:sz="8" w:themeColor="background1" w:val="single"/>
            </w:tcBorders>
            <w:shd w:color="auto" w:fill="4E0D45" w:val="clear"/>
            <w:tcMar>
              <w:top w:type="dxa" w:w="10"/>
              <w:left w:type="dxa" w:w="10"/>
              <w:bottom w:type="dxa" w:w="0"/>
              <w:right w:type="dxa" w:w="10"/>
            </w:tcMar>
            <w:vAlign w:val="center"/>
            <w:hideMark/>
          </w:tcPr>
          <w:p w14:paraId="494C8157" w14:textId="77777777" w:rsidP="00EA4A53" w:rsidR="00BF42B7" w:rsidRDefault="00BF42B7" w:rsidRPr="00463191">
            <w:pPr>
              <w:ind w:right="333"/>
              <w:jc w:val="center"/>
              <w:rPr>
                <w:rFonts w:ascii="Arial Narrow" w:hAnsi="Arial Narrow"/>
              </w:rPr>
            </w:pPr>
            <w:r w:rsidRPr="00463191">
              <w:rPr>
                <w:rFonts w:ascii="Arial Narrow" w:hAnsi="Arial Narrow"/>
                <w:b/>
                <w:bCs/>
              </w:rPr>
              <w:t>En-dessous</w:t>
            </w:r>
            <w:r w:rsidRPr="00463191">
              <w:rPr>
                <w:rFonts w:cs="Arial"/>
                <w:b/>
                <w:bCs/>
              </w:rPr>
              <w:t>​</w:t>
            </w:r>
          </w:p>
        </w:tc>
        <w:tc>
          <w:tcPr>
            <w:tcW w:type="dxa" w:w="2196"/>
            <w:tcBorders>
              <w:top w:color="000000" w:space="0" w:sz="4" w:themeColor="text1" w:val="single"/>
              <w:left w:color="FFFFFF" w:space="0" w:sz="8" w:themeColor="background1" w:val="single"/>
              <w:bottom w:color="FFFFFF" w:space="0" w:sz="8" w:themeColor="background1" w:val="single"/>
              <w:right w:color="FFFFFF" w:space="0" w:sz="8" w:themeColor="background1" w:val="single"/>
            </w:tcBorders>
            <w:shd w:color="auto" w:fill="4E0D45" w:val="clear"/>
            <w:tcMar>
              <w:top w:type="dxa" w:w="10"/>
              <w:left w:type="dxa" w:w="10"/>
              <w:bottom w:type="dxa" w:w="0"/>
              <w:right w:type="dxa" w:w="10"/>
            </w:tcMar>
            <w:vAlign w:val="center"/>
            <w:hideMark/>
          </w:tcPr>
          <w:p w14:paraId="170AD50D" w14:textId="77777777" w:rsidP="00EA4A53" w:rsidR="00BF42B7" w:rsidRDefault="00BF42B7" w:rsidRPr="00463191">
            <w:pPr>
              <w:ind w:right="333"/>
              <w:jc w:val="center"/>
              <w:rPr>
                <w:rFonts w:ascii="Arial Narrow" w:hAnsi="Arial Narrow"/>
              </w:rPr>
            </w:pPr>
            <w:r w:rsidRPr="00463191">
              <w:rPr>
                <w:rFonts w:ascii="Arial Narrow" w:hAnsi="Arial Narrow"/>
                <w:b/>
                <w:bCs/>
              </w:rPr>
              <w:t>Dans la fourchette</w:t>
            </w:r>
            <w:r w:rsidRPr="00463191">
              <w:rPr>
                <w:rFonts w:cs="Arial"/>
                <w:b/>
                <w:bCs/>
              </w:rPr>
              <w:t>​</w:t>
            </w:r>
          </w:p>
        </w:tc>
        <w:tc>
          <w:tcPr>
            <w:tcW w:type="dxa" w:w="1795"/>
            <w:tcBorders>
              <w:top w:color="000000" w:space="0" w:sz="4" w:themeColor="text1" w:val="single"/>
              <w:left w:color="FFFFFF" w:space="0" w:sz="8" w:themeColor="background1" w:val="single"/>
              <w:bottom w:color="FFFFFF" w:space="0" w:sz="8" w:themeColor="background1" w:val="single"/>
              <w:right w:color="000000" w:space="0" w:sz="4" w:themeColor="text1" w:val="single"/>
            </w:tcBorders>
            <w:shd w:color="auto" w:fill="4E0D45" w:val="clear"/>
            <w:tcMar>
              <w:top w:type="dxa" w:w="10"/>
              <w:left w:type="dxa" w:w="10"/>
              <w:bottom w:type="dxa" w:w="0"/>
              <w:right w:type="dxa" w:w="10"/>
            </w:tcMar>
            <w:vAlign w:val="center"/>
            <w:hideMark/>
          </w:tcPr>
          <w:p w14:paraId="159C2386" w14:textId="77777777" w:rsidP="00EA4A53" w:rsidR="00BF42B7" w:rsidRDefault="00BF42B7" w:rsidRPr="00463191">
            <w:pPr>
              <w:ind w:right="333"/>
              <w:jc w:val="center"/>
              <w:rPr>
                <w:rFonts w:ascii="Arial Narrow" w:hAnsi="Arial Narrow"/>
              </w:rPr>
            </w:pPr>
            <w:r w:rsidRPr="00463191">
              <w:rPr>
                <w:rFonts w:ascii="Arial Narrow" w:hAnsi="Arial Narrow"/>
                <w:b/>
                <w:bCs/>
              </w:rPr>
              <w:t>Au-dessus</w:t>
            </w:r>
            <w:r w:rsidRPr="00463191">
              <w:rPr>
                <w:rFonts w:cs="Arial"/>
                <w:b/>
                <w:bCs/>
              </w:rPr>
              <w:t>​</w:t>
            </w:r>
          </w:p>
        </w:tc>
      </w:tr>
      <w:tr w14:paraId="2C0BE69D" w14:textId="77777777" w:rsidR="00BF42B7" w:rsidRPr="00463191" w:rsidTr="00EA4A53">
        <w:trPr>
          <w:trHeight w:val="501"/>
        </w:trPr>
        <w:tc>
          <w:tcPr>
            <w:tcW w:type="dxa" w:w="3660"/>
            <w:tcBorders>
              <w:top w:color="FFFFFF" w:space="0" w:sz="8" w:themeColor="background1" w:val="single"/>
              <w:left w:color="000000" w:space="0" w:sz="4" w:themeColor="text1" w:val="single"/>
              <w:bottom w:color="FFFFFF" w:space="0" w:sz="8" w:themeColor="background1" w:val="single"/>
              <w:right w:color="FFFFFF" w:space="0" w:sz="8" w:themeColor="background1" w:val="single"/>
            </w:tcBorders>
            <w:shd w:color="auto" w:fill="D0CCCF" w:val="clear"/>
            <w:tcMar>
              <w:top w:type="dxa" w:w="10"/>
              <w:left w:type="dxa" w:w="10"/>
              <w:bottom w:type="dxa" w:w="0"/>
              <w:right w:type="dxa" w:w="10"/>
            </w:tcMar>
            <w:vAlign w:val="center"/>
            <w:hideMark/>
          </w:tcPr>
          <w:p w14:paraId="30AC3597" w14:textId="77777777" w:rsidP="00EA4A53" w:rsidR="00BF42B7" w:rsidRDefault="00BF42B7" w:rsidRPr="00463191">
            <w:pPr>
              <w:ind w:right="333"/>
              <w:rPr>
                <w:rFonts w:cs="Arial"/>
              </w:rPr>
            </w:pPr>
            <w:r w:rsidRPr="00463191">
              <w:rPr>
                <w:rFonts w:ascii="Arial Narrow" w:hAnsi="Arial Narrow"/>
              </w:rPr>
              <w:t>Contribue de manière exceptionnelle</w:t>
            </w:r>
          </w:p>
        </w:tc>
        <w:tc>
          <w:tcPr>
            <w:tcW w:type="dxa" w:w="1905"/>
            <w:tcBorders>
              <w:top w:color="FFFFFF" w:space="0" w:sz="8" w:themeColor="background1" w:val="single"/>
              <w:left w:color="FFFFFF" w:space="0" w:sz="8" w:themeColor="background1" w:val="single"/>
              <w:bottom w:color="FFFFFF" w:space="0" w:sz="8" w:themeColor="background1" w:val="single"/>
              <w:right w:color="FFFFFF" w:space="0" w:sz="8" w:themeColor="background1" w:val="single"/>
            </w:tcBorders>
            <w:shd w:color="auto" w:fill="D0CCCF" w:val="clear"/>
            <w:tcMar>
              <w:top w:type="dxa" w:w="10"/>
              <w:left w:type="dxa" w:w="10"/>
              <w:bottom w:type="dxa" w:w="0"/>
              <w:right w:type="dxa" w:w="10"/>
            </w:tcMar>
            <w:vAlign w:val="center"/>
            <w:hideMark/>
          </w:tcPr>
          <w:p w14:paraId="5990A43E" w14:textId="77777777" w:rsidP="00EA4A53" w:rsidR="00BF42B7" w:rsidRDefault="00BF42B7" w:rsidRPr="00463191">
            <w:pPr>
              <w:ind w:right="333"/>
              <w:jc w:val="center"/>
              <w:rPr>
                <w:rFonts w:ascii="Arial Narrow" w:hAnsi="Arial Narrow"/>
              </w:rPr>
            </w:pPr>
            <w:r w:rsidRPr="00463191">
              <w:rPr>
                <w:rFonts w:ascii="Arial Narrow" w:hAnsi="Arial Narrow"/>
              </w:rPr>
              <w:t>3,2%</w:t>
            </w:r>
          </w:p>
        </w:tc>
        <w:tc>
          <w:tcPr>
            <w:tcW w:type="dxa" w:w="2196"/>
            <w:tcBorders>
              <w:top w:color="FFFFFF" w:space="0" w:sz="8" w:themeColor="background1" w:val="single"/>
              <w:left w:color="FFFFFF" w:space="0" w:sz="8" w:themeColor="background1" w:val="single"/>
              <w:bottom w:color="FFFFFF" w:space="0" w:sz="8" w:themeColor="background1" w:val="single"/>
              <w:right w:color="FFFFFF" w:space="0" w:sz="8" w:themeColor="background1" w:val="single"/>
            </w:tcBorders>
            <w:shd w:color="auto" w:fill="D0CCCF" w:val="clear"/>
            <w:tcMar>
              <w:top w:type="dxa" w:w="10"/>
              <w:left w:type="dxa" w:w="10"/>
              <w:bottom w:type="dxa" w:w="0"/>
              <w:right w:type="dxa" w:w="10"/>
            </w:tcMar>
            <w:vAlign w:val="center"/>
            <w:hideMark/>
          </w:tcPr>
          <w:p w14:paraId="1CF9B5D1" w14:textId="77777777" w:rsidP="00EA4A53" w:rsidR="00BF42B7" w:rsidRDefault="00BF42B7" w:rsidRPr="00463191">
            <w:pPr>
              <w:ind w:right="333"/>
              <w:jc w:val="center"/>
              <w:rPr>
                <w:rFonts w:ascii="Arial Narrow" w:hAnsi="Arial Narrow"/>
              </w:rPr>
            </w:pPr>
            <w:r w:rsidRPr="00463191">
              <w:rPr>
                <w:rFonts w:ascii="Arial Narrow" w:hAnsi="Arial Narrow"/>
              </w:rPr>
              <w:t>2,2%</w:t>
            </w:r>
          </w:p>
        </w:tc>
        <w:tc>
          <w:tcPr>
            <w:tcW w:type="dxa" w:w="1795"/>
            <w:tcBorders>
              <w:top w:color="FFFFFF" w:space="0" w:sz="8" w:themeColor="background1" w:val="single"/>
              <w:left w:color="FFFFFF" w:space="0" w:sz="8" w:themeColor="background1" w:val="single"/>
              <w:bottom w:color="FFFFFF" w:space="0" w:sz="8" w:themeColor="background1" w:val="single"/>
              <w:right w:color="000000" w:space="0" w:sz="4" w:themeColor="text1" w:val="single"/>
            </w:tcBorders>
            <w:shd w:color="auto" w:fill="D0CCCF" w:val="clear"/>
            <w:tcMar>
              <w:top w:type="dxa" w:w="10"/>
              <w:left w:type="dxa" w:w="10"/>
              <w:bottom w:type="dxa" w:w="0"/>
              <w:right w:type="dxa" w:w="10"/>
            </w:tcMar>
            <w:vAlign w:val="center"/>
            <w:hideMark/>
          </w:tcPr>
          <w:p w14:paraId="32C0DDDB" w14:textId="77777777" w:rsidP="00EA4A53" w:rsidR="00BF42B7" w:rsidRDefault="00BF42B7" w:rsidRPr="00463191">
            <w:pPr>
              <w:ind w:right="333"/>
              <w:jc w:val="center"/>
              <w:rPr>
                <w:rFonts w:ascii="Arial Narrow" w:hAnsi="Arial Narrow"/>
              </w:rPr>
            </w:pPr>
            <w:r w:rsidRPr="00463191">
              <w:rPr>
                <w:rFonts w:ascii="Arial Narrow" w:hAnsi="Arial Narrow"/>
              </w:rPr>
              <w:t>1%</w:t>
            </w:r>
          </w:p>
        </w:tc>
      </w:tr>
      <w:tr w14:paraId="65BC08A6" w14:textId="77777777" w:rsidR="00BF42B7" w:rsidRPr="00463191" w:rsidTr="00EA4A53">
        <w:trPr>
          <w:trHeight w:val="362"/>
        </w:trPr>
        <w:tc>
          <w:tcPr>
            <w:tcW w:type="dxa" w:w="3660"/>
            <w:tcBorders>
              <w:top w:color="FFFFFF" w:space="0" w:sz="8" w:themeColor="background1" w:val="single"/>
              <w:left w:color="000000" w:space="0" w:sz="4" w:themeColor="text1" w:val="single"/>
              <w:bottom w:color="FFFFFF" w:space="0" w:sz="8" w:themeColor="background1" w:val="single"/>
              <w:right w:color="FFFFFF" w:space="0" w:sz="8" w:themeColor="background1" w:val="single"/>
            </w:tcBorders>
            <w:shd w:color="auto" w:fill="E9E7E9" w:val="clear"/>
            <w:tcMar>
              <w:top w:type="dxa" w:w="10"/>
              <w:left w:type="dxa" w:w="10"/>
              <w:bottom w:type="dxa" w:w="0"/>
              <w:right w:type="dxa" w:w="10"/>
            </w:tcMar>
            <w:vAlign w:val="center"/>
            <w:hideMark/>
          </w:tcPr>
          <w:p w14:paraId="5F9AD685" w14:textId="77777777" w:rsidP="00EA4A53" w:rsidR="00BF42B7" w:rsidRDefault="00BF42B7" w:rsidRPr="00463191">
            <w:pPr>
              <w:ind w:right="333"/>
              <w:rPr>
                <w:rFonts w:ascii="Arial Narrow" w:hAnsi="Arial Narrow"/>
              </w:rPr>
            </w:pPr>
            <w:r w:rsidRPr="00463191">
              <w:rPr>
                <w:rFonts w:ascii="Arial Narrow" w:hAnsi="Arial Narrow"/>
              </w:rPr>
              <w:t>Contribue avec succès</w:t>
            </w:r>
            <w:r w:rsidRPr="00463191">
              <w:rPr>
                <w:rFonts w:cs="Arial"/>
              </w:rPr>
              <w:t>​</w:t>
            </w:r>
          </w:p>
        </w:tc>
        <w:tc>
          <w:tcPr>
            <w:tcW w:type="dxa" w:w="1905"/>
            <w:tcBorders>
              <w:top w:color="FFFFFF" w:space="0" w:sz="8" w:themeColor="background1" w:val="single"/>
              <w:left w:color="FFFFFF" w:space="0" w:sz="8" w:themeColor="background1" w:val="single"/>
              <w:bottom w:color="FFFFFF" w:space="0" w:sz="8" w:themeColor="background1" w:val="single"/>
              <w:right w:color="FFFFFF" w:space="0" w:sz="8" w:themeColor="background1" w:val="single"/>
            </w:tcBorders>
            <w:shd w:color="auto" w:fill="E9E7E9" w:val="clear"/>
            <w:tcMar>
              <w:top w:type="dxa" w:w="10"/>
              <w:left w:type="dxa" w:w="10"/>
              <w:bottom w:type="dxa" w:w="0"/>
              <w:right w:type="dxa" w:w="10"/>
            </w:tcMar>
            <w:vAlign w:val="center"/>
            <w:hideMark/>
          </w:tcPr>
          <w:p w14:paraId="5224A314" w14:textId="77777777" w:rsidP="00EA4A53" w:rsidR="00BF42B7" w:rsidRDefault="00BF42B7" w:rsidRPr="00463191">
            <w:pPr>
              <w:ind w:right="333"/>
              <w:jc w:val="center"/>
              <w:rPr>
                <w:rFonts w:ascii="Arial Narrow" w:hAnsi="Arial Narrow"/>
              </w:rPr>
            </w:pPr>
            <w:r w:rsidRPr="00463191">
              <w:rPr>
                <w:rFonts w:ascii="Arial Narrow" w:hAnsi="Arial Narrow"/>
              </w:rPr>
              <w:t>2,2%</w:t>
            </w:r>
          </w:p>
        </w:tc>
        <w:tc>
          <w:tcPr>
            <w:tcW w:type="dxa" w:w="2196"/>
            <w:tcBorders>
              <w:top w:color="FFFFFF" w:space="0" w:sz="8" w:themeColor="background1" w:val="single"/>
              <w:left w:color="FFFFFF" w:space="0" w:sz="8" w:themeColor="background1" w:val="single"/>
              <w:bottom w:color="FFFFFF" w:space="0" w:sz="8" w:themeColor="background1" w:val="single"/>
              <w:right w:color="FFFFFF" w:space="0" w:sz="8" w:themeColor="background1" w:val="single"/>
            </w:tcBorders>
            <w:shd w:color="auto" w:fill="E9E7E9" w:val="clear"/>
            <w:tcMar>
              <w:top w:type="dxa" w:w="10"/>
              <w:left w:type="dxa" w:w="10"/>
              <w:bottom w:type="dxa" w:w="0"/>
              <w:right w:type="dxa" w:w="10"/>
            </w:tcMar>
            <w:vAlign w:val="center"/>
            <w:hideMark/>
          </w:tcPr>
          <w:p w14:paraId="62910C48" w14:textId="77777777" w:rsidP="00EA4A53" w:rsidR="00BF42B7" w:rsidRDefault="00BF42B7" w:rsidRPr="00463191">
            <w:pPr>
              <w:ind w:right="333"/>
              <w:jc w:val="center"/>
              <w:rPr>
                <w:rFonts w:ascii="Arial Narrow" w:hAnsi="Arial Narrow"/>
              </w:rPr>
            </w:pPr>
            <w:r w:rsidRPr="00463191">
              <w:rPr>
                <w:rFonts w:ascii="Arial Narrow" w:hAnsi="Arial Narrow"/>
              </w:rPr>
              <w:t>1,2%</w:t>
            </w:r>
          </w:p>
        </w:tc>
        <w:tc>
          <w:tcPr>
            <w:tcW w:type="dxa" w:w="1795"/>
            <w:tcBorders>
              <w:top w:color="FFFFFF" w:space="0" w:sz="8" w:themeColor="background1" w:val="single"/>
              <w:left w:color="FFFFFF" w:space="0" w:sz="8" w:themeColor="background1" w:val="single"/>
              <w:bottom w:color="FFFFFF" w:space="0" w:sz="8" w:themeColor="background1" w:val="single"/>
              <w:right w:color="000000" w:space="0" w:sz="4" w:themeColor="text1" w:val="single"/>
            </w:tcBorders>
            <w:shd w:color="auto" w:fill="E9E7E9" w:val="clear"/>
            <w:tcMar>
              <w:top w:type="dxa" w:w="10"/>
              <w:left w:type="dxa" w:w="10"/>
              <w:bottom w:type="dxa" w:w="0"/>
              <w:right w:type="dxa" w:w="10"/>
            </w:tcMar>
            <w:vAlign w:val="center"/>
            <w:hideMark/>
          </w:tcPr>
          <w:p w14:paraId="71911413" w14:textId="77777777" w:rsidP="00EA4A53" w:rsidR="00BF42B7" w:rsidRDefault="00BF42B7" w:rsidRPr="00463191">
            <w:pPr>
              <w:ind w:right="333"/>
              <w:jc w:val="center"/>
              <w:rPr>
                <w:rFonts w:ascii="Arial Narrow" w:hAnsi="Arial Narrow"/>
              </w:rPr>
            </w:pPr>
            <w:r w:rsidRPr="00463191">
              <w:rPr>
                <w:rFonts w:ascii="Arial Narrow" w:hAnsi="Arial Narrow"/>
              </w:rPr>
              <w:t>0,45%</w:t>
            </w:r>
          </w:p>
        </w:tc>
      </w:tr>
      <w:tr w14:paraId="09FDE411" w14:textId="77777777" w:rsidR="00BF42B7" w:rsidRPr="00463191" w:rsidTr="00EA4A53">
        <w:trPr>
          <w:trHeight w:val="375"/>
        </w:trPr>
        <w:tc>
          <w:tcPr>
            <w:tcW w:type="dxa" w:w="3660"/>
            <w:tcBorders>
              <w:top w:color="FFFFFF" w:space="0" w:sz="8" w:themeColor="background1" w:val="single"/>
              <w:left w:color="000000" w:space="0" w:sz="4" w:themeColor="text1" w:val="single"/>
              <w:bottom w:color="000000" w:space="0" w:sz="4" w:themeColor="text1" w:val="single"/>
              <w:right w:color="FFFFFF" w:space="0" w:sz="8" w:themeColor="background1" w:val="single"/>
            </w:tcBorders>
            <w:shd w:color="auto" w:fill="D0CCCF" w:val="clear"/>
            <w:tcMar>
              <w:top w:type="dxa" w:w="10"/>
              <w:left w:type="dxa" w:w="10"/>
              <w:bottom w:type="dxa" w:w="0"/>
              <w:right w:type="dxa" w:w="10"/>
            </w:tcMar>
            <w:vAlign w:val="center"/>
            <w:hideMark/>
          </w:tcPr>
          <w:p w14:paraId="79A4A9EF" w14:textId="77777777" w:rsidP="00EA4A53" w:rsidR="00BF42B7" w:rsidRDefault="00BF42B7" w:rsidRPr="00463191">
            <w:pPr>
              <w:ind w:right="333"/>
              <w:rPr>
                <w:rFonts w:ascii="Arial Narrow" w:hAnsi="Arial Narrow"/>
              </w:rPr>
            </w:pPr>
            <w:r w:rsidRPr="00463191">
              <w:rPr>
                <w:rFonts w:ascii="Arial Narrow" w:hAnsi="Arial Narrow"/>
              </w:rPr>
              <w:t>D</w:t>
            </w:r>
            <w:r w:rsidRPr="00463191">
              <w:rPr>
                <w:rFonts w:cs="Arial"/>
              </w:rPr>
              <w:t>​</w:t>
            </w:r>
            <w:proofErr w:type="spellStart"/>
            <w:r w:rsidRPr="00463191">
              <w:rPr>
                <w:rFonts w:ascii="Arial Narrow" w:hAnsi="Arial Narrow"/>
              </w:rPr>
              <w:t>oit</w:t>
            </w:r>
            <w:proofErr w:type="spellEnd"/>
            <w:r w:rsidRPr="00463191">
              <w:rPr>
                <w:rFonts w:ascii="Arial Narrow" w:hAnsi="Arial Narrow"/>
              </w:rPr>
              <w:t xml:space="preserve"> se d</w:t>
            </w:r>
            <w:r w:rsidRPr="00463191">
              <w:rPr>
                <w:rFonts w:ascii="Arial Narrow" w:cs="Arial Narrow" w:hAnsi="Arial Narrow"/>
              </w:rPr>
              <w:t>é</w:t>
            </w:r>
            <w:r w:rsidRPr="00463191">
              <w:rPr>
                <w:rFonts w:ascii="Arial Narrow" w:hAnsi="Arial Narrow"/>
              </w:rPr>
              <w:t>velopper</w:t>
            </w:r>
          </w:p>
        </w:tc>
        <w:tc>
          <w:tcPr>
            <w:tcW w:type="dxa" w:w="1905"/>
            <w:tcBorders>
              <w:top w:color="FFFFFF" w:space="0" w:sz="8" w:themeColor="background1" w:val="single"/>
              <w:left w:color="FFFFFF" w:space="0" w:sz="8" w:themeColor="background1" w:val="single"/>
              <w:bottom w:color="000000" w:space="0" w:sz="4" w:themeColor="text1" w:val="single"/>
              <w:right w:color="FFFFFF" w:space="0" w:sz="8" w:themeColor="background1" w:val="single"/>
            </w:tcBorders>
            <w:shd w:color="auto" w:fill="D0CCCF" w:val="clear"/>
            <w:tcMar>
              <w:top w:type="dxa" w:w="10"/>
              <w:left w:type="dxa" w:w="10"/>
              <w:bottom w:type="dxa" w:w="0"/>
              <w:right w:type="dxa" w:w="10"/>
            </w:tcMar>
            <w:vAlign w:val="center"/>
            <w:hideMark/>
          </w:tcPr>
          <w:p w14:paraId="3D1829AA" w14:textId="77777777" w:rsidP="00EA4A53" w:rsidR="00BF42B7" w:rsidRDefault="00BF42B7" w:rsidRPr="00463191">
            <w:pPr>
              <w:ind w:right="333"/>
              <w:jc w:val="center"/>
              <w:rPr>
                <w:rFonts w:ascii="Arial Narrow" w:hAnsi="Arial Narrow"/>
              </w:rPr>
            </w:pPr>
            <w:r w:rsidRPr="00463191">
              <w:rPr>
                <w:rFonts w:ascii="Arial Narrow" w:hAnsi="Arial Narrow"/>
              </w:rPr>
              <w:t>0%</w:t>
            </w:r>
          </w:p>
        </w:tc>
        <w:tc>
          <w:tcPr>
            <w:tcW w:type="dxa" w:w="2196"/>
            <w:tcBorders>
              <w:top w:color="FFFFFF" w:space="0" w:sz="8" w:themeColor="background1" w:val="single"/>
              <w:left w:color="FFFFFF" w:space="0" w:sz="8" w:themeColor="background1" w:val="single"/>
              <w:bottom w:color="000000" w:space="0" w:sz="4" w:themeColor="text1" w:val="single"/>
              <w:right w:color="FFFFFF" w:space="0" w:sz="8" w:themeColor="background1" w:val="single"/>
            </w:tcBorders>
            <w:shd w:color="auto" w:fill="D0CCCF" w:val="clear"/>
            <w:tcMar>
              <w:top w:type="dxa" w:w="10"/>
              <w:left w:type="dxa" w:w="10"/>
              <w:bottom w:type="dxa" w:w="0"/>
              <w:right w:type="dxa" w:w="10"/>
            </w:tcMar>
            <w:vAlign w:val="center"/>
            <w:hideMark/>
          </w:tcPr>
          <w:p w14:paraId="630331B4" w14:textId="77777777" w:rsidP="00EA4A53" w:rsidR="00BF42B7" w:rsidRDefault="00BF42B7" w:rsidRPr="00463191">
            <w:pPr>
              <w:ind w:right="333"/>
              <w:jc w:val="center"/>
              <w:rPr>
                <w:rFonts w:ascii="Arial Narrow" w:hAnsi="Arial Narrow"/>
              </w:rPr>
            </w:pPr>
            <w:r w:rsidRPr="00463191">
              <w:rPr>
                <w:rFonts w:ascii="Arial Narrow" w:hAnsi="Arial Narrow"/>
              </w:rPr>
              <w:t>0%</w:t>
            </w:r>
          </w:p>
        </w:tc>
        <w:tc>
          <w:tcPr>
            <w:tcW w:type="dxa" w:w="1795"/>
            <w:tcBorders>
              <w:top w:color="FFFFFF" w:space="0" w:sz="8" w:themeColor="background1" w:val="single"/>
              <w:left w:color="FFFFFF" w:space="0" w:sz="8" w:themeColor="background1" w:val="single"/>
              <w:bottom w:color="000000" w:space="0" w:sz="4" w:themeColor="text1" w:val="single"/>
              <w:right w:color="000000" w:space="0" w:sz="4" w:themeColor="text1" w:val="single"/>
            </w:tcBorders>
            <w:shd w:color="auto" w:fill="D0CCCF" w:val="clear"/>
            <w:tcMar>
              <w:top w:type="dxa" w:w="10"/>
              <w:left w:type="dxa" w:w="10"/>
              <w:bottom w:type="dxa" w:w="0"/>
              <w:right w:type="dxa" w:w="10"/>
            </w:tcMar>
            <w:vAlign w:val="center"/>
            <w:hideMark/>
          </w:tcPr>
          <w:p w14:paraId="0C96A328" w14:textId="77777777" w:rsidP="00EA4A53" w:rsidR="00BF42B7" w:rsidRDefault="00BF42B7" w:rsidRPr="00463191">
            <w:pPr>
              <w:ind w:right="333"/>
              <w:jc w:val="center"/>
              <w:rPr>
                <w:rFonts w:ascii="Arial Narrow" w:hAnsi="Arial Narrow"/>
              </w:rPr>
            </w:pPr>
            <w:r w:rsidRPr="00463191">
              <w:rPr>
                <w:rFonts w:ascii="Arial Narrow" w:hAnsi="Arial Narrow"/>
              </w:rPr>
              <w:t>0%</w:t>
            </w:r>
          </w:p>
        </w:tc>
      </w:tr>
    </w:tbl>
    <w:p w14:paraId="6C230BEE" w14:textId="77777777" w:rsidP="00BF42B7" w:rsidR="00BF42B7" w:rsidRDefault="00BF42B7" w:rsidRPr="00463191">
      <w:pPr>
        <w:ind w:right="333"/>
        <w:rPr>
          <w:rFonts w:ascii="Arial Narrow" w:hAnsi="Arial Narrow"/>
        </w:rPr>
      </w:pPr>
    </w:p>
    <w:p w14:paraId="3125AB55" w14:textId="711438D1" w:rsidP="00BF42B7" w:rsidR="00BF42B7" w:rsidRDefault="00BF42B7" w:rsidRPr="00463191">
      <w:pPr>
        <w:ind w:right="333"/>
        <w:rPr>
          <w:rFonts w:ascii="Arial Narrow" w:hAnsi="Arial Narrow"/>
        </w:rPr>
      </w:pPr>
      <w:r w:rsidRPr="00463191">
        <w:rPr>
          <w:rFonts w:ascii="Arial Narrow" w:hAnsi="Arial Narrow"/>
        </w:rPr>
        <w:t>Dans l’éventualité où l’application de la grille ci-dessus ne permettait pas de dépenser la totalité de l’enveloppe prévue à l’article 3.1, le différentiel serait réparti de manière discrétionnaire à l’initiative du management. Dans ce cas de figure, une information préalable sera effectuée aux Organisations Syndicales signataires du présent accord.</w:t>
      </w:r>
    </w:p>
    <w:p w14:paraId="39CF4DEC" w14:textId="6791E1A1" w:rsidP="00BF42B7" w:rsidR="00BF42B7" w:rsidRDefault="00BF42B7" w:rsidRPr="00463191">
      <w:pPr>
        <w:ind w:right="333"/>
        <w:rPr>
          <w:rFonts w:ascii="Arial Narrow" w:hAnsi="Arial Narrow"/>
          <w:b/>
        </w:rPr>
      </w:pPr>
      <w:r w:rsidRPr="00463191">
        <w:rPr>
          <w:rFonts w:ascii="Arial Narrow" w:hAnsi="Arial Narrow"/>
          <w:b/>
          <w:u w:val="single"/>
        </w:rPr>
        <w:t>Article 4</w:t>
      </w:r>
      <w:r w:rsidRPr="00463191">
        <w:rPr>
          <w:rFonts w:ascii="Arial Narrow" w:hAnsi="Arial Narrow"/>
          <w:b/>
        </w:rPr>
        <w:t xml:space="preserve"> - Dispositions relatives aux cadres</w:t>
      </w:r>
    </w:p>
    <w:p w14:paraId="60ED2F73" w14:textId="77777777" w:rsidP="00BF42B7" w:rsidR="00BF42B7" w:rsidRDefault="00BF42B7" w:rsidRPr="00463191">
      <w:pPr>
        <w:ind w:right="333"/>
        <w:rPr>
          <w:rFonts w:ascii="Arial Narrow" w:hAnsi="Arial Narrow"/>
          <w:b/>
        </w:rPr>
      </w:pPr>
      <w:r w:rsidRPr="00463191">
        <w:rPr>
          <w:rFonts w:ascii="Arial Narrow" w:hAnsi="Arial Narrow"/>
          <w:b/>
        </w:rPr>
        <w:t xml:space="preserve">4.1 - Enveloppe d’augmentation des salaires bruts de base </w:t>
      </w:r>
    </w:p>
    <w:p w14:paraId="06422B05" w14:textId="77777777" w:rsidP="00BF42B7" w:rsidR="00BF42B7" w:rsidRDefault="00BF42B7" w:rsidRPr="00463191">
      <w:pPr>
        <w:ind w:right="333"/>
        <w:rPr>
          <w:rFonts w:ascii="Arial Narrow" w:hAnsi="Arial Narrow"/>
          <w:b/>
          <w:u w:val="single"/>
        </w:rPr>
      </w:pPr>
    </w:p>
    <w:p w14:paraId="4472536E" w14:textId="6755A95C" w:rsidP="00BF42B7" w:rsidR="00BF42B7" w:rsidRDefault="00BF42B7" w:rsidRPr="00463191">
      <w:pPr>
        <w:ind w:right="333"/>
        <w:rPr>
          <w:rFonts w:ascii="Arial Narrow" w:hAnsi="Arial Narrow"/>
        </w:rPr>
      </w:pPr>
      <w:r w:rsidRPr="00463191">
        <w:rPr>
          <w:rFonts w:ascii="Arial Narrow" w:hAnsi="Arial Narrow"/>
        </w:rPr>
        <w:lastRenderedPageBreak/>
        <w:t xml:space="preserve">Les parties conviennent, pour l’année 2023, d’une enveloppe d’augmentation d’un montant global correspondant à 5% des salaires bruts de base de l’ensemble de la population cadre entrant dans le champ d’application du présent accord, arrêtés au 31 mars 2023 (cf. article 1). </w:t>
      </w:r>
    </w:p>
    <w:p w14:paraId="6189F57F" w14:textId="661E291A" w:rsidP="00BF42B7" w:rsidR="00BF42B7" w:rsidRDefault="00BF42B7" w:rsidRPr="00463191">
      <w:pPr>
        <w:ind w:right="333"/>
        <w:rPr>
          <w:rFonts w:ascii="Arial Narrow" w:hAnsi="Arial Narrow"/>
        </w:rPr>
      </w:pPr>
      <w:r w:rsidRPr="00463191">
        <w:rPr>
          <w:rFonts w:ascii="Arial Narrow" w:hAnsi="Arial Narrow"/>
        </w:rPr>
        <w:t>Sont exclues de cette enveloppe les augmentations résultant de promotions qui auront lieu au cours de l’année 2023.</w:t>
      </w:r>
    </w:p>
    <w:p w14:paraId="6DFA447C" w14:textId="5AE84534" w:rsidP="00BF42B7" w:rsidR="00BF42B7" w:rsidRDefault="00BF42B7" w:rsidRPr="007F6AA8">
      <w:pPr>
        <w:ind w:right="333"/>
        <w:rPr>
          <w:rFonts w:ascii="Arial Narrow" w:hAnsi="Arial Narrow"/>
          <w:b/>
        </w:rPr>
      </w:pPr>
      <w:r w:rsidRPr="00463191">
        <w:rPr>
          <w:rFonts w:ascii="Arial Narrow" w:hAnsi="Arial Narrow"/>
          <w:b/>
        </w:rPr>
        <w:t>4.2 - Attribution des augmentations pour les populations cadres jusqu’au niveau « Senior Manager » inclus</w:t>
      </w:r>
    </w:p>
    <w:p w14:paraId="7FC2A999" w14:textId="13E16E8E" w:rsidP="00BF42B7" w:rsidR="00BF42B7" w:rsidRDefault="00BF42B7" w:rsidRPr="00463191">
      <w:pPr>
        <w:ind w:right="333"/>
        <w:rPr>
          <w:rFonts w:ascii="Arial Narrow" w:hAnsi="Arial Narrow"/>
        </w:rPr>
      </w:pPr>
      <w:r w:rsidRPr="00463191">
        <w:rPr>
          <w:rFonts w:ascii="Arial Narrow" w:hAnsi="Arial Narrow"/>
        </w:rPr>
        <w:t xml:space="preserve">Une augmentation garantie du salaire de base brut de </w:t>
      </w:r>
      <w:r w:rsidRPr="00463191">
        <w:rPr>
          <w:rFonts w:ascii="Arial Narrow" w:hAnsi="Arial Narrow"/>
          <w:b/>
          <w:bCs/>
        </w:rPr>
        <w:t>3,5%</w:t>
      </w:r>
      <w:r w:rsidRPr="00463191">
        <w:rPr>
          <w:rFonts w:ascii="Arial Narrow" w:hAnsi="Arial Narrow"/>
        </w:rPr>
        <w:t xml:space="preserve"> sera attribuée à l’ensemble des cadres entrant dans le champ d’application de cette mesure (cadres jusqu’au niveau « Senior Manager » inclus). </w:t>
      </w:r>
    </w:p>
    <w:p w14:paraId="69F14046" w14:textId="77777777" w:rsidP="00BF42B7" w:rsidR="00BF42B7" w:rsidRDefault="00BF42B7" w:rsidRPr="00463191">
      <w:pPr>
        <w:ind w:right="333"/>
        <w:rPr>
          <w:rFonts w:ascii="Arial Narrow" w:hAnsi="Arial Narrow"/>
        </w:rPr>
      </w:pPr>
      <w:r w:rsidRPr="00463191">
        <w:rPr>
          <w:rFonts w:ascii="Arial Narrow" w:hAnsi="Arial Narrow"/>
        </w:rPr>
        <w:t xml:space="preserve">Une enveloppe d’augmentation d’un montant global de </w:t>
      </w:r>
      <w:r w:rsidRPr="00463191">
        <w:rPr>
          <w:rFonts w:ascii="Arial Narrow" w:hAnsi="Arial Narrow"/>
          <w:b/>
          <w:bCs/>
        </w:rPr>
        <w:t>1,5%</w:t>
      </w:r>
      <w:r w:rsidRPr="00463191">
        <w:rPr>
          <w:rFonts w:ascii="Arial Narrow" w:hAnsi="Arial Narrow"/>
        </w:rPr>
        <w:t xml:space="preserve"> des salaires de base bruts de la population concernée est accordée et répartie en fonction de la performance individuelle évaluée au titre de l’année 2022 et du positionnement salarial. Elle est attribuée uniquement aux salariés embauchés avant le 01/01/2023.</w:t>
      </w:r>
    </w:p>
    <w:p w14:paraId="673BBAA2" w14:textId="77777777" w:rsidP="00BF42B7" w:rsidR="00BF42B7" w:rsidRDefault="00BF42B7" w:rsidRPr="00463191">
      <w:pPr>
        <w:ind w:right="333"/>
        <w:rPr>
          <w:rFonts w:ascii="Arial Narrow" w:hAnsi="Arial Narrow"/>
        </w:rPr>
      </w:pPr>
    </w:p>
    <w:p w14:paraId="7973C6B1" w14:textId="77777777" w:rsidP="00BF42B7" w:rsidR="00BF42B7" w:rsidRDefault="00BF42B7" w:rsidRPr="00463191">
      <w:pPr>
        <w:ind w:right="333"/>
        <w:rPr>
          <w:rFonts w:ascii="Arial Narrow" w:hAnsi="Arial Narrow"/>
        </w:rPr>
      </w:pPr>
      <w:r w:rsidRPr="00463191">
        <w:rPr>
          <w:rFonts w:ascii="Arial Narrow" w:hAnsi="Arial Narrow"/>
          <w:u w:val="single"/>
        </w:rPr>
        <w:t xml:space="preserve">Tableau récapitulatif donné à titre indicatif et pour illustration - Augmentation Individuelle Cadre </w:t>
      </w:r>
      <w:r w:rsidRPr="00463191">
        <w:rPr>
          <w:rFonts w:ascii="Arial Narrow" w:hAnsi="Arial Narrow"/>
        </w:rPr>
        <w:t xml:space="preserve">: </w:t>
      </w:r>
    </w:p>
    <w:p w14:paraId="699A7F71" w14:textId="77777777" w:rsidP="00BF42B7" w:rsidR="00BF42B7" w:rsidRDefault="00BF42B7" w:rsidRPr="00463191">
      <w:pPr>
        <w:ind w:right="333"/>
        <w:rPr>
          <w:rFonts w:ascii="Arial Narrow" w:hAnsi="Arial Narrow"/>
        </w:rPr>
      </w:pPr>
    </w:p>
    <w:tbl>
      <w:tblPr>
        <w:tblW w:type="dxa" w:w="9260"/>
        <w:tblCellMar>
          <w:left w:type="dxa" w:w="0"/>
          <w:right w:type="dxa" w:w="0"/>
        </w:tblCellMar>
        <w:tblLook w:firstColumn="0" w:firstRow="0" w:lastColumn="0" w:lastRow="0" w:noHBand="1" w:noVBand="1" w:val="0600"/>
      </w:tblPr>
      <w:tblGrid>
        <w:gridCol w:w="3560"/>
        <w:gridCol w:w="1880"/>
        <w:gridCol w:w="2210"/>
        <w:gridCol w:w="1610"/>
      </w:tblGrid>
      <w:tr w14:paraId="50898C4A" w14:textId="77777777" w:rsidR="00BF42B7" w:rsidRPr="00463191" w:rsidTr="00EA4A53">
        <w:trPr>
          <w:trHeight w:val="351"/>
        </w:trPr>
        <w:tc>
          <w:tcPr>
            <w:tcW w:type="dxa" w:w="3560"/>
            <w:tcBorders>
              <w:top w:color="000000" w:space="0" w:sz="4" w:themeColor="text1" w:val="single"/>
              <w:left w:color="000000" w:space="0" w:sz="4" w:themeColor="text1" w:val="single"/>
              <w:bottom w:color="FFFFFF" w:space="0" w:sz="8" w:themeColor="background1" w:val="single"/>
              <w:right w:color="FFFFFF" w:space="0" w:sz="8" w:themeColor="background1" w:val="single"/>
            </w:tcBorders>
            <w:shd w:color="auto" w:fill="4E0D45" w:val="clear"/>
            <w:tcMar>
              <w:top w:type="dxa" w:w="10"/>
              <w:left w:type="dxa" w:w="10"/>
              <w:bottom w:type="dxa" w:w="0"/>
              <w:right w:type="dxa" w:w="10"/>
            </w:tcMar>
            <w:vAlign w:val="center"/>
            <w:hideMark/>
          </w:tcPr>
          <w:p w14:paraId="6717F7BA" w14:textId="77777777" w:rsidP="00EA4A53" w:rsidR="00BF42B7" w:rsidRDefault="00BF42B7" w:rsidRPr="00463191">
            <w:pPr>
              <w:ind w:right="333"/>
              <w:rPr>
                <w:rFonts w:ascii="Arial Narrow" w:hAnsi="Arial Narrow"/>
              </w:rPr>
            </w:pPr>
            <w:r w:rsidRPr="00463191">
              <w:rPr>
                <w:rFonts w:ascii="Arial Narrow" w:hAnsi="Arial Narrow"/>
                <w:b/>
                <w:bCs/>
              </w:rPr>
              <w:t>AI Cadre</w:t>
            </w:r>
          </w:p>
        </w:tc>
        <w:tc>
          <w:tcPr>
            <w:tcW w:type="dxa" w:w="1880"/>
            <w:tcBorders>
              <w:top w:color="000000" w:space="0" w:sz="4" w:themeColor="text1" w:val="single"/>
              <w:left w:color="FFFFFF" w:space="0" w:sz="8" w:themeColor="background1" w:val="single"/>
              <w:bottom w:color="FFFFFF" w:space="0" w:sz="8" w:themeColor="background1" w:val="single"/>
              <w:right w:color="FFFFFF" w:space="0" w:sz="8" w:themeColor="background1" w:val="single"/>
            </w:tcBorders>
            <w:shd w:color="auto" w:fill="4E0D45" w:val="clear"/>
            <w:tcMar>
              <w:top w:type="dxa" w:w="10"/>
              <w:left w:type="dxa" w:w="10"/>
              <w:bottom w:type="dxa" w:w="0"/>
              <w:right w:type="dxa" w:w="10"/>
            </w:tcMar>
            <w:vAlign w:val="center"/>
            <w:hideMark/>
          </w:tcPr>
          <w:p w14:paraId="1D878712" w14:textId="77777777" w:rsidP="00EA4A53" w:rsidR="00BF42B7" w:rsidRDefault="00BF42B7" w:rsidRPr="00463191">
            <w:pPr>
              <w:ind w:right="333"/>
              <w:jc w:val="center"/>
              <w:rPr>
                <w:rFonts w:ascii="Arial Narrow" w:hAnsi="Arial Narrow"/>
              </w:rPr>
            </w:pPr>
            <w:r w:rsidRPr="00463191">
              <w:rPr>
                <w:rFonts w:ascii="Arial Narrow" w:hAnsi="Arial Narrow"/>
                <w:b/>
                <w:bCs/>
              </w:rPr>
              <w:t>En-dessous</w:t>
            </w:r>
            <w:r w:rsidRPr="00463191">
              <w:rPr>
                <w:rFonts w:cs="Arial"/>
                <w:b/>
                <w:bCs/>
              </w:rPr>
              <w:t>​</w:t>
            </w:r>
          </w:p>
        </w:tc>
        <w:tc>
          <w:tcPr>
            <w:tcW w:type="dxa" w:w="2210"/>
            <w:tcBorders>
              <w:top w:color="000000" w:space="0" w:sz="4" w:themeColor="text1" w:val="single"/>
              <w:left w:color="FFFFFF" w:space="0" w:sz="8" w:themeColor="background1" w:val="single"/>
              <w:bottom w:color="FFFFFF" w:space="0" w:sz="8" w:themeColor="background1" w:val="single"/>
              <w:right w:color="FFFFFF" w:space="0" w:sz="8" w:themeColor="background1" w:val="single"/>
            </w:tcBorders>
            <w:shd w:color="auto" w:fill="4E0D45" w:val="clear"/>
            <w:tcMar>
              <w:top w:type="dxa" w:w="10"/>
              <w:left w:type="dxa" w:w="10"/>
              <w:bottom w:type="dxa" w:w="0"/>
              <w:right w:type="dxa" w:w="10"/>
            </w:tcMar>
            <w:vAlign w:val="center"/>
            <w:hideMark/>
          </w:tcPr>
          <w:p w14:paraId="7355719D" w14:textId="77777777" w:rsidP="00EA4A53" w:rsidR="00BF42B7" w:rsidRDefault="00BF42B7" w:rsidRPr="00463191">
            <w:pPr>
              <w:ind w:right="333"/>
              <w:jc w:val="center"/>
              <w:rPr>
                <w:rFonts w:ascii="Arial Narrow" w:hAnsi="Arial Narrow"/>
              </w:rPr>
            </w:pPr>
            <w:r w:rsidRPr="00463191">
              <w:rPr>
                <w:rFonts w:ascii="Arial Narrow" w:hAnsi="Arial Narrow"/>
                <w:b/>
                <w:bCs/>
              </w:rPr>
              <w:t>Dans la fourchette</w:t>
            </w:r>
            <w:r w:rsidRPr="00463191">
              <w:rPr>
                <w:rFonts w:cs="Arial"/>
                <w:b/>
                <w:bCs/>
              </w:rPr>
              <w:t>​</w:t>
            </w:r>
          </w:p>
        </w:tc>
        <w:tc>
          <w:tcPr>
            <w:tcW w:type="dxa" w:w="1610"/>
            <w:tcBorders>
              <w:top w:color="000000" w:space="0" w:sz="4" w:themeColor="text1" w:val="single"/>
              <w:left w:color="FFFFFF" w:space="0" w:sz="8" w:themeColor="background1" w:val="single"/>
              <w:bottom w:color="FFFFFF" w:space="0" w:sz="8" w:themeColor="background1" w:val="single"/>
              <w:right w:color="000000" w:space="0" w:sz="4" w:themeColor="text1" w:val="single"/>
            </w:tcBorders>
            <w:shd w:color="auto" w:fill="4E0D45" w:val="clear"/>
            <w:tcMar>
              <w:top w:type="dxa" w:w="10"/>
              <w:left w:type="dxa" w:w="10"/>
              <w:bottom w:type="dxa" w:w="0"/>
              <w:right w:type="dxa" w:w="10"/>
            </w:tcMar>
            <w:vAlign w:val="center"/>
            <w:hideMark/>
          </w:tcPr>
          <w:p w14:paraId="2FF47717" w14:textId="77777777" w:rsidP="00EA4A53" w:rsidR="00BF42B7" w:rsidRDefault="00BF42B7" w:rsidRPr="00463191">
            <w:pPr>
              <w:ind w:right="333"/>
              <w:jc w:val="center"/>
              <w:rPr>
                <w:rFonts w:ascii="Arial Narrow" w:hAnsi="Arial Narrow"/>
              </w:rPr>
            </w:pPr>
            <w:r w:rsidRPr="00463191">
              <w:rPr>
                <w:rFonts w:ascii="Arial Narrow" w:hAnsi="Arial Narrow"/>
                <w:b/>
                <w:bCs/>
              </w:rPr>
              <w:t>Au-dessus</w:t>
            </w:r>
            <w:r w:rsidRPr="00463191">
              <w:rPr>
                <w:rFonts w:cs="Arial"/>
                <w:b/>
                <w:bCs/>
              </w:rPr>
              <w:t>​</w:t>
            </w:r>
          </w:p>
        </w:tc>
      </w:tr>
      <w:tr w14:paraId="3D1C9BEF" w14:textId="77777777" w:rsidR="00BF42B7" w:rsidRPr="00463191" w:rsidTr="00EA4A53">
        <w:trPr>
          <w:trHeight w:val="403"/>
        </w:trPr>
        <w:tc>
          <w:tcPr>
            <w:tcW w:type="dxa" w:w="3560"/>
            <w:tcBorders>
              <w:top w:color="FFFFFF" w:space="0" w:sz="8" w:themeColor="background1" w:val="single"/>
              <w:left w:color="000000" w:space="0" w:sz="4" w:themeColor="text1" w:val="single"/>
              <w:bottom w:color="FFFFFF" w:space="0" w:sz="8" w:themeColor="background1" w:val="single"/>
              <w:right w:color="FFFFFF" w:space="0" w:sz="8" w:themeColor="background1" w:val="single"/>
            </w:tcBorders>
            <w:shd w:color="auto" w:fill="D0CCCF" w:val="clear"/>
            <w:tcMar>
              <w:top w:type="dxa" w:w="10"/>
              <w:left w:type="dxa" w:w="10"/>
              <w:bottom w:type="dxa" w:w="0"/>
              <w:right w:type="dxa" w:w="10"/>
            </w:tcMar>
            <w:vAlign w:val="center"/>
            <w:hideMark/>
          </w:tcPr>
          <w:p w14:paraId="47D7D20B" w14:textId="77777777" w:rsidP="00EA4A53" w:rsidR="00BF42B7" w:rsidRDefault="00BF42B7" w:rsidRPr="00463191">
            <w:pPr>
              <w:ind w:right="333"/>
              <w:rPr>
                <w:rFonts w:ascii="Arial Narrow" w:hAnsi="Arial Narrow"/>
              </w:rPr>
            </w:pPr>
            <w:r w:rsidRPr="00463191">
              <w:rPr>
                <w:rFonts w:ascii="Arial Narrow" w:hAnsi="Arial Narrow"/>
              </w:rPr>
              <w:t>Contribue de manière exceptionnelle</w:t>
            </w:r>
            <w:r w:rsidRPr="00463191">
              <w:rPr>
                <w:rFonts w:cs="Arial"/>
              </w:rPr>
              <w:t>​</w:t>
            </w:r>
          </w:p>
        </w:tc>
        <w:tc>
          <w:tcPr>
            <w:tcW w:type="dxa" w:w="1880"/>
            <w:tcBorders>
              <w:top w:color="FFFFFF" w:space="0" w:sz="8" w:themeColor="background1" w:val="single"/>
              <w:left w:color="FFFFFF" w:space="0" w:sz="8" w:themeColor="background1" w:val="single"/>
              <w:bottom w:color="FFFFFF" w:space="0" w:sz="8" w:themeColor="background1" w:val="single"/>
              <w:right w:color="FFFFFF" w:space="0" w:sz="8" w:themeColor="background1" w:val="single"/>
            </w:tcBorders>
            <w:shd w:color="auto" w:fill="D0CCCF" w:val="clear"/>
            <w:tcMar>
              <w:top w:type="dxa" w:w="10"/>
              <w:left w:type="dxa" w:w="10"/>
              <w:bottom w:type="dxa" w:w="0"/>
              <w:right w:type="dxa" w:w="10"/>
            </w:tcMar>
            <w:vAlign w:val="center"/>
            <w:hideMark/>
          </w:tcPr>
          <w:p w14:paraId="3DA1BDB2" w14:textId="77777777" w:rsidP="00EA4A53" w:rsidR="00BF42B7" w:rsidRDefault="00BF42B7" w:rsidRPr="00463191">
            <w:pPr>
              <w:ind w:right="333"/>
              <w:jc w:val="center"/>
              <w:rPr>
                <w:rFonts w:ascii="Arial Narrow" w:hAnsi="Arial Narrow"/>
              </w:rPr>
            </w:pPr>
            <w:r w:rsidRPr="00463191">
              <w:rPr>
                <w:rFonts w:ascii="Arial Narrow" w:hAnsi="Arial Narrow"/>
              </w:rPr>
              <w:t>2,8% - 4,8%</w:t>
            </w:r>
          </w:p>
        </w:tc>
        <w:tc>
          <w:tcPr>
            <w:tcW w:type="dxa" w:w="2210"/>
            <w:tcBorders>
              <w:top w:color="FFFFFF" w:space="0" w:sz="8" w:themeColor="background1" w:val="single"/>
              <w:left w:color="FFFFFF" w:space="0" w:sz="8" w:themeColor="background1" w:val="single"/>
              <w:bottom w:color="FFFFFF" w:space="0" w:sz="8" w:themeColor="background1" w:val="single"/>
              <w:right w:color="FFFFFF" w:space="0" w:sz="8" w:themeColor="background1" w:val="single"/>
            </w:tcBorders>
            <w:shd w:color="auto" w:fill="D0CCCF" w:val="clear"/>
            <w:tcMar>
              <w:top w:type="dxa" w:w="10"/>
              <w:left w:type="dxa" w:w="10"/>
              <w:bottom w:type="dxa" w:w="0"/>
              <w:right w:type="dxa" w:w="10"/>
            </w:tcMar>
            <w:vAlign w:val="center"/>
            <w:hideMark/>
          </w:tcPr>
          <w:p w14:paraId="00F73D5E" w14:textId="77777777" w:rsidP="00EA4A53" w:rsidR="00BF42B7" w:rsidRDefault="00BF42B7" w:rsidRPr="00463191">
            <w:pPr>
              <w:ind w:right="333"/>
              <w:jc w:val="center"/>
              <w:rPr>
                <w:rFonts w:ascii="Arial Narrow" w:hAnsi="Arial Narrow"/>
              </w:rPr>
            </w:pPr>
            <w:r w:rsidRPr="00463191">
              <w:rPr>
                <w:rFonts w:ascii="Arial Narrow" w:hAnsi="Arial Narrow"/>
              </w:rPr>
              <w:t>1,8% - 3,8%</w:t>
            </w:r>
          </w:p>
        </w:tc>
        <w:tc>
          <w:tcPr>
            <w:tcW w:type="dxa" w:w="1610"/>
            <w:tcBorders>
              <w:top w:color="FFFFFF" w:space="0" w:sz="8" w:themeColor="background1" w:val="single"/>
              <w:left w:color="FFFFFF" w:space="0" w:sz="8" w:themeColor="background1" w:val="single"/>
              <w:bottom w:color="FFFFFF" w:space="0" w:sz="8" w:themeColor="background1" w:val="single"/>
              <w:right w:color="000000" w:space="0" w:sz="4" w:themeColor="text1" w:val="single"/>
            </w:tcBorders>
            <w:shd w:color="auto" w:fill="D0CCCF" w:val="clear"/>
            <w:tcMar>
              <w:top w:type="dxa" w:w="10"/>
              <w:left w:type="dxa" w:w="10"/>
              <w:bottom w:type="dxa" w:w="0"/>
              <w:right w:type="dxa" w:w="10"/>
            </w:tcMar>
            <w:vAlign w:val="center"/>
            <w:hideMark/>
          </w:tcPr>
          <w:p w14:paraId="27FA019D" w14:textId="77777777" w:rsidP="00EA4A53" w:rsidR="00BF42B7" w:rsidRDefault="00BF42B7" w:rsidRPr="00463191">
            <w:pPr>
              <w:ind w:right="333"/>
              <w:jc w:val="center"/>
              <w:rPr>
                <w:rFonts w:ascii="Arial Narrow" w:hAnsi="Arial Narrow"/>
              </w:rPr>
            </w:pPr>
            <w:r w:rsidRPr="00463191">
              <w:rPr>
                <w:rFonts w:ascii="Arial Narrow" w:hAnsi="Arial Narrow"/>
              </w:rPr>
              <w:t>0,8% - 2,8%</w:t>
            </w:r>
          </w:p>
        </w:tc>
      </w:tr>
      <w:tr w14:paraId="18CE03E1" w14:textId="77777777" w:rsidR="00BF42B7" w:rsidRPr="00463191" w:rsidTr="00EA4A53">
        <w:trPr>
          <w:trHeight w:val="395"/>
        </w:trPr>
        <w:tc>
          <w:tcPr>
            <w:tcW w:type="dxa" w:w="3560"/>
            <w:tcBorders>
              <w:top w:color="FFFFFF" w:space="0" w:sz="8" w:themeColor="background1" w:val="single"/>
              <w:left w:color="000000" w:space="0" w:sz="4" w:themeColor="text1" w:val="single"/>
              <w:bottom w:color="FFFFFF" w:space="0" w:sz="8" w:themeColor="background1" w:val="single"/>
              <w:right w:color="FFFFFF" w:space="0" w:sz="8" w:themeColor="background1" w:val="single"/>
            </w:tcBorders>
            <w:shd w:color="auto" w:fill="E9E7E9" w:val="clear"/>
            <w:tcMar>
              <w:top w:type="dxa" w:w="10"/>
              <w:left w:type="dxa" w:w="10"/>
              <w:bottom w:type="dxa" w:w="0"/>
              <w:right w:type="dxa" w:w="10"/>
            </w:tcMar>
            <w:vAlign w:val="center"/>
            <w:hideMark/>
          </w:tcPr>
          <w:p w14:paraId="0D96F223" w14:textId="77777777" w:rsidP="00EA4A53" w:rsidR="00BF42B7" w:rsidRDefault="00BF42B7" w:rsidRPr="00463191">
            <w:pPr>
              <w:ind w:right="333"/>
              <w:rPr>
                <w:rFonts w:ascii="Arial Narrow" w:hAnsi="Arial Narrow"/>
              </w:rPr>
            </w:pPr>
            <w:r w:rsidRPr="00463191">
              <w:rPr>
                <w:rFonts w:ascii="Arial Narrow" w:hAnsi="Arial Narrow"/>
              </w:rPr>
              <w:t>Contribue avec succès</w:t>
            </w:r>
            <w:r w:rsidRPr="00463191">
              <w:rPr>
                <w:rFonts w:cs="Arial"/>
              </w:rPr>
              <w:t>​</w:t>
            </w:r>
          </w:p>
        </w:tc>
        <w:tc>
          <w:tcPr>
            <w:tcW w:type="dxa" w:w="1880"/>
            <w:tcBorders>
              <w:top w:color="FFFFFF" w:space="0" w:sz="8" w:themeColor="background1" w:val="single"/>
              <w:left w:color="FFFFFF" w:space="0" w:sz="8" w:themeColor="background1" w:val="single"/>
              <w:bottom w:color="FFFFFF" w:space="0" w:sz="8" w:themeColor="background1" w:val="single"/>
              <w:right w:color="FFFFFF" w:space="0" w:sz="8" w:themeColor="background1" w:val="single"/>
            </w:tcBorders>
            <w:shd w:color="auto" w:fill="E9E7E9" w:val="clear"/>
            <w:tcMar>
              <w:top w:type="dxa" w:w="10"/>
              <w:left w:type="dxa" w:w="10"/>
              <w:bottom w:type="dxa" w:w="0"/>
              <w:right w:type="dxa" w:w="10"/>
            </w:tcMar>
            <w:vAlign w:val="center"/>
            <w:hideMark/>
          </w:tcPr>
          <w:p w14:paraId="72D3DD76" w14:textId="77777777" w:rsidP="00EA4A53" w:rsidR="00BF42B7" w:rsidRDefault="00BF42B7" w:rsidRPr="00463191">
            <w:pPr>
              <w:ind w:right="333"/>
              <w:jc w:val="center"/>
              <w:rPr>
                <w:rFonts w:ascii="Arial Narrow" w:hAnsi="Arial Narrow"/>
              </w:rPr>
            </w:pPr>
            <w:r w:rsidRPr="00463191">
              <w:rPr>
                <w:rFonts w:ascii="Arial Narrow" w:hAnsi="Arial Narrow"/>
              </w:rPr>
              <w:t>1,3% - 2,8%</w:t>
            </w:r>
          </w:p>
        </w:tc>
        <w:tc>
          <w:tcPr>
            <w:tcW w:type="dxa" w:w="2210"/>
            <w:tcBorders>
              <w:top w:color="FFFFFF" w:space="0" w:sz="8" w:themeColor="background1" w:val="single"/>
              <w:left w:color="FFFFFF" w:space="0" w:sz="8" w:themeColor="background1" w:val="single"/>
              <w:bottom w:color="FFFFFF" w:space="0" w:sz="8" w:themeColor="background1" w:val="single"/>
              <w:right w:color="FFFFFF" w:space="0" w:sz="8" w:themeColor="background1" w:val="single"/>
            </w:tcBorders>
            <w:shd w:color="auto" w:fill="E9E7E9" w:val="clear"/>
            <w:tcMar>
              <w:top w:type="dxa" w:w="10"/>
              <w:left w:type="dxa" w:w="10"/>
              <w:bottom w:type="dxa" w:w="0"/>
              <w:right w:type="dxa" w:w="10"/>
            </w:tcMar>
            <w:vAlign w:val="center"/>
            <w:hideMark/>
          </w:tcPr>
          <w:p w14:paraId="44E3F346" w14:textId="77777777" w:rsidP="00EA4A53" w:rsidR="00BF42B7" w:rsidRDefault="00BF42B7" w:rsidRPr="00463191">
            <w:pPr>
              <w:ind w:right="333"/>
              <w:jc w:val="center"/>
              <w:rPr>
                <w:rFonts w:ascii="Arial Narrow" w:hAnsi="Arial Narrow"/>
              </w:rPr>
            </w:pPr>
            <w:r w:rsidRPr="00463191">
              <w:rPr>
                <w:rFonts w:ascii="Arial Narrow" w:hAnsi="Arial Narrow"/>
              </w:rPr>
              <w:t>0,8% - 2,3%</w:t>
            </w:r>
          </w:p>
        </w:tc>
        <w:tc>
          <w:tcPr>
            <w:tcW w:type="dxa" w:w="1610"/>
            <w:tcBorders>
              <w:top w:color="FFFFFF" w:space="0" w:sz="8" w:themeColor="background1" w:val="single"/>
              <w:left w:color="FFFFFF" w:space="0" w:sz="8" w:themeColor="background1" w:val="single"/>
              <w:bottom w:color="FFFFFF" w:space="0" w:sz="8" w:themeColor="background1" w:val="single"/>
              <w:right w:color="000000" w:space="0" w:sz="4" w:themeColor="text1" w:val="single"/>
            </w:tcBorders>
            <w:shd w:color="auto" w:fill="E9E7E9" w:val="clear"/>
            <w:tcMar>
              <w:top w:type="dxa" w:w="10"/>
              <w:left w:type="dxa" w:w="10"/>
              <w:bottom w:type="dxa" w:w="0"/>
              <w:right w:type="dxa" w:w="10"/>
            </w:tcMar>
            <w:vAlign w:val="center"/>
            <w:hideMark/>
          </w:tcPr>
          <w:p w14:paraId="77F8A48F" w14:textId="77777777" w:rsidP="00EA4A53" w:rsidR="00BF42B7" w:rsidRDefault="00BF42B7" w:rsidRPr="00463191">
            <w:pPr>
              <w:ind w:right="333"/>
              <w:jc w:val="center"/>
              <w:rPr>
                <w:rFonts w:ascii="Arial Narrow" w:hAnsi="Arial Narrow"/>
              </w:rPr>
            </w:pPr>
            <w:r w:rsidRPr="00463191">
              <w:rPr>
                <w:rFonts w:ascii="Arial Narrow" w:hAnsi="Arial Narrow"/>
              </w:rPr>
              <w:t>0,3% - 1,8%</w:t>
            </w:r>
          </w:p>
        </w:tc>
      </w:tr>
      <w:tr w14:paraId="099C48B3" w14:textId="77777777" w:rsidR="00BF42B7" w:rsidRPr="00463191" w:rsidTr="00EA4A53">
        <w:trPr>
          <w:trHeight w:val="301"/>
        </w:trPr>
        <w:tc>
          <w:tcPr>
            <w:tcW w:type="dxa" w:w="3560"/>
            <w:tcBorders>
              <w:top w:color="FFFFFF" w:space="0" w:sz="8" w:themeColor="background1" w:val="single"/>
              <w:left w:color="000000" w:space="0" w:sz="4" w:themeColor="text1" w:val="single"/>
              <w:bottom w:color="000000" w:space="0" w:sz="4" w:themeColor="text1" w:val="single"/>
              <w:right w:color="FFFFFF" w:space="0" w:sz="8" w:themeColor="background1" w:val="single"/>
            </w:tcBorders>
            <w:shd w:color="auto" w:fill="D0CCCF" w:val="clear"/>
            <w:tcMar>
              <w:top w:type="dxa" w:w="10"/>
              <w:left w:type="dxa" w:w="10"/>
              <w:bottom w:type="dxa" w:w="0"/>
              <w:right w:type="dxa" w:w="10"/>
            </w:tcMar>
            <w:vAlign w:val="center"/>
            <w:hideMark/>
          </w:tcPr>
          <w:p w14:paraId="32778104" w14:textId="77777777" w:rsidP="00EA4A53" w:rsidR="00BF42B7" w:rsidRDefault="00BF42B7" w:rsidRPr="00463191">
            <w:pPr>
              <w:ind w:right="333"/>
              <w:rPr>
                <w:rFonts w:ascii="Arial Narrow" w:hAnsi="Arial Narrow"/>
              </w:rPr>
            </w:pPr>
            <w:r w:rsidRPr="00463191">
              <w:rPr>
                <w:rFonts w:ascii="Arial Narrow" w:hAnsi="Arial Narrow"/>
              </w:rPr>
              <w:t>D</w:t>
            </w:r>
            <w:r w:rsidRPr="00463191">
              <w:rPr>
                <w:rFonts w:cs="Arial"/>
              </w:rPr>
              <w:t>​</w:t>
            </w:r>
            <w:proofErr w:type="spellStart"/>
            <w:r w:rsidRPr="00463191">
              <w:rPr>
                <w:rFonts w:ascii="Arial Narrow" w:hAnsi="Arial Narrow"/>
              </w:rPr>
              <w:t>oit</w:t>
            </w:r>
            <w:proofErr w:type="spellEnd"/>
            <w:r w:rsidRPr="00463191">
              <w:rPr>
                <w:rFonts w:ascii="Arial Narrow" w:hAnsi="Arial Narrow"/>
              </w:rPr>
              <w:t xml:space="preserve"> se d</w:t>
            </w:r>
            <w:r w:rsidRPr="00463191">
              <w:rPr>
                <w:rFonts w:ascii="Arial Narrow" w:cs="Arial Narrow" w:hAnsi="Arial Narrow"/>
              </w:rPr>
              <w:t>é</w:t>
            </w:r>
            <w:r w:rsidRPr="00463191">
              <w:rPr>
                <w:rFonts w:ascii="Arial Narrow" w:hAnsi="Arial Narrow"/>
              </w:rPr>
              <w:t>velopper</w:t>
            </w:r>
          </w:p>
        </w:tc>
        <w:tc>
          <w:tcPr>
            <w:tcW w:type="dxa" w:w="1880"/>
            <w:tcBorders>
              <w:top w:color="FFFFFF" w:space="0" w:sz="8" w:themeColor="background1" w:val="single"/>
              <w:left w:color="FFFFFF" w:space="0" w:sz="8" w:themeColor="background1" w:val="single"/>
              <w:bottom w:color="000000" w:space="0" w:sz="4" w:themeColor="text1" w:val="single"/>
              <w:right w:color="FFFFFF" w:space="0" w:sz="8" w:themeColor="background1" w:val="single"/>
            </w:tcBorders>
            <w:shd w:color="auto" w:fill="D0CCCF" w:val="clear"/>
            <w:tcMar>
              <w:top w:type="dxa" w:w="10"/>
              <w:left w:type="dxa" w:w="10"/>
              <w:bottom w:type="dxa" w:w="0"/>
              <w:right w:type="dxa" w:w="10"/>
            </w:tcMar>
            <w:vAlign w:val="center"/>
            <w:hideMark/>
          </w:tcPr>
          <w:p w14:paraId="2D9D4BB9" w14:textId="77777777" w:rsidP="00EA4A53" w:rsidR="00BF42B7" w:rsidRDefault="00BF42B7" w:rsidRPr="00463191">
            <w:pPr>
              <w:ind w:right="333"/>
              <w:jc w:val="center"/>
              <w:rPr>
                <w:rFonts w:ascii="Arial Narrow" w:hAnsi="Arial Narrow"/>
              </w:rPr>
            </w:pPr>
            <w:r w:rsidRPr="00463191">
              <w:rPr>
                <w:rFonts w:ascii="Arial Narrow" w:hAnsi="Arial Narrow"/>
              </w:rPr>
              <w:t>0%</w:t>
            </w:r>
          </w:p>
        </w:tc>
        <w:tc>
          <w:tcPr>
            <w:tcW w:type="dxa" w:w="2210"/>
            <w:tcBorders>
              <w:top w:color="FFFFFF" w:space="0" w:sz="8" w:themeColor="background1" w:val="single"/>
              <w:left w:color="FFFFFF" w:space="0" w:sz="8" w:themeColor="background1" w:val="single"/>
              <w:bottom w:color="000000" w:space="0" w:sz="4" w:themeColor="text1" w:val="single"/>
              <w:right w:color="FFFFFF" w:space="0" w:sz="8" w:themeColor="background1" w:val="single"/>
            </w:tcBorders>
            <w:shd w:color="auto" w:fill="D0CCCF" w:val="clear"/>
            <w:tcMar>
              <w:top w:type="dxa" w:w="10"/>
              <w:left w:type="dxa" w:w="10"/>
              <w:bottom w:type="dxa" w:w="0"/>
              <w:right w:type="dxa" w:w="10"/>
            </w:tcMar>
            <w:vAlign w:val="center"/>
            <w:hideMark/>
          </w:tcPr>
          <w:p w14:paraId="066EC6D0" w14:textId="77777777" w:rsidP="00EA4A53" w:rsidR="00BF42B7" w:rsidRDefault="00BF42B7" w:rsidRPr="00463191">
            <w:pPr>
              <w:ind w:right="333"/>
              <w:jc w:val="center"/>
              <w:rPr>
                <w:rFonts w:ascii="Arial Narrow" w:hAnsi="Arial Narrow"/>
              </w:rPr>
            </w:pPr>
            <w:r w:rsidRPr="00463191">
              <w:rPr>
                <w:rFonts w:ascii="Arial Narrow" w:hAnsi="Arial Narrow"/>
              </w:rPr>
              <w:t>0%</w:t>
            </w:r>
          </w:p>
        </w:tc>
        <w:tc>
          <w:tcPr>
            <w:tcW w:type="dxa" w:w="1610"/>
            <w:tcBorders>
              <w:top w:color="FFFFFF" w:space="0" w:sz="8" w:themeColor="background1" w:val="single"/>
              <w:left w:color="FFFFFF" w:space="0" w:sz="8" w:themeColor="background1" w:val="single"/>
              <w:bottom w:color="000000" w:space="0" w:sz="4" w:themeColor="text1" w:val="single"/>
              <w:right w:color="000000" w:space="0" w:sz="4" w:themeColor="text1" w:val="single"/>
            </w:tcBorders>
            <w:shd w:color="auto" w:fill="D0CCCF" w:val="clear"/>
            <w:tcMar>
              <w:top w:type="dxa" w:w="10"/>
              <w:left w:type="dxa" w:w="10"/>
              <w:bottom w:type="dxa" w:w="0"/>
              <w:right w:type="dxa" w:w="10"/>
            </w:tcMar>
            <w:vAlign w:val="center"/>
            <w:hideMark/>
          </w:tcPr>
          <w:p w14:paraId="62CDBB6E" w14:textId="77777777" w:rsidP="00EA4A53" w:rsidR="00BF42B7" w:rsidRDefault="00BF42B7" w:rsidRPr="00463191">
            <w:pPr>
              <w:ind w:right="333"/>
              <w:jc w:val="center"/>
              <w:rPr>
                <w:rFonts w:ascii="Arial Narrow" w:hAnsi="Arial Narrow"/>
              </w:rPr>
            </w:pPr>
            <w:r w:rsidRPr="00463191">
              <w:rPr>
                <w:rFonts w:ascii="Arial Narrow" w:hAnsi="Arial Narrow"/>
              </w:rPr>
              <w:t>0%</w:t>
            </w:r>
          </w:p>
        </w:tc>
      </w:tr>
    </w:tbl>
    <w:p w14:paraId="4B9DB76B" w14:textId="77777777" w:rsidP="00BF42B7" w:rsidR="00BF42B7" w:rsidRDefault="00BF42B7" w:rsidRPr="00463191">
      <w:pPr>
        <w:ind w:right="333"/>
        <w:rPr>
          <w:rFonts w:ascii="Arial Narrow" w:hAnsi="Arial Narrow"/>
          <w:b/>
        </w:rPr>
      </w:pPr>
    </w:p>
    <w:p w14:paraId="7C926D24" w14:textId="77777777" w:rsidP="00BF42B7" w:rsidR="00BF42B7" w:rsidRDefault="00BF42B7" w:rsidRPr="00463191">
      <w:pPr>
        <w:ind w:right="333"/>
        <w:rPr>
          <w:rFonts w:ascii="Arial Narrow" w:hAnsi="Arial Narrow"/>
          <w:b/>
        </w:rPr>
      </w:pPr>
      <w:r w:rsidRPr="00463191">
        <w:rPr>
          <w:rFonts w:ascii="Arial Narrow" w:hAnsi="Arial Narrow"/>
          <w:b/>
        </w:rPr>
        <w:t>4.3- Attribution des augmentations pour les populations cadres « Directeur Associé » et au-delà.</w:t>
      </w:r>
    </w:p>
    <w:p w14:paraId="18720627" w14:textId="77777777" w:rsidP="00BF42B7" w:rsidR="00BF42B7" w:rsidRDefault="00BF42B7" w:rsidRPr="00463191">
      <w:pPr>
        <w:ind w:right="333"/>
        <w:rPr>
          <w:rFonts w:ascii="Arial Narrow" w:hAnsi="Arial Narrow"/>
        </w:rPr>
      </w:pPr>
    </w:p>
    <w:p w14:paraId="0AA9C9EE" w14:textId="082AA39C" w:rsidP="00BF42B7" w:rsidR="00BF42B7" w:rsidRDefault="00BF42B7" w:rsidRPr="00463191">
      <w:pPr>
        <w:ind w:right="333"/>
        <w:rPr>
          <w:rFonts w:ascii="Arial Narrow" w:hAnsi="Arial Narrow"/>
        </w:rPr>
      </w:pPr>
      <w:r w:rsidRPr="00463191">
        <w:rPr>
          <w:rFonts w:ascii="Arial Narrow" w:hAnsi="Arial Narrow"/>
        </w:rPr>
        <w:t xml:space="preserve">Une augmentation annuelle sur le salaire de base brut de </w:t>
      </w:r>
      <w:r w:rsidRPr="00463191">
        <w:rPr>
          <w:rFonts w:ascii="Arial Narrow" w:hAnsi="Arial Narrow"/>
          <w:b/>
          <w:bCs/>
        </w:rPr>
        <w:t>2%</w:t>
      </w:r>
      <w:r w:rsidRPr="00463191">
        <w:rPr>
          <w:rFonts w:ascii="Arial Narrow" w:hAnsi="Arial Narrow"/>
        </w:rPr>
        <w:t xml:space="preserve"> sera attribuée à l’ensemble des cadres entrant dans le champ d’application de cette mesure (« Directeur Associé » et au-delà) positionnés « au marché » et « en-dessous », et de 1% pour les cadres positionnés « au-dessus du marché » en référence aux grilles applicables au sein de CCP France.</w:t>
      </w:r>
    </w:p>
    <w:p w14:paraId="57AC3539" w14:textId="31DF4C88" w:rsidP="00BF42B7" w:rsidR="00BF42B7" w:rsidRDefault="00BF42B7" w:rsidRPr="007F6AA8">
      <w:pPr>
        <w:ind w:right="333"/>
        <w:rPr>
          <w:rFonts w:ascii="Arial Narrow" w:hAnsi="Arial Narrow"/>
        </w:rPr>
      </w:pPr>
      <w:r w:rsidRPr="00463191">
        <w:rPr>
          <w:rFonts w:ascii="Arial Narrow" w:hAnsi="Arial Narrow"/>
        </w:rPr>
        <w:t xml:space="preserve">Une enveloppe de </w:t>
      </w:r>
      <w:r w:rsidRPr="00463191">
        <w:rPr>
          <w:rFonts w:ascii="Arial Narrow" w:hAnsi="Arial Narrow"/>
          <w:b/>
          <w:bCs/>
        </w:rPr>
        <w:t>3%</w:t>
      </w:r>
      <w:r w:rsidRPr="00463191">
        <w:rPr>
          <w:rFonts w:ascii="Arial Narrow" w:hAnsi="Arial Narrow"/>
        </w:rPr>
        <w:t xml:space="preserve"> des salaires bruts de la population concernée sera à disposition du management afin de reconnaître la contribution individuelle et d’assurer le bon positionnement salarial en fonction des fourchettes annexées au présent accord. Elle est attribuée uniquement aux salariés embauchés avant le 01/01/2023.</w:t>
      </w:r>
    </w:p>
    <w:p w14:paraId="247A2D7F" w14:textId="68ABD759" w:rsidP="007F6AA8" w:rsidR="00BF42B7" w:rsidRDefault="00BF42B7" w:rsidRPr="007F6AA8">
      <w:pPr>
        <w:spacing w:after="240" w:before="240"/>
        <w:ind w:right="333"/>
        <w:rPr>
          <w:rFonts w:ascii="Arial Narrow" w:hAnsi="Arial Narrow"/>
          <w:b/>
          <w:bCs/>
          <w:sz w:val="28"/>
          <w:szCs w:val="28"/>
        </w:rPr>
      </w:pPr>
      <w:r w:rsidRPr="00463191">
        <w:rPr>
          <w:rFonts w:ascii="Arial Narrow" w:hAnsi="Arial Narrow"/>
          <w:b/>
          <w:bCs/>
          <w:sz w:val="28"/>
          <w:szCs w:val="28"/>
        </w:rPr>
        <w:t>Titre 2 – Dispositions relatives aux primes et indemnités</w:t>
      </w:r>
    </w:p>
    <w:p w14:paraId="196AB07B" w14:textId="47796476" w:rsidP="00BF42B7" w:rsidR="00BF42B7" w:rsidRDefault="00BF42B7" w:rsidRPr="007F6AA8">
      <w:pPr>
        <w:ind w:right="333"/>
        <w:rPr>
          <w:rFonts w:ascii="Arial Narrow" w:hAnsi="Arial Narrow"/>
          <w:b/>
          <w:bCs/>
        </w:rPr>
      </w:pPr>
      <w:r w:rsidRPr="00463191">
        <w:rPr>
          <w:rFonts w:ascii="Arial Narrow" w:hAnsi="Arial Narrow"/>
          <w:b/>
          <w:bCs/>
          <w:u w:val="single"/>
        </w:rPr>
        <w:t xml:space="preserve">Article 5 </w:t>
      </w:r>
      <w:r w:rsidRPr="00463191">
        <w:rPr>
          <w:rFonts w:ascii="Arial Narrow" w:hAnsi="Arial Narrow"/>
          <w:b/>
          <w:bCs/>
        </w:rPr>
        <w:t>– Prime de partage de la valeur (PPV)</w:t>
      </w:r>
    </w:p>
    <w:p w14:paraId="2D011BC0" w14:textId="77777777" w:rsidP="00BF42B7" w:rsidR="00BF42B7" w:rsidRDefault="00BF42B7" w:rsidRPr="00463191">
      <w:pPr>
        <w:ind w:right="333"/>
        <w:rPr>
          <w:rFonts w:ascii="Arial Narrow" w:hAnsi="Arial Narrow"/>
        </w:rPr>
      </w:pPr>
      <w:r w:rsidRPr="00463191">
        <w:rPr>
          <w:rFonts w:ascii="Arial Narrow" w:hAnsi="Arial Narrow"/>
        </w:rPr>
        <w:t xml:space="preserve">Afin de soutenir le pouvoir d’achat, une prime de partage de la valeur à hauteur de </w:t>
      </w:r>
      <w:r w:rsidRPr="00463191">
        <w:rPr>
          <w:rFonts w:ascii="Arial Narrow" w:hAnsi="Arial Narrow"/>
          <w:b/>
          <w:bCs/>
        </w:rPr>
        <w:t xml:space="preserve">800 € bruts </w:t>
      </w:r>
      <w:r w:rsidRPr="00463191">
        <w:rPr>
          <w:rFonts w:ascii="Arial Narrow" w:hAnsi="Arial Narrow"/>
        </w:rPr>
        <w:t>sera versée, à titre exceptionnel, sur le bulletin de salaire de janvier 2023.</w:t>
      </w:r>
    </w:p>
    <w:p w14:paraId="1E927004" w14:textId="77777777" w:rsidP="00BF42B7" w:rsidR="00BF42B7" w:rsidRDefault="00BF42B7" w:rsidRPr="00463191">
      <w:pPr>
        <w:ind w:right="333"/>
        <w:rPr>
          <w:rFonts w:ascii="Arial Narrow" w:hAnsi="Arial Narrow"/>
          <w:bCs/>
        </w:rPr>
      </w:pPr>
    </w:p>
    <w:p w14:paraId="72E00611" w14:textId="77777777" w:rsidP="00BF42B7" w:rsidR="00BF42B7" w:rsidRDefault="00BF42B7" w:rsidRPr="00463191">
      <w:pPr>
        <w:ind w:right="333"/>
        <w:rPr>
          <w:rFonts w:ascii="Arial Narrow" w:hAnsi="Arial Narrow"/>
        </w:rPr>
      </w:pPr>
      <w:r w:rsidRPr="00463191">
        <w:rPr>
          <w:rFonts w:ascii="Arial Narrow" w:hAnsi="Arial Narrow"/>
        </w:rPr>
        <w:t>Cette prime sera v</w:t>
      </w:r>
      <w:r w:rsidRPr="00463191">
        <w:rPr>
          <w:rFonts w:ascii="Arial Narrow" w:cs="Arial" w:hAnsi="Arial Narrow"/>
        </w:rPr>
        <w:t xml:space="preserve">ersée à l’ensemble des salariés liés à la Société par un contrat de travail au 31 janvier 2023, et justifiant à cette date de 3 mois d’ancienneté, </w:t>
      </w:r>
      <w:r w:rsidRPr="00463191">
        <w:rPr>
          <w:rFonts w:ascii="Arial Narrow" w:hAnsi="Arial Narrow"/>
        </w:rPr>
        <w:t xml:space="preserve">dont la rémunération brute annuelle est inférieure à 5 fois la </w:t>
      </w:r>
      <w:r w:rsidRPr="00463191">
        <w:rPr>
          <w:rFonts w:ascii="Arial Narrow" w:hAnsi="Arial Narrow"/>
        </w:rPr>
        <w:lastRenderedPageBreak/>
        <w:t>valeur du SMIC applicable du 1</w:t>
      </w:r>
      <w:r w:rsidRPr="00463191">
        <w:rPr>
          <w:rFonts w:ascii="Arial Narrow" w:hAnsi="Arial Narrow"/>
          <w:vertAlign w:val="superscript"/>
        </w:rPr>
        <w:t>er</w:t>
      </w:r>
      <w:r w:rsidRPr="00463191">
        <w:rPr>
          <w:rFonts w:ascii="Arial Narrow" w:hAnsi="Arial Narrow"/>
        </w:rPr>
        <w:t xml:space="preserve"> janvier au 31 décembre 2022 (soit 98.719 euros). Pour les salariés qui n’auront pas été présents à temps plein sur l’ensemble de cette période, le plafond de 5 SMIC sera proratisé à due concurrence dans les conditions prévues par la loi.</w:t>
      </w:r>
    </w:p>
    <w:p w14:paraId="1755B85C" w14:textId="77777777" w:rsidP="00BF42B7" w:rsidR="00BF42B7" w:rsidRDefault="00BF42B7" w:rsidRPr="00463191">
      <w:pPr>
        <w:ind w:right="333"/>
        <w:rPr>
          <w:rFonts w:ascii="Arial Narrow" w:hAnsi="Arial Narrow"/>
          <w:bCs/>
        </w:rPr>
      </w:pPr>
    </w:p>
    <w:p w14:paraId="4E8E5067" w14:textId="77777777" w:rsidP="00BF42B7" w:rsidR="00BF42B7" w:rsidRDefault="00BF42B7" w:rsidRPr="00463191">
      <w:pPr>
        <w:ind w:right="333"/>
        <w:rPr>
          <w:rFonts w:ascii="Arial Narrow" w:hAnsi="Arial Narrow"/>
          <w:bCs/>
        </w:rPr>
      </w:pPr>
      <w:r w:rsidRPr="00463191">
        <w:rPr>
          <w:rFonts w:ascii="Arial Narrow" w:hAnsi="Arial Narrow"/>
          <w:bCs/>
        </w:rPr>
        <w:t>Conformément aux dispositions légales, cette prime bénéficiera dans les mêmes conditions aux intérimaires et GLE.</w:t>
      </w:r>
    </w:p>
    <w:p w14:paraId="44AF54FC" w14:textId="77777777" w:rsidP="00BF42B7" w:rsidR="00BF42B7" w:rsidRDefault="00BF42B7" w:rsidRPr="00463191">
      <w:pPr>
        <w:ind w:right="333"/>
        <w:rPr>
          <w:rFonts w:ascii="Arial Narrow" w:hAnsi="Arial Narrow"/>
          <w:bCs/>
        </w:rPr>
      </w:pPr>
    </w:p>
    <w:p w14:paraId="155C3206" w14:textId="77777777" w:rsidP="00BF42B7" w:rsidR="00BF42B7" w:rsidRDefault="00BF42B7" w:rsidRPr="00463191">
      <w:pPr>
        <w:ind w:right="333"/>
        <w:rPr>
          <w:rFonts w:ascii="Arial Narrow" w:hAnsi="Arial Narrow"/>
          <w:bCs/>
        </w:rPr>
      </w:pPr>
      <w:r w:rsidRPr="00463191">
        <w:rPr>
          <w:rFonts w:ascii="Arial Narrow" w:hAnsi="Arial Narrow"/>
          <w:bCs/>
        </w:rPr>
        <w:t>Il est précisé que cette prime sera nette de cotisations sociales, soit 800€ nets, et nette d’impôt sur le revenu pour les salariés ayant perçu une rémunération brute sur la période du 1</w:t>
      </w:r>
      <w:r w:rsidRPr="00463191">
        <w:rPr>
          <w:rFonts w:ascii="Arial Narrow" w:hAnsi="Arial Narrow"/>
          <w:bCs/>
          <w:vertAlign w:val="superscript"/>
        </w:rPr>
        <w:t>er</w:t>
      </w:r>
      <w:r w:rsidRPr="00463191">
        <w:rPr>
          <w:rFonts w:ascii="Arial Narrow" w:hAnsi="Arial Narrow"/>
          <w:bCs/>
        </w:rPr>
        <w:t xml:space="preserve"> janvier 2022 au 31 décembre 2022 inférieure à 3 fois la valeur du SMIC applicable pendant la même période (59.231 </w:t>
      </w:r>
      <w:r w:rsidRPr="00463191">
        <w:rPr>
          <w:rFonts w:ascii="Arial Narrow" w:hAnsi="Arial Narrow"/>
        </w:rPr>
        <w:t>euros</w:t>
      </w:r>
      <w:r w:rsidRPr="00463191">
        <w:rPr>
          <w:rFonts w:ascii="Arial Narrow" w:hAnsi="Arial Narrow"/>
          <w:bCs/>
        </w:rPr>
        <w:t>). Pour les salariés ayant perçu une rémunération brute sur la période du 1</w:t>
      </w:r>
      <w:r w:rsidRPr="00463191">
        <w:rPr>
          <w:rFonts w:ascii="Arial Narrow" w:hAnsi="Arial Narrow"/>
          <w:bCs/>
          <w:vertAlign w:val="superscript"/>
        </w:rPr>
        <w:t>er</w:t>
      </w:r>
      <w:r w:rsidRPr="00463191">
        <w:rPr>
          <w:rFonts w:ascii="Arial Narrow" w:hAnsi="Arial Narrow"/>
          <w:bCs/>
        </w:rPr>
        <w:t xml:space="preserve"> janvier 2022 au 31 décembre 2022 comprise entre 3 et 5 SMIC, il est précisé que le montant de la prime sera soumis à CSG et CRDS et entrera dans le calcul de l’impôt sur le revenu.</w:t>
      </w:r>
    </w:p>
    <w:p w14:paraId="0CF7C7EE" w14:textId="77777777" w:rsidP="00BF42B7" w:rsidR="00BF42B7" w:rsidRDefault="00BF42B7" w:rsidRPr="00463191">
      <w:pPr>
        <w:ind w:right="333"/>
        <w:rPr>
          <w:rFonts w:ascii="Arial Narrow" w:hAnsi="Arial Narrow"/>
          <w:bCs/>
        </w:rPr>
      </w:pPr>
    </w:p>
    <w:p w14:paraId="3FD5C78C" w14:textId="21CE791B" w:rsidP="00BF42B7" w:rsidR="00BF42B7" w:rsidRDefault="00BF42B7" w:rsidRPr="00463191">
      <w:pPr>
        <w:ind w:right="333"/>
        <w:rPr>
          <w:rFonts w:ascii="Arial Narrow" w:hAnsi="Arial Narrow"/>
          <w:bCs/>
        </w:rPr>
      </w:pPr>
      <w:r w:rsidRPr="00463191">
        <w:rPr>
          <w:rFonts w:ascii="Arial Narrow" w:hAnsi="Arial Narrow"/>
          <w:bCs/>
        </w:rPr>
        <w:t>Il est rappelé que conformément aux dispositions légales, cette prime ne se substitue à aucun des éléments de rémunération versés par l’entreprise.</w:t>
      </w:r>
    </w:p>
    <w:p w14:paraId="07552971" w14:textId="77777777" w:rsidP="00BF42B7" w:rsidR="00BF42B7" w:rsidRDefault="00BF42B7" w:rsidRPr="00463191">
      <w:pPr>
        <w:spacing w:after="240" w:before="240"/>
        <w:ind w:right="333"/>
        <w:rPr>
          <w:rFonts w:ascii="Arial Narrow" w:hAnsi="Arial Narrow"/>
          <w:b/>
          <w:bCs/>
          <w:sz w:val="28"/>
          <w:szCs w:val="28"/>
        </w:rPr>
      </w:pPr>
      <w:r w:rsidRPr="00463191">
        <w:rPr>
          <w:rFonts w:ascii="Arial Narrow" w:hAnsi="Arial Narrow"/>
          <w:b/>
          <w:bCs/>
          <w:sz w:val="28"/>
          <w:szCs w:val="28"/>
        </w:rPr>
        <w:t>Titre 3 – Dispositions relatives aux mesures d’accompagnement à la mobilité</w:t>
      </w:r>
    </w:p>
    <w:p w14:paraId="15605D35" w14:textId="59721FB3" w:rsidP="00BF42B7" w:rsidR="00BF42B7" w:rsidRDefault="00BF42B7" w:rsidRPr="00463191">
      <w:pPr>
        <w:ind w:right="333"/>
        <w:rPr>
          <w:rFonts w:ascii="Arial Narrow" w:hAnsi="Arial Narrow"/>
          <w:b/>
        </w:rPr>
      </w:pPr>
      <w:r w:rsidRPr="00463191">
        <w:rPr>
          <w:rFonts w:ascii="Arial Narrow" w:hAnsi="Arial Narrow"/>
          <w:b/>
          <w:u w:val="single"/>
        </w:rPr>
        <w:t>Article 6</w:t>
      </w:r>
      <w:r w:rsidRPr="00463191">
        <w:rPr>
          <w:rFonts w:ascii="Arial Narrow" w:hAnsi="Arial Narrow"/>
          <w:b/>
        </w:rPr>
        <w:t xml:space="preserve">  – Prime transport </w:t>
      </w:r>
    </w:p>
    <w:p w14:paraId="522192CE" w14:textId="2479BDA5" w:rsidP="00BF42B7" w:rsidR="00BF42B7" w:rsidRDefault="00BF42B7" w:rsidRPr="007F6AA8">
      <w:pPr>
        <w:ind w:right="333"/>
        <w:rPr>
          <w:rFonts w:ascii="Arial Narrow" w:hAnsi="Arial Narrow"/>
        </w:rPr>
      </w:pPr>
      <w:r w:rsidRPr="00463191">
        <w:rPr>
          <w:rFonts w:ascii="Arial Narrow" w:hAnsi="Arial Narrow"/>
          <w:b/>
          <w:bCs/>
        </w:rPr>
        <w:t>6.1 – Modalités d’application :</w:t>
      </w:r>
      <w:r w:rsidRPr="00463191">
        <w:rPr>
          <w:rFonts w:ascii="Arial Narrow" w:hAnsi="Arial Narrow"/>
        </w:rPr>
        <w:t xml:space="preserve">  à titre exceptionnel, et pour tenir compte de l’augmentation du prix des carburants en 2022, une prime</w:t>
      </w:r>
      <w:r w:rsidRPr="00463191">
        <w:rPr>
          <w:rFonts w:ascii="Arial Narrow" w:hAnsi="Arial Narrow"/>
          <w:b/>
          <w:bCs/>
        </w:rPr>
        <w:t xml:space="preserve"> de</w:t>
      </w:r>
      <w:r w:rsidRPr="00463191">
        <w:rPr>
          <w:rFonts w:ascii="Arial Narrow" w:hAnsi="Arial Narrow"/>
        </w:rPr>
        <w:t xml:space="preserve"> </w:t>
      </w:r>
      <w:r w:rsidRPr="00463191">
        <w:rPr>
          <w:rFonts w:ascii="Arial Narrow" w:hAnsi="Arial Narrow"/>
          <w:b/>
          <w:bCs/>
        </w:rPr>
        <w:t>300 € nets</w:t>
      </w:r>
      <w:r w:rsidRPr="00463191">
        <w:rPr>
          <w:rFonts w:ascii="Arial Narrow" w:hAnsi="Arial Narrow"/>
        </w:rPr>
        <w:t xml:space="preserve"> sera versée aux salariés utilisant leur véhicule personnel pour leurs déplacements entre leur résidence et leur lieu habituel de travail. </w:t>
      </w:r>
    </w:p>
    <w:p w14:paraId="296D24CF" w14:textId="3E12180A" w:rsidP="00BF42B7" w:rsidR="00BF42B7" w:rsidRDefault="00BF42B7" w:rsidRPr="00463191">
      <w:pPr>
        <w:ind w:right="333"/>
        <w:rPr>
          <w:rFonts w:ascii="Arial Narrow" w:hAnsi="Arial Narrow"/>
          <w:bCs/>
        </w:rPr>
      </w:pPr>
      <w:r w:rsidRPr="00463191">
        <w:rPr>
          <w:rFonts w:ascii="Arial Narrow" w:hAnsi="Arial Narrow"/>
          <w:bCs/>
        </w:rPr>
        <w:t>Cette prime exceptionnelle nette de charges sociales et non soumise à l’impôt sur le revenu sera versée avec le salaire du mois de décembre 2022.</w:t>
      </w:r>
    </w:p>
    <w:p w14:paraId="6EBD4D96" w14:textId="69445E7E" w:rsidP="00BF42B7" w:rsidR="00BF42B7" w:rsidRDefault="00BF42B7" w:rsidRPr="007F6AA8">
      <w:pPr>
        <w:ind w:right="333"/>
        <w:rPr>
          <w:rFonts w:ascii="Arial Narrow" w:hAnsi="Arial Narrow"/>
        </w:rPr>
      </w:pPr>
      <w:r w:rsidRPr="00463191">
        <w:rPr>
          <w:rFonts w:ascii="Arial Narrow" w:hAnsi="Arial Narrow"/>
        </w:rPr>
        <w:t>Le bénéfice de ce dispositif s’appliquera à l’ensemble des salariés ne bénéficiant pas de véhicule de société, à la date de versement de la prime et justifiant de 3 mois d’ancienneté au 31 décembre 2022.</w:t>
      </w:r>
    </w:p>
    <w:p w14:paraId="5E4BB754" w14:textId="2F5F8C4D" w:rsidP="00BF42B7" w:rsidR="00BF42B7" w:rsidRDefault="00BF42B7" w:rsidRPr="00463191">
      <w:pPr>
        <w:ind w:right="333"/>
        <w:rPr>
          <w:rFonts w:ascii="Arial Narrow" w:hAnsi="Arial Narrow"/>
          <w:bCs/>
        </w:rPr>
      </w:pPr>
      <w:r w:rsidRPr="00463191">
        <w:rPr>
          <w:rFonts w:ascii="Arial Narrow" w:hAnsi="Arial Narrow"/>
          <w:bCs/>
        </w:rPr>
        <w:t>Cette prime bénéficiera dans les mêmes conditions aux intérimaires et GLE.</w:t>
      </w:r>
    </w:p>
    <w:p w14:paraId="362EE992" w14:textId="7B479DD2" w:rsidP="00BF42B7" w:rsidR="00BF42B7" w:rsidRDefault="00BF42B7" w:rsidRPr="00463191">
      <w:pPr>
        <w:ind w:right="333"/>
        <w:rPr>
          <w:rFonts w:ascii="Arial Narrow" w:hAnsi="Arial Narrow"/>
        </w:rPr>
      </w:pPr>
      <w:r w:rsidRPr="00463191">
        <w:rPr>
          <w:rFonts w:ascii="Arial Narrow" w:hAnsi="Arial Narrow"/>
          <w:b/>
          <w:bCs/>
        </w:rPr>
        <w:t xml:space="preserve">6.2 – Clause de revoyure </w:t>
      </w:r>
      <w:r w:rsidRPr="00463191">
        <w:rPr>
          <w:rFonts w:ascii="Arial Narrow" w:hAnsi="Arial Narrow"/>
        </w:rPr>
        <w:t xml:space="preserve">: Les parties conviennent qu’un bilan sera fait à fin juin 2023 et à fin décembre 2023 sur l'évolution du prix du gazole sur la base de l'indice Insee prix moyen mensuel de vente au détail – gazole 1l. </w:t>
      </w:r>
    </w:p>
    <w:p w14:paraId="22140E7B" w14:textId="7BB429A5" w:rsidP="00BF42B7" w:rsidR="00BF42B7" w:rsidRDefault="00BF42B7" w:rsidRPr="00463191">
      <w:pPr>
        <w:spacing w:line="259" w:lineRule="auto"/>
        <w:ind w:right="333"/>
        <w:rPr>
          <w:rFonts w:ascii="Arial Narrow" w:hAnsi="Arial Narrow"/>
        </w:rPr>
      </w:pPr>
      <w:r w:rsidRPr="00463191">
        <w:rPr>
          <w:rFonts w:ascii="Arial Narrow" w:hAnsi="Arial Narrow"/>
        </w:rPr>
        <w:t xml:space="preserve">Si celui-ci est supérieur ou égal à 1,9€ fin mai 2023 (moyenne sur les 6 derniers mois glissants), une prime transport de 150 € nets sera versée sur la paie de juin 2023 selon les mêmes modalités que celles définies en 6.1. </w:t>
      </w:r>
    </w:p>
    <w:p w14:paraId="767C5348" w14:textId="77777777" w:rsidP="00BF42B7" w:rsidR="00BF42B7" w:rsidRDefault="00BF42B7" w:rsidRPr="00463191">
      <w:pPr>
        <w:spacing w:line="259" w:lineRule="auto"/>
        <w:ind w:right="333"/>
        <w:rPr>
          <w:rFonts w:ascii="Arial Narrow" w:hAnsi="Arial Narrow"/>
        </w:rPr>
      </w:pPr>
      <w:r w:rsidRPr="00463191">
        <w:rPr>
          <w:rFonts w:ascii="Arial Narrow" w:hAnsi="Arial Narrow"/>
        </w:rPr>
        <w:t>De la même manière, si celui-ci est supérieur ou égal à 1,9€ fin novembre 2023 (moyenne sur les 6 derniers mois glissants), une prime transport de 150 € nets sera versée sur la paie de décembre 2023 selon les mêmes modalités que celles définies en 6.1.</w:t>
      </w:r>
    </w:p>
    <w:p w14:paraId="1A93DFC1" w14:textId="49AE8FB5" w:rsidP="00BF42B7" w:rsidR="00BF42B7" w:rsidRDefault="00BF42B7">
      <w:pPr>
        <w:ind w:right="333"/>
        <w:rPr>
          <w:rFonts w:ascii="Arial Narrow" w:hAnsi="Arial Narrow"/>
          <w:b/>
        </w:rPr>
      </w:pPr>
    </w:p>
    <w:p w14:paraId="48CBFAD4" w14:textId="54627C51" w:rsidP="00BF42B7" w:rsidR="007F6AA8" w:rsidRDefault="007F6AA8">
      <w:pPr>
        <w:ind w:right="333"/>
        <w:rPr>
          <w:rFonts w:ascii="Arial Narrow" w:hAnsi="Arial Narrow"/>
          <w:b/>
        </w:rPr>
      </w:pPr>
    </w:p>
    <w:p w14:paraId="61481F71" w14:textId="77777777" w:rsidP="00BF42B7" w:rsidR="007F6AA8" w:rsidRDefault="007F6AA8" w:rsidRPr="00463191">
      <w:pPr>
        <w:ind w:right="333"/>
        <w:rPr>
          <w:rFonts w:ascii="Arial Narrow" w:hAnsi="Arial Narrow"/>
          <w:b/>
        </w:rPr>
      </w:pPr>
    </w:p>
    <w:p w14:paraId="122EC5CE" w14:textId="271B45F3" w:rsidP="00BF42B7" w:rsidR="00BF42B7" w:rsidRDefault="00BF42B7" w:rsidRPr="007F6AA8">
      <w:pPr>
        <w:ind w:right="333"/>
        <w:rPr>
          <w:rFonts w:ascii="Arial Narrow" w:hAnsi="Arial Narrow"/>
          <w:b/>
        </w:rPr>
      </w:pPr>
      <w:r w:rsidRPr="00463191">
        <w:rPr>
          <w:rFonts w:ascii="Arial Narrow" w:hAnsi="Arial Narrow"/>
          <w:b/>
          <w:u w:val="single"/>
        </w:rPr>
        <w:lastRenderedPageBreak/>
        <w:t>Article 7</w:t>
      </w:r>
      <w:r w:rsidRPr="00463191">
        <w:rPr>
          <w:rFonts w:ascii="Arial Narrow" w:hAnsi="Arial Narrow"/>
          <w:b/>
        </w:rPr>
        <w:t xml:space="preserve"> – Forfait mobilité durable</w:t>
      </w:r>
    </w:p>
    <w:p w14:paraId="3D12AB18" w14:textId="03B55D9C" w:rsidP="00BF42B7" w:rsidR="00BF42B7" w:rsidRDefault="00BF42B7" w:rsidRPr="00463191">
      <w:pPr>
        <w:ind w:right="333"/>
        <w:rPr>
          <w:rFonts w:ascii="Arial Narrow" w:cs="Arial Narrow" w:eastAsia="Arial Narrow" w:hAnsi="Arial Narrow"/>
          <w:shd w:color="auto" w:fill="FFFFFF" w:val="clear"/>
        </w:rPr>
      </w:pPr>
      <w:r w:rsidRPr="00463191">
        <w:rPr>
          <w:rFonts w:ascii="Arial Narrow" w:cs="Arial Narrow" w:eastAsia="Arial Narrow" w:hAnsi="Arial Narrow"/>
          <w:shd w:color="auto" w:fill="FFFFFF" w:val="clear"/>
        </w:rPr>
        <w:t>Afin d'encourager le recours à des transports plus propres pour les trajets domicile-lieu de travail, CCP souhaite faire bénéficier les salariés d’un « forfait mobilités durables ».</w:t>
      </w:r>
    </w:p>
    <w:p w14:paraId="103A8C2B" w14:textId="77777777" w:rsidP="00BF42B7" w:rsidR="00BF42B7" w:rsidRDefault="00BF42B7" w:rsidRPr="00463191">
      <w:pPr>
        <w:ind w:right="333"/>
        <w:rPr>
          <w:rFonts w:ascii="Arial Narrow" w:cs="Arial Narrow" w:eastAsia="Arial Narrow" w:hAnsi="Arial Narrow"/>
          <w:shd w:color="auto" w:fill="FFFFFF" w:val="clear"/>
        </w:rPr>
      </w:pPr>
      <w:r w:rsidRPr="00463191">
        <w:rPr>
          <w:rFonts w:ascii="Arial Narrow" w:cs="Arial Narrow" w:eastAsia="Arial Narrow" w:hAnsi="Arial Narrow"/>
          <w:shd w:color="auto" w:fill="FFFFFF" w:val="clear"/>
        </w:rPr>
        <w:t>A compter du 1</w:t>
      </w:r>
      <w:r w:rsidRPr="00463191">
        <w:rPr>
          <w:rFonts w:ascii="Arial Narrow" w:cs="Arial Narrow" w:eastAsia="Arial Narrow" w:hAnsi="Arial Narrow"/>
          <w:shd w:color="auto" w:fill="FFFFFF" w:val="clear"/>
          <w:vertAlign w:val="superscript"/>
        </w:rPr>
        <w:t>er</w:t>
      </w:r>
      <w:r w:rsidRPr="00463191">
        <w:rPr>
          <w:rFonts w:ascii="Arial Narrow" w:cs="Arial Narrow" w:eastAsia="Arial Narrow" w:hAnsi="Arial Narrow"/>
          <w:shd w:color="auto" w:fill="FFFFFF" w:val="clear"/>
        </w:rPr>
        <w:t xml:space="preserve"> janvier 2023, le salarié qui s’engage à effectuer ses trajets « domicile-lieu de travail » :</w:t>
      </w:r>
    </w:p>
    <w:p w14:paraId="311FF5EF" w14:textId="77777777" w:rsidP="00BF42B7" w:rsidR="00BF42B7" w:rsidRDefault="00BF42B7" w:rsidRPr="00463191">
      <w:pPr>
        <w:pStyle w:val="Paragraphedeliste"/>
        <w:numPr>
          <w:ilvl w:val="0"/>
          <w:numId w:val="1"/>
        </w:numPr>
        <w:ind w:right="333"/>
        <w:jc w:val="both"/>
        <w:rPr>
          <w:rFonts w:ascii="Arial Narrow" w:cs="Arial Narrow" w:eastAsia="Arial Narrow" w:hAnsi="Arial Narrow"/>
          <w:lang w:eastAsia="fr-FR" w:val="fr-FR"/>
        </w:rPr>
      </w:pPr>
      <w:r w:rsidRPr="00463191">
        <w:rPr>
          <w:rFonts w:ascii="Arial Narrow" w:cs="Arial Narrow" w:eastAsia="Arial Narrow" w:hAnsi="Arial Narrow"/>
          <w:shd w:color="auto" w:fill="FFFFFF" w:val="clear"/>
          <w:lang w:val="fr-FR"/>
        </w:rPr>
        <w:t>à vélo,</w:t>
      </w:r>
    </w:p>
    <w:p w14:paraId="322AA106" w14:textId="77777777" w:rsidP="00BF42B7" w:rsidR="00BF42B7" w:rsidRDefault="00BF42B7" w:rsidRPr="00463191">
      <w:pPr>
        <w:pStyle w:val="Paragraphedeliste"/>
        <w:numPr>
          <w:ilvl w:val="0"/>
          <w:numId w:val="1"/>
        </w:numPr>
        <w:ind w:right="333"/>
        <w:jc w:val="both"/>
        <w:rPr>
          <w:rFonts w:ascii="Arial Narrow" w:cs="Arial Narrow" w:eastAsia="Arial Narrow" w:hAnsi="Arial Narrow"/>
          <w:lang w:eastAsia="fr-FR" w:val="fr-FR"/>
        </w:rPr>
      </w:pPr>
      <w:r w:rsidRPr="00463191">
        <w:rPr>
          <w:rFonts w:ascii="Arial Narrow" w:cs="Arial Narrow" w:eastAsia="Arial Narrow" w:hAnsi="Arial Narrow"/>
          <w:shd w:color="auto" w:fill="FFFFFF" w:val="clear"/>
          <w:lang w:val="fr-FR"/>
        </w:rPr>
        <w:t>vélo à assistance électrique (personnel ou en location),</w:t>
      </w:r>
    </w:p>
    <w:p w14:paraId="28703CCC" w14:textId="77777777" w:rsidP="00BF42B7" w:rsidR="00BF42B7" w:rsidRDefault="00BF42B7" w:rsidRPr="00463191">
      <w:pPr>
        <w:pStyle w:val="Paragraphedeliste"/>
        <w:numPr>
          <w:ilvl w:val="0"/>
          <w:numId w:val="1"/>
        </w:numPr>
        <w:ind w:right="333"/>
        <w:jc w:val="both"/>
        <w:rPr>
          <w:rFonts w:ascii="Arial Narrow" w:cs="Arial Narrow" w:eastAsia="Arial Narrow" w:hAnsi="Arial Narrow"/>
          <w:lang w:eastAsia="fr-FR" w:val="fr-FR"/>
        </w:rPr>
      </w:pPr>
      <w:r w:rsidRPr="00463191">
        <w:rPr>
          <w:rFonts w:ascii="Arial Narrow" w:cs="Arial Narrow" w:eastAsia="Arial Narrow" w:hAnsi="Arial Narrow"/>
          <w:shd w:color="auto" w:fill="FFFFFF" w:val="clear"/>
          <w:lang w:val="fr-FR"/>
        </w:rPr>
        <w:t xml:space="preserve">en voiture dans le cadre d’un covoiturage </w:t>
      </w:r>
      <w:r w:rsidRPr="00463191">
        <w:rPr>
          <w:rFonts w:ascii="Arial Narrow" w:cs="Arial Narrow" w:eastAsia="Arial Narrow" w:hAnsi="Arial Narrow"/>
          <w:lang w:eastAsia="fr-FR" w:val="fr-FR"/>
        </w:rPr>
        <w:t>(en tant que conducteur ou passager),</w:t>
      </w:r>
    </w:p>
    <w:p w14:paraId="74D91AE0" w14:textId="77777777" w:rsidP="00BF42B7" w:rsidR="00BF42B7" w:rsidRDefault="00BF42B7" w:rsidRPr="00463191">
      <w:pPr>
        <w:pStyle w:val="Paragraphedeliste"/>
        <w:numPr>
          <w:ilvl w:val="0"/>
          <w:numId w:val="1"/>
        </w:numPr>
        <w:ind w:right="333"/>
        <w:jc w:val="both"/>
        <w:rPr>
          <w:rFonts w:ascii="Arial Narrow" w:cs="Arial Narrow" w:eastAsia="Arial Narrow" w:hAnsi="Arial Narrow"/>
          <w:lang w:eastAsia="fr-FR" w:val="fr-FR"/>
        </w:rPr>
      </w:pPr>
      <w:r w:rsidRPr="00463191">
        <w:rPr>
          <w:rFonts w:ascii="Arial Narrow" w:cs="Arial Narrow" w:eastAsia="Arial Narrow" w:hAnsi="Arial Narrow"/>
          <w:shd w:color="auto" w:fill="FFFFFF" w:val="clear"/>
          <w:lang w:val="fr-FR"/>
        </w:rPr>
        <w:t xml:space="preserve">en </w:t>
      </w:r>
      <w:r w:rsidRPr="00463191">
        <w:rPr>
          <w:rFonts w:ascii="Arial Narrow" w:cs="Arial Narrow" w:eastAsia="Arial Narrow" w:hAnsi="Arial Narrow"/>
          <w:lang w:eastAsia="fr-FR" w:val="fr-FR"/>
        </w:rPr>
        <w:t xml:space="preserve">cyclomoteurs et motocyclettes, comme les scooters et trottinettes électriques en « free </w:t>
      </w:r>
      <w:proofErr w:type="spellStart"/>
      <w:r w:rsidRPr="00463191">
        <w:rPr>
          <w:rFonts w:ascii="Arial Narrow" w:cs="Arial Narrow" w:eastAsia="Arial Narrow" w:hAnsi="Arial Narrow"/>
          <w:lang w:eastAsia="fr-FR" w:val="fr-FR"/>
        </w:rPr>
        <w:t>floating</w:t>
      </w:r>
      <w:proofErr w:type="spellEnd"/>
      <w:r w:rsidRPr="00463191">
        <w:rPr>
          <w:rFonts w:ascii="Arial Narrow" w:cs="Arial Narrow" w:eastAsia="Arial Narrow" w:hAnsi="Arial Narrow"/>
          <w:lang w:eastAsia="fr-FR" w:val="fr-FR"/>
        </w:rPr>
        <w:t xml:space="preserve"> » (en location ou en libre-service),</w:t>
      </w:r>
    </w:p>
    <w:p w14:paraId="47E8E921" w14:textId="77777777" w:rsidP="00BF42B7" w:rsidR="00BF42B7" w:rsidRDefault="00BF42B7" w:rsidRPr="00463191">
      <w:pPr>
        <w:pStyle w:val="Paragraphedeliste"/>
        <w:numPr>
          <w:ilvl w:val="0"/>
          <w:numId w:val="1"/>
        </w:numPr>
        <w:ind w:right="333"/>
        <w:jc w:val="both"/>
        <w:rPr>
          <w:rFonts w:ascii="Arial Narrow" w:cs="Arial Narrow" w:eastAsia="Arial Narrow" w:hAnsi="Arial Narrow"/>
          <w:lang w:eastAsia="fr-FR" w:val="fr-FR"/>
        </w:rPr>
      </w:pPr>
      <w:r w:rsidRPr="00463191">
        <w:rPr>
          <w:rFonts w:ascii="Arial Narrow" w:cs="Arial Narrow" w:eastAsia="Arial Narrow" w:hAnsi="Arial Narrow"/>
          <w:lang w:eastAsia="fr-FR" w:val="fr-FR"/>
        </w:rPr>
        <w:t xml:space="preserve">en engin de déplacement personnel motorisés ou non motorisés des particuliers (trottinettes, </w:t>
      </w:r>
      <w:proofErr w:type="spellStart"/>
      <w:r w:rsidRPr="00463191">
        <w:rPr>
          <w:rFonts w:ascii="Arial Narrow" w:cs="Arial Narrow" w:eastAsia="Arial Narrow" w:hAnsi="Arial Narrow"/>
          <w:lang w:eastAsia="fr-FR" w:val="fr-FR"/>
        </w:rPr>
        <w:t>monoroues</w:t>
      </w:r>
      <w:proofErr w:type="spellEnd"/>
      <w:r w:rsidRPr="00463191">
        <w:rPr>
          <w:rFonts w:ascii="Arial Narrow" w:cs="Arial Narrow" w:eastAsia="Arial Narrow" w:hAnsi="Arial Narrow"/>
          <w:lang w:eastAsia="fr-FR" w:val="fr-FR"/>
        </w:rPr>
        <w:t>, gyropodes, skateboard, hoverboard, etc.) (en location ou en libre-service),</w:t>
      </w:r>
    </w:p>
    <w:p w14:paraId="4D44643D" w14:textId="77777777" w:rsidP="00BF42B7" w:rsidR="00BF42B7" w:rsidRDefault="00BF42B7" w:rsidRPr="00463191">
      <w:pPr>
        <w:pStyle w:val="Paragraphedeliste"/>
        <w:numPr>
          <w:ilvl w:val="0"/>
          <w:numId w:val="1"/>
        </w:numPr>
        <w:ind w:right="333"/>
        <w:jc w:val="both"/>
        <w:rPr>
          <w:rFonts w:ascii="Arial Narrow" w:cs="Arial Narrow" w:eastAsia="Arial Narrow" w:hAnsi="Arial Narrow"/>
          <w:lang w:eastAsia="fr-FR" w:val="fr-FR"/>
        </w:rPr>
      </w:pPr>
      <w:r w:rsidRPr="00463191">
        <w:rPr>
          <w:rFonts w:ascii="Arial Narrow" w:cs="Arial Narrow" w:eastAsia="Arial Narrow" w:hAnsi="Arial Narrow"/>
          <w:lang w:eastAsia="fr-FR" w:val="fr-FR"/>
        </w:rPr>
        <w:t>en autopartage avec des véhicules électriques, hybrides rechargeables ou hydrogènes,</w:t>
      </w:r>
    </w:p>
    <w:p w14:paraId="53C65C6A" w14:textId="77777777" w:rsidP="00BF42B7" w:rsidR="00BF42B7" w:rsidRDefault="00BF42B7" w:rsidRPr="00463191">
      <w:pPr>
        <w:pStyle w:val="Paragraphedeliste"/>
        <w:numPr>
          <w:ilvl w:val="0"/>
          <w:numId w:val="1"/>
        </w:numPr>
        <w:ind w:right="333"/>
        <w:jc w:val="both"/>
        <w:rPr>
          <w:rFonts w:ascii="Arial Narrow" w:cs="Arial Narrow" w:eastAsia="Arial Narrow" w:hAnsi="Arial Narrow"/>
          <w:lang w:eastAsia="fr-FR" w:val="fr-FR"/>
        </w:rPr>
      </w:pPr>
      <w:r w:rsidRPr="00463191">
        <w:rPr>
          <w:rFonts w:ascii="Arial Narrow" w:cs="Arial Narrow" w:eastAsia="Arial Narrow" w:hAnsi="Arial Narrow"/>
          <w:lang w:eastAsia="fr-FR" w:val="fr-FR"/>
        </w:rPr>
        <w:t>en transports en commun sauf en cas de prise en charge partielle des frais d'abonnement,</w:t>
      </w:r>
    </w:p>
    <w:p w14:paraId="15506DAE" w14:textId="66DBA799" w:rsidP="00BF42B7" w:rsidR="00BF42B7" w:rsidRDefault="00BF42B7" w:rsidRPr="007F6AA8">
      <w:pPr>
        <w:ind w:right="333"/>
        <w:rPr>
          <w:rFonts w:ascii="Arial Narrow" w:cs="Arial Narrow" w:eastAsia="Arial Narrow" w:hAnsi="Arial Narrow"/>
          <w:lang w:eastAsia="fr-FR"/>
        </w:rPr>
      </w:pPr>
      <w:r w:rsidRPr="00463191">
        <w:rPr>
          <w:rFonts w:ascii="Arial Narrow" w:cs="Arial Narrow" w:eastAsia="Arial Narrow" w:hAnsi="Arial Narrow"/>
          <w:shd w:color="auto" w:fill="FFFFFF" w:val="clear"/>
        </w:rPr>
        <w:t>percevra la somme de 17 € / mois. A ce jour, cette somme est exonérée de charges sociales et d’impôt sur le revenu. La liste présentée ci-dessus suivra l’évolution de la réglementation.</w:t>
      </w:r>
    </w:p>
    <w:p w14:paraId="299030FD" w14:textId="260EDC18" w:rsidP="00BF42B7" w:rsidR="00BF42B7" w:rsidRDefault="00BF42B7" w:rsidRPr="007F6AA8">
      <w:pPr>
        <w:ind w:right="333"/>
        <w:rPr>
          <w:rFonts w:ascii="Arial Narrow" w:cs="Arial Narrow" w:eastAsia="Arial Narrow" w:hAnsi="Arial Narrow"/>
        </w:rPr>
      </w:pPr>
      <w:r w:rsidRPr="00463191">
        <w:rPr>
          <w:rFonts w:ascii="Arial Narrow" w:cs="Arial Narrow" w:eastAsia="Arial Narrow" w:hAnsi="Arial Narrow"/>
          <w:shd w:color="auto" w:fill="FFFFFF" w:val="clear"/>
        </w:rPr>
        <w:t>Ce dis</w:t>
      </w:r>
      <w:r w:rsidRPr="00463191">
        <w:rPr>
          <w:rFonts w:ascii="Arial Narrow" w:cs="Arial Narrow" w:eastAsia="Arial Narrow" w:hAnsi="Arial Narrow"/>
        </w:rPr>
        <w:t xml:space="preserve">positif, plafonné à 204€ / an, ne s’applique pas aux salariés bénéficiant d’une voiture de service ou d’une voiture de fonction. </w:t>
      </w:r>
    </w:p>
    <w:p w14:paraId="6B155FB6" w14:textId="6214CF1E" w:rsidP="00BF42B7" w:rsidR="00BF42B7" w:rsidRDefault="00BF42B7" w:rsidRPr="00463191">
      <w:pPr>
        <w:ind w:right="333"/>
        <w:rPr>
          <w:rFonts w:ascii="Arial Narrow" w:cs="Arial Narrow" w:eastAsia="Arial Narrow" w:hAnsi="Arial Narrow"/>
        </w:rPr>
      </w:pPr>
      <w:r w:rsidRPr="00463191">
        <w:rPr>
          <w:rFonts w:ascii="Arial Narrow" w:cs="Arial Narrow" w:eastAsia="Arial Narrow" w:hAnsi="Arial Narrow"/>
        </w:rPr>
        <w:t xml:space="preserve">Le bénéfice de ce dispositif sera soumis, préalablement à son versement, à la rédaction d’une </w:t>
      </w:r>
      <w:proofErr w:type="spellStart"/>
      <w:r w:rsidRPr="00463191">
        <w:rPr>
          <w:rFonts w:ascii="Arial Narrow" w:cs="Arial Narrow" w:eastAsia="Arial Narrow" w:hAnsi="Arial Narrow"/>
        </w:rPr>
        <w:t>auto-déclaration</w:t>
      </w:r>
      <w:proofErr w:type="spellEnd"/>
      <w:r w:rsidRPr="00463191">
        <w:rPr>
          <w:rFonts w:ascii="Arial Narrow" w:cs="Arial Narrow" w:eastAsia="Arial Narrow" w:hAnsi="Arial Narrow"/>
        </w:rPr>
        <w:t xml:space="preserve"> mensuelle sur l’honneur attestant de l’utilisation effective des moyens de transport prévus ci-dessus pour les trajets domicile / lieu de travail.</w:t>
      </w:r>
    </w:p>
    <w:p w14:paraId="2F651C66" w14:textId="1D1FCD2A" w:rsidP="00BF42B7" w:rsidR="00BF42B7" w:rsidRDefault="00BF42B7" w:rsidRPr="00463191">
      <w:pPr>
        <w:ind w:right="333"/>
        <w:rPr>
          <w:rFonts w:ascii="Arial Narrow" w:hAnsi="Arial Narrow"/>
          <w:bCs/>
        </w:rPr>
      </w:pPr>
      <w:r w:rsidRPr="00463191">
        <w:rPr>
          <w:rFonts w:ascii="Arial Narrow" w:cs="Arial Narrow" w:eastAsia="Arial Narrow" w:hAnsi="Arial Narrow"/>
        </w:rPr>
        <w:t>Ce forfait</w:t>
      </w:r>
      <w:r w:rsidRPr="00463191">
        <w:t xml:space="preserve"> </w:t>
      </w:r>
      <w:r w:rsidRPr="00463191">
        <w:rPr>
          <w:rFonts w:ascii="Arial Narrow" w:cs="Arial Narrow" w:eastAsia="Arial Narrow" w:hAnsi="Arial Narrow"/>
        </w:rPr>
        <w:t xml:space="preserve">remplace l'indemnité kilométrique vélo (IKV) pour 2023. </w:t>
      </w:r>
      <w:r w:rsidRPr="00463191">
        <w:rPr>
          <w:rFonts w:ascii="Arial Narrow" w:cs="Arial Narrow" w:eastAsia="Arial Narrow" w:hAnsi="Arial Narrow"/>
        </w:rPr>
        <w:tab/>
      </w:r>
    </w:p>
    <w:p w14:paraId="54FF44A1" w14:textId="77777777" w:rsidP="00BF42B7" w:rsidR="00BF42B7" w:rsidRDefault="00BF42B7" w:rsidRPr="00463191">
      <w:pPr>
        <w:ind w:right="333"/>
        <w:rPr>
          <w:rFonts w:ascii="Arial Narrow" w:cs="Arial Narrow" w:eastAsia="Arial Narrow" w:hAnsi="Arial Narrow"/>
        </w:rPr>
      </w:pPr>
      <w:r w:rsidRPr="00463191">
        <w:rPr>
          <w:rFonts w:ascii="Arial Narrow" w:cs="Arial Narrow" w:eastAsia="Arial Narrow" w:hAnsi="Arial Narrow"/>
        </w:rPr>
        <w:t>Ce dispositif est cumulable avec le versement de la prime transport prévu à l’article 6 du présent accord dans la limite des plafonds d’exonération prévus par la loi.</w:t>
      </w:r>
    </w:p>
    <w:p w14:paraId="5FF8AA94" w14:textId="77777777" w:rsidP="00BF42B7" w:rsidR="00BF42B7" w:rsidRDefault="00BF42B7" w:rsidRPr="00463191">
      <w:pPr>
        <w:spacing w:after="240" w:before="240"/>
        <w:ind w:right="333"/>
        <w:rPr>
          <w:rFonts w:ascii="Arial Narrow" w:hAnsi="Arial Narrow"/>
          <w:b/>
          <w:bCs/>
          <w:sz w:val="28"/>
          <w:szCs w:val="28"/>
        </w:rPr>
      </w:pPr>
      <w:r w:rsidRPr="00463191">
        <w:rPr>
          <w:rFonts w:ascii="Arial Narrow" w:hAnsi="Arial Narrow"/>
          <w:b/>
          <w:bCs/>
          <w:sz w:val="28"/>
          <w:szCs w:val="28"/>
        </w:rPr>
        <w:t xml:space="preserve">Titre 4 – Autres Dispositions </w:t>
      </w:r>
    </w:p>
    <w:p w14:paraId="73B4C24A" w14:textId="6E071DCF" w:rsidP="00BF42B7" w:rsidR="00BF42B7" w:rsidRDefault="00BF42B7" w:rsidRPr="007F6AA8">
      <w:pPr>
        <w:ind w:right="333"/>
        <w:rPr>
          <w:rFonts w:ascii="Arial Narrow" w:hAnsi="Arial Narrow"/>
          <w:b/>
          <w:bCs/>
        </w:rPr>
      </w:pPr>
      <w:r w:rsidRPr="00463191">
        <w:rPr>
          <w:rFonts w:ascii="Arial Narrow" w:hAnsi="Arial Narrow"/>
          <w:b/>
          <w:bCs/>
          <w:u w:val="single"/>
        </w:rPr>
        <w:t>Article 8</w:t>
      </w:r>
      <w:r w:rsidRPr="00463191">
        <w:rPr>
          <w:rFonts w:ascii="Arial Narrow" w:hAnsi="Arial Narrow"/>
          <w:b/>
          <w:bCs/>
        </w:rPr>
        <w:t xml:space="preserve"> - Dispositions relatives aux mesures habillage / déshabillage  </w:t>
      </w:r>
    </w:p>
    <w:p w14:paraId="11945CFB" w14:textId="40F4F207" w:rsidP="00BF42B7" w:rsidR="00BF42B7" w:rsidRDefault="00BF42B7" w:rsidRPr="00463191">
      <w:pPr>
        <w:ind w:right="333"/>
        <w:rPr>
          <w:rFonts w:ascii="Arial Narrow" w:hAnsi="Arial Narrow"/>
        </w:rPr>
      </w:pPr>
      <w:r w:rsidRPr="00463191">
        <w:rPr>
          <w:rFonts w:ascii="Arial Narrow" w:hAnsi="Arial Narrow"/>
        </w:rPr>
        <w:t xml:space="preserve">A titre exceptionnel, les parties conviennent, au titre des années 2022 et 2023, par dérogation aux dispositions en vigueur sur le site, de porter à 5 jours le paiement possible des jours d’habillage actuellement limité à 3 jours maximum. </w:t>
      </w:r>
    </w:p>
    <w:p w14:paraId="6CE67A60" w14:textId="1C261FBB" w:rsidP="00BF42B7" w:rsidR="00BF42B7" w:rsidRDefault="00BF42B7" w:rsidRPr="00463191">
      <w:pPr>
        <w:ind w:right="333"/>
        <w:rPr>
          <w:rFonts w:ascii="Arial Narrow" w:hAnsi="Arial Narrow"/>
        </w:rPr>
      </w:pPr>
      <w:r w:rsidRPr="00463191">
        <w:rPr>
          <w:rFonts w:ascii="Arial Narrow" w:hAnsi="Arial Narrow"/>
        </w:rPr>
        <w:t>Cette dérogation n’a pas vocation à remettre en cause de manière pérenne les modalités actuelles de gestion des jours d’habillage / déshabillage.</w:t>
      </w:r>
    </w:p>
    <w:p w14:paraId="32246461" w14:textId="1B212EE3" w:rsidP="00BF42B7" w:rsidR="00BF42B7" w:rsidRDefault="00BF42B7" w:rsidRPr="007F6AA8">
      <w:pPr>
        <w:ind w:right="333"/>
        <w:rPr>
          <w:rFonts w:ascii="Arial Narrow" w:hAnsi="Arial Narrow"/>
          <w:b/>
          <w:bCs/>
        </w:rPr>
      </w:pPr>
      <w:r w:rsidRPr="00463191">
        <w:rPr>
          <w:rFonts w:ascii="Arial Narrow" w:hAnsi="Arial Narrow"/>
          <w:b/>
          <w:bCs/>
          <w:u w:val="single"/>
        </w:rPr>
        <w:t>Article 9</w:t>
      </w:r>
      <w:r w:rsidRPr="00463191">
        <w:rPr>
          <w:rFonts w:ascii="Arial Narrow" w:hAnsi="Arial Narrow"/>
          <w:b/>
          <w:bCs/>
        </w:rPr>
        <w:t xml:space="preserve"> - Bilan de prévention santé CCP</w:t>
      </w:r>
    </w:p>
    <w:p w14:paraId="59CB5216" w14:textId="3DAE3F4D" w:rsidP="00BF42B7" w:rsidR="00BF42B7" w:rsidRDefault="00BF42B7" w:rsidRPr="00463191">
      <w:pPr>
        <w:ind w:right="333"/>
        <w:rPr>
          <w:rFonts w:ascii="Arial Narrow" w:hAnsi="Arial Narrow"/>
        </w:rPr>
      </w:pPr>
      <w:r w:rsidRPr="00463191">
        <w:rPr>
          <w:rFonts w:ascii="Arial Narrow" w:hAnsi="Arial Narrow"/>
        </w:rPr>
        <w:t>Les parties conviennent de mettre en place en 2023 un “bilan de prévention santé” réalisé dans un centre de prévention. La durée prévisionnelle de ce bilan serait fixée à 2 heures.</w:t>
      </w:r>
    </w:p>
    <w:p w14:paraId="239B032D" w14:textId="72B7D925" w:rsidP="00BF42B7" w:rsidR="00BF42B7" w:rsidRDefault="00BF42B7" w:rsidRPr="00463191">
      <w:pPr>
        <w:ind w:right="333"/>
        <w:rPr>
          <w:rFonts w:ascii="Arial Narrow" w:hAnsi="Arial Narrow"/>
        </w:rPr>
      </w:pPr>
      <w:r w:rsidRPr="00463191">
        <w:rPr>
          <w:rFonts w:ascii="Arial Narrow" w:hAnsi="Arial Narrow"/>
        </w:rPr>
        <w:t>Le dispositif bénéficiera à l’ensemble des salariés âgés de plus de 50 ans en 2023.</w:t>
      </w:r>
    </w:p>
    <w:p w14:paraId="0CD5A42D" w14:textId="77777777" w:rsidP="00BF42B7" w:rsidR="00BF42B7" w:rsidRDefault="00BF42B7" w:rsidRPr="00463191">
      <w:pPr>
        <w:spacing w:line="259" w:lineRule="auto"/>
        <w:ind w:right="333"/>
        <w:rPr>
          <w:rFonts w:ascii="Arial Narrow" w:hAnsi="Arial Narrow"/>
        </w:rPr>
      </w:pPr>
      <w:r w:rsidRPr="00463191">
        <w:rPr>
          <w:rFonts w:ascii="Arial Narrow" w:hAnsi="Arial Narrow"/>
        </w:rPr>
        <w:t>Les modalités d’organisation seront communiquées par note interne et présentées préalablement au Comité Social Economique.</w:t>
      </w:r>
    </w:p>
    <w:p w14:paraId="7B08091E" w14:textId="77777777" w:rsidP="00BF42B7" w:rsidR="00BF42B7" w:rsidRDefault="00BF42B7" w:rsidRPr="00463191">
      <w:pPr>
        <w:ind w:right="333"/>
        <w:rPr>
          <w:rFonts w:ascii="Arial Narrow" w:hAnsi="Arial Narrow"/>
        </w:rPr>
      </w:pPr>
    </w:p>
    <w:p w14:paraId="7E52BBA1" w14:textId="77777777" w:rsidP="00BF42B7" w:rsidR="00BF42B7" w:rsidRDefault="00BF42B7" w:rsidRPr="00463191">
      <w:pPr>
        <w:ind w:right="333"/>
        <w:rPr>
          <w:rFonts w:ascii="Arial Narrow" w:hAnsi="Arial Narrow"/>
          <w:b/>
          <w:bCs/>
        </w:rPr>
      </w:pPr>
      <w:r w:rsidRPr="00463191">
        <w:rPr>
          <w:rFonts w:ascii="Arial Narrow" w:hAnsi="Arial Narrow"/>
          <w:b/>
          <w:bCs/>
          <w:u w:val="single"/>
        </w:rPr>
        <w:t xml:space="preserve">Article 10 </w:t>
      </w:r>
      <w:r w:rsidRPr="00463191">
        <w:rPr>
          <w:rFonts w:ascii="Arial Narrow" w:hAnsi="Arial Narrow"/>
          <w:b/>
          <w:bCs/>
        </w:rPr>
        <w:t>- Qualité de Vie et Conditions de Travail (QVCT)</w:t>
      </w:r>
    </w:p>
    <w:p w14:paraId="46F519E1" w14:textId="77777777" w:rsidP="00BF42B7" w:rsidR="00BF42B7" w:rsidRDefault="00BF42B7" w:rsidRPr="00463191">
      <w:pPr>
        <w:ind w:right="333"/>
        <w:rPr>
          <w:rFonts w:ascii="Arial Narrow" w:hAnsi="Arial Narrow"/>
          <w:b/>
          <w:bCs/>
        </w:rPr>
      </w:pPr>
    </w:p>
    <w:p w14:paraId="43EEB976" w14:textId="77777777" w:rsidP="00BF42B7" w:rsidR="00BF42B7" w:rsidRDefault="00BF42B7" w:rsidRPr="00463191">
      <w:pPr>
        <w:ind w:right="333"/>
        <w:rPr>
          <w:rFonts w:ascii="Arial Narrow" w:hAnsi="Arial Narrow"/>
        </w:rPr>
      </w:pPr>
      <w:r w:rsidRPr="00463191">
        <w:rPr>
          <w:rFonts w:ascii="Arial Narrow" w:hAnsi="Arial Narrow"/>
        </w:rPr>
        <w:t xml:space="preserve">Les parties conviennent d’ouvrir : </w:t>
      </w:r>
    </w:p>
    <w:p w14:paraId="384DACD9" w14:textId="77777777" w:rsidP="00BF42B7" w:rsidR="00BF42B7" w:rsidRDefault="00BF42B7" w:rsidRPr="00463191">
      <w:pPr>
        <w:pStyle w:val="Paragraphedeliste"/>
        <w:numPr>
          <w:ilvl w:val="0"/>
          <w:numId w:val="1"/>
        </w:numPr>
        <w:ind w:right="333"/>
        <w:jc w:val="both"/>
        <w:rPr>
          <w:rFonts w:ascii="Arial Narrow" w:hAnsi="Arial Narrow"/>
          <w:lang w:val="fr-FR"/>
        </w:rPr>
      </w:pPr>
      <w:r w:rsidRPr="00463191">
        <w:rPr>
          <w:rFonts w:ascii="Arial Narrow" w:hAnsi="Arial Narrow"/>
          <w:lang w:val="fr-FR"/>
        </w:rPr>
        <w:t xml:space="preserve">au premier trimestre 2023, des négociations relatives à un accord Qualité de Vie Conditions de Travail </w:t>
      </w:r>
    </w:p>
    <w:p w14:paraId="16ECD787" w14:textId="77777777" w:rsidP="00BF42B7" w:rsidR="00BF42B7" w:rsidRDefault="00BF42B7" w:rsidRPr="00463191">
      <w:pPr>
        <w:pStyle w:val="Paragraphedeliste"/>
        <w:numPr>
          <w:ilvl w:val="0"/>
          <w:numId w:val="1"/>
        </w:numPr>
        <w:ind w:right="333"/>
        <w:jc w:val="both"/>
        <w:rPr>
          <w:rFonts w:ascii="Arial Narrow" w:hAnsi="Arial Narrow"/>
          <w:lang w:val="fr-FR"/>
        </w:rPr>
      </w:pPr>
      <w:r w:rsidRPr="00463191">
        <w:rPr>
          <w:rFonts w:ascii="Arial Narrow" w:hAnsi="Arial Narrow"/>
          <w:lang w:val="fr-FR"/>
        </w:rPr>
        <w:t>au deuxième trimestre 2023, des négociations sur le télétravail.</w:t>
      </w:r>
    </w:p>
    <w:p w14:paraId="17150F97" w14:textId="77777777" w:rsidP="00BF42B7" w:rsidR="00BF42B7" w:rsidRDefault="00BF42B7" w:rsidRPr="00463191">
      <w:pPr>
        <w:ind w:right="333"/>
        <w:rPr>
          <w:rFonts w:ascii="Arial Narrow" w:hAnsi="Arial Narrow"/>
        </w:rPr>
      </w:pPr>
    </w:p>
    <w:p w14:paraId="1E03DA84" w14:textId="77777777" w:rsidP="00BF42B7" w:rsidR="00BF42B7" w:rsidRDefault="00BF42B7" w:rsidRPr="00463191">
      <w:pPr>
        <w:spacing w:after="240" w:before="240"/>
        <w:ind w:right="333"/>
        <w:rPr>
          <w:rFonts w:ascii="Arial Narrow" w:hAnsi="Arial Narrow"/>
          <w:b/>
          <w:bCs/>
          <w:sz w:val="28"/>
          <w:szCs w:val="28"/>
        </w:rPr>
      </w:pPr>
      <w:r w:rsidRPr="00463191">
        <w:rPr>
          <w:rFonts w:ascii="Arial Narrow" w:hAnsi="Arial Narrow"/>
          <w:b/>
          <w:bCs/>
          <w:sz w:val="28"/>
          <w:szCs w:val="28"/>
        </w:rPr>
        <w:t>Titre 4 – Dispositions terminales</w:t>
      </w:r>
    </w:p>
    <w:p w14:paraId="58CAB39F" w14:textId="73F420F4" w:rsidP="00BF42B7" w:rsidR="00BF42B7" w:rsidRDefault="00BF42B7" w:rsidRPr="007F6AA8">
      <w:pPr>
        <w:ind w:right="333"/>
        <w:rPr>
          <w:rFonts w:ascii="Arial Narrow" w:hAnsi="Arial Narrow"/>
          <w:b/>
          <w:bCs/>
        </w:rPr>
      </w:pPr>
      <w:r w:rsidRPr="00463191">
        <w:rPr>
          <w:rFonts w:ascii="Arial Narrow" w:hAnsi="Arial Narrow"/>
          <w:b/>
          <w:bCs/>
          <w:u w:val="single"/>
        </w:rPr>
        <w:t>Article 11</w:t>
      </w:r>
      <w:r w:rsidRPr="00463191">
        <w:rPr>
          <w:rFonts w:ascii="Arial Narrow" w:hAnsi="Arial Narrow"/>
          <w:b/>
          <w:bCs/>
        </w:rPr>
        <w:t xml:space="preserve"> - Durée de l’accord</w:t>
      </w:r>
    </w:p>
    <w:p w14:paraId="54949C8E" w14:textId="0975DA61" w:rsidP="00BF42B7" w:rsidR="00BF42B7" w:rsidRDefault="00BF42B7" w:rsidRPr="00463191">
      <w:pPr>
        <w:ind w:right="333"/>
        <w:rPr>
          <w:rFonts w:ascii="Arial Narrow" w:hAnsi="Arial Narrow"/>
        </w:rPr>
      </w:pPr>
      <w:r w:rsidRPr="00463191">
        <w:rPr>
          <w:rFonts w:ascii="Arial Narrow" w:hAnsi="Arial Narrow"/>
        </w:rPr>
        <w:t>Le présent accord est conclu pour une durée déterminée d’un (1) an dans le cadre de la négociation sur la rémunération, le temps de travail et le partage de la valeur ajoutée pour 2023. Il cessera donc automatiquement de s’appliquer au 31 décembre 2023.</w:t>
      </w:r>
    </w:p>
    <w:p w14:paraId="0C1296F6" w14:textId="36263619" w:rsidP="00BF42B7" w:rsidR="00BF42B7" w:rsidRDefault="00BF42B7" w:rsidRPr="00463191">
      <w:pPr>
        <w:ind w:right="333"/>
        <w:rPr>
          <w:rFonts w:ascii="Arial Narrow" w:hAnsi="Arial Narrow"/>
        </w:rPr>
      </w:pPr>
      <w:r w:rsidRPr="00463191">
        <w:rPr>
          <w:rFonts w:ascii="Arial Narrow" w:hAnsi="Arial Narrow"/>
        </w:rPr>
        <w:t xml:space="preserve">Les durées d’application des différentes mesures qu’il prévoit figurent dans les articles ci-dessus. </w:t>
      </w:r>
    </w:p>
    <w:p w14:paraId="7659F553" w14:textId="78485DD7" w:rsidP="00BF42B7" w:rsidR="00BF42B7" w:rsidRDefault="00BF42B7" w:rsidRPr="007F6AA8">
      <w:pPr>
        <w:ind w:right="333"/>
        <w:rPr>
          <w:rFonts w:ascii="Arial Narrow" w:hAnsi="Arial Narrow"/>
          <w:b/>
          <w:bCs/>
        </w:rPr>
      </w:pPr>
      <w:r w:rsidRPr="00463191">
        <w:rPr>
          <w:rFonts w:ascii="Arial Narrow" w:hAnsi="Arial Narrow"/>
          <w:b/>
          <w:bCs/>
          <w:u w:val="single"/>
        </w:rPr>
        <w:t xml:space="preserve">Article 12 </w:t>
      </w:r>
      <w:r w:rsidRPr="00463191">
        <w:rPr>
          <w:rFonts w:ascii="Arial Narrow" w:hAnsi="Arial Narrow"/>
          <w:b/>
          <w:bCs/>
        </w:rPr>
        <w:t>- Formalités de dépôt</w:t>
      </w:r>
    </w:p>
    <w:p w14:paraId="23559693" w14:textId="709DBDD8" w:rsidP="007F6AA8" w:rsidR="00BF42B7" w:rsidRDefault="00BF42B7" w:rsidRPr="00463191">
      <w:pPr>
        <w:spacing w:line="280" w:lineRule="atLeast"/>
        <w:ind w:right="333"/>
        <w:rPr>
          <w:rFonts w:ascii="Arial Narrow" w:hAnsi="Arial Narrow"/>
        </w:rPr>
      </w:pPr>
      <w:r w:rsidRPr="00463191">
        <w:rPr>
          <w:rFonts w:ascii="Arial Narrow" w:hAnsi="Arial Narrow"/>
        </w:rPr>
        <w:t>Le présent accord sera notifié par la Direction à l’ensemble des organisations syndicales représentatives de l’Entreprise ; elle procèdera également aux formalités légales de dépôt et d’enregistrement.</w:t>
      </w:r>
    </w:p>
    <w:p w14:paraId="257E4984" w14:textId="77777777" w:rsidP="00BF42B7" w:rsidR="00BF42B7" w:rsidRDefault="00BF42B7" w:rsidRPr="00463191">
      <w:pPr>
        <w:ind w:right="333"/>
        <w:rPr>
          <w:rFonts w:ascii="Arial Narrow" w:hAnsi="Arial Narrow"/>
          <w:bCs/>
        </w:rPr>
      </w:pPr>
    </w:p>
    <w:p w14:paraId="6960E940" w14:textId="5A300A7D" w:rsidP="00BF42B7" w:rsidR="00BF42B7" w:rsidRDefault="00BF42B7" w:rsidRPr="00463191">
      <w:pPr>
        <w:ind w:right="333"/>
        <w:rPr>
          <w:rFonts w:ascii="Arial Narrow" w:hAnsi="Arial Narrow"/>
        </w:rPr>
      </w:pPr>
      <w:r w:rsidRPr="00463191">
        <w:rPr>
          <w:rFonts w:ascii="Arial Narrow" w:hAnsi="Arial Narrow"/>
        </w:rPr>
        <w:t>Fait à Socx, le lundi 21 novembre 2022, en 8 exemplaires originaux, dont 1 sera remis à chacune des organisations signataires.</w:t>
      </w:r>
    </w:p>
    <w:p w14:paraId="6A23CD41" w14:textId="55D05CBA" w:rsidP="00BF42B7" w:rsidR="00BF42B7" w:rsidRDefault="00BF42B7" w:rsidRPr="007F6AA8">
      <w:pPr>
        <w:ind w:right="333"/>
        <w:rPr>
          <w:rFonts w:ascii="Arial Narrow" w:hAnsi="Arial Narrow"/>
          <w:b/>
          <w:bCs/>
        </w:rPr>
      </w:pPr>
      <w:r w:rsidRPr="00463191">
        <w:rPr>
          <w:rFonts w:ascii="Arial Narrow" w:hAnsi="Arial Narrow"/>
          <w:b/>
          <w:bCs/>
        </w:rPr>
        <w:t xml:space="preserve">Pour CCP France, </w:t>
      </w:r>
    </w:p>
    <w:p w14:paraId="380550BD" w14:textId="7F6C2513" w:rsidP="00BF42B7" w:rsidR="007F6AA8" w:rsidRDefault="00330C2A">
      <w:pPr>
        <w:ind w:right="333"/>
        <w:rPr>
          <w:rFonts w:ascii="Arial Narrow" w:hAnsi="Arial Narrow"/>
        </w:rPr>
      </w:pPr>
      <w:r>
        <w:rPr>
          <w:rFonts w:ascii="Arial Narrow" w:hAnsi="Arial Narrow"/>
        </w:rPr>
        <w:t>#######</w:t>
      </w:r>
    </w:p>
    <w:p w14:paraId="2EF27F80" w14:textId="77777777" w:rsidP="00BF42B7" w:rsidR="007F6AA8" w:rsidRDefault="007F6AA8" w:rsidRPr="00463191">
      <w:pPr>
        <w:ind w:right="333"/>
        <w:rPr>
          <w:rFonts w:ascii="Arial Narrow" w:hAnsi="Arial Narrow"/>
        </w:rPr>
      </w:pPr>
    </w:p>
    <w:p w14:paraId="49836125" w14:textId="77777777" w:rsidP="00BF42B7" w:rsidR="00BF42B7" w:rsidRDefault="00BF42B7" w:rsidRPr="00463191">
      <w:pPr>
        <w:ind w:right="333"/>
        <w:rPr>
          <w:rFonts w:ascii="Arial Narrow" w:hAnsi="Arial Narrow"/>
        </w:rPr>
      </w:pPr>
    </w:p>
    <w:p w14:paraId="6E2162C0" w14:textId="415225DE" w:rsidP="00BF42B7" w:rsidR="00BF42B7" w:rsidRDefault="00BF42B7" w:rsidRPr="007F6AA8">
      <w:pPr>
        <w:ind w:right="333"/>
        <w:rPr>
          <w:rFonts w:ascii="Arial Narrow" w:hAnsi="Arial Narrow"/>
          <w:b/>
          <w:bCs/>
        </w:rPr>
      </w:pPr>
      <w:r w:rsidRPr="00463191">
        <w:rPr>
          <w:rFonts w:ascii="Arial Narrow" w:hAnsi="Arial Narrow"/>
          <w:b/>
          <w:bCs/>
        </w:rPr>
        <w:t>Pour les organisations syndicales représentatives</w:t>
      </w:r>
    </w:p>
    <w:tbl>
      <w:tblPr>
        <w:tblW w:type="auto" w:w="0"/>
        <w:tblLook w:firstColumn="1" w:firstRow="1" w:lastColumn="0" w:lastRow="0" w:noHBand="0" w:noVBand="0" w:val="00A0"/>
      </w:tblPr>
      <w:tblGrid>
        <w:gridCol w:w="4510"/>
        <w:gridCol w:w="4516"/>
      </w:tblGrid>
      <w:tr w14:paraId="3809E339" w14:textId="77777777" w:rsidR="00BF42B7" w:rsidRPr="00463191" w:rsidTr="00EA4A53">
        <w:tc>
          <w:tcPr>
            <w:tcW w:type="dxa" w:w="4889"/>
          </w:tcPr>
          <w:p w14:paraId="11D66294" w14:textId="77777777" w:rsidP="00EA4A53" w:rsidR="00BF42B7" w:rsidRDefault="00BF42B7" w:rsidRPr="00463191">
            <w:pPr>
              <w:ind w:right="333"/>
              <w:rPr>
                <w:rFonts w:ascii="Arial Narrow" w:hAnsi="Arial Narrow"/>
              </w:rPr>
            </w:pPr>
            <w:r w:rsidRPr="00463191">
              <w:rPr>
                <w:rFonts w:ascii="Arial Narrow" w:hAnsi="Arial Narrow"/>
              </w:rPr>
              <w:t>CGT</w:t>
            </w:r>
          </w:p>
          <w:p w14:paraId="689080EF" w14:textId="4A032B61" w:rsidP="00EA4A53" w:rsidR="00BF42B7" w:rsidRDefault="00330C2A" w:rsidRPr="00463191">
            <w:pPr>
              <w:ind w:right="333"/>
              <w:rPr>
                <w:rFonts w:ascii="Arial Narrow" w:hAnsi="Arial Narrow"/>
              </w:rPr>
            </w:pPr>
            <w:r>
              <w:rPr>
                <w:rFonts w:ascii="Arial Narrow" w:hAnsi="Arial Narrow"/>
              </w:rPr>
              <w:t>#######</w:t>
            </w:r>
          </w:p>
        </w:tc>
        <w:tc>
          <w:tcPr>
            <w:tcW w:type="dxa" w:w="4889"/>
          </w:tcPr>
          <w:p w14:paraId="0AAF415F" w14:textId="77777777" w:rsidP="00EA4A53" w:rsidR="00BF42B7" w:rsidRDefault="00BF42B7" w:rsidRPr="00463191">
            <w:pPr>
              <w:ind w:right="333"/>
              <w:rPr>
                <w:rFonts w:ascii="Arial Narrow" w:hAnsi="Arial Narrow"/>
              </w:rPr>
            </w:pPr>
            <w:r w:rsidRPr="00463191">
              <w:rPr>
                <w:rFonts w:ascii="Arial Narrow" w:hAnsi="Arial Narrow"/>
              </w:rPr>
              <w:t>CFE-CGC</w:t>
            </w:r>
          </w:p>
          <w:p w14:paraId="006B8640" w14:textId="0F51EF86" w:rsidP="00EA4A53" w:rsidR="00BF42B7" w:rsidRDefault="00330C2A" w:rsidRPr="00463191">
            <w:pPr>
              <w:ind w:right="333"/>
              <w:rPr>
                <w:rFonts w:ascii="Arial Narrow" w:hAnsi="Arial Narrow"/>
              </w:rPr>
            </w:pPr>
            <w:r>
              <w:rPr>
                <w:rFonts w:ascii="Arial Narrow" w:hAnsi="Arial Narrow"/>
              </w:rPr>
              <w:t>#######</w:t>
            </w:r>
            <w:r w:rsidR="00BF42B7" w:rsidRPr="00463191">
              <w:rPr>
                <w:rFonts w:ascii="Arial Narrow" w:hAnsi="Arial Narrow"/>
              </w:rPr>
              <w:t>,</w:t>
            </w:r>
          </w:p>
        </w:tc>
      </w:tr>
      <w:tr w14:paraId="52AEF1C9" w14:textId="77777777" w:rsidR="00BF42B7" w:rsidRPr="00463191" w:rsidTr="00EA4A53">
        <w:tc>
          <w:tcPr>
            <w:tcW w:type="dxa" w:w="4889"/>
          </w:tcPr>
          <w:p w14:paraId="6E5ECE5B" w14:textId="77777777" w:rsidP="00EA4A53" w:rsidR="00BF42B7" w:rsidRDefault="00BF42B7" w:rsidRPr="00463191">
            <w:pPr>
              <w:ind w:right="333"/>
              <w:rPr>
                <w:rFonts w:ascii="Arial Narrow" w:hAnsi="Arial Narrow"/>
              </w:rPr>
            </w:pPr>
          </w:p>
          <w:p w14:paraId="15E927F8" w14:textId="77777777" w:rsidP="00EA4A53" w:rsidR="00BF42B7" w:rsidRDefault="00BF42B7" w:rsidRPr="00463191">
            <w:pPr>
              <w:ind w:right="333"/>
              <w:rPr>
                <w:rFonts w:ascii="Arial Narrow" w:hAnsi="Arial Narrow"/>
              </w:rPr>
            </w:pPr>
          </w:p>
        </w:tc>
        <w:tc>
          <w:tcPr>
            <w:tcW w:type="dxa" w:w="4889"/>
          </w:tcPr>
          <w:p w14:paraId="2CAF0DBE" w14:textId="77777777" w:rsidP="00EA4A53" w:rsidR="00BF42B7" w:rsidRDefault="00BF42B7" w:rsidRPr="00463191">
            <w:pPr>
              <w:ind w:right="333"/>
              <w:rPr>
                <w:rFonts w:ascii="Arial Narrow" w:hAnsi="Arial Narrow"/>
              </w:rPr>
            </w:pPr>
          </w:p>
        </w:tc>
      </w:tr>
      <w:tr w14:paraId="2E7E24B7" w14:textId="77777777" w:rsidR="00BF42B7" w:rsidRPr="007A663F" w:rsidTr="00EA4A53">
        <w:tc>
          <w:tcPr>
            <w:tcW w:type="dxa" w:w="4889"/>
          </w:tcPr>
          <w:p w14:paraId="1C7E9BF7" w14:textId="77777777" w:rsidP="00EA4A53" w:rsidR="00BF42B7" w:rsidRDefault="00BF42B7" w:rsidRPr="00463191">
            <w:pPr>
              <w:ind w:right="333"/>
              <w:rPr>
                <w:rFonts w:ascii="Arial Narrow" w:hAnsi="Arial Narrow"/>
              </w:rPr>
            </w:pPr>
            <w:r w:rsidRPr="00463191">
              <w:rPr>
                <w:rFonts w:ascii="Arial Narrow" w:hAnsi="Arial Narrow"/>
              </w:rPr>
              <w:t>FGTA - FO</w:t>
            </w:r>
          </w:p>
          <w:p w14:paraId="40321471" w14:textId="2AB510B8" w:rsidP="00EA4A53" w:rsidR="00BF42B7" w:rsidRDefault="00330C2A" w:rsidRPr="003D282D">
            <w:pPr>
              <w:ind w:right="333"/>
              <w:rPr>
                <w:rFonts w:ascii="Arial Narrow" w:hAnsi="Arial Narrow"/>
              </w:rPr>
            </w:pPr>
            <w:r>
              <w:rPr>
                <w:rFonts w:ascii="Arial Narrow" w:hAnsi="Arial Narrow"/>
              </w:rPr>
              <w:t>#######</w:t>
            </w:r>
          </w:p>
        </w:tc>
        <w:tc>
          <w:tcPr>
            <w:tcW w:type="dxa" w:w="4889"/>
          </w:tcPr>
          <w:p w14:paraId="5C47185A" w14:textId="77777777" w:rsidP="00EA4A53" w:rsidR="00BF42B7" w:rsidRDefault="00BF42B7" w:rsidRPr="001C2DFF">
            <w:pPr>
              <w:ind w:right="333"/>
              <w:rPr>
                <w:rFonts w:ascii="Arial Narrow" w:hAnsi="Arial Narrow"/>
              </w:rPr>
            </w:pPr>
          </w:p>
        </w:tc>
      </w:tr>
      <w:tr w14:paraId="2B1FD137" w14:textId="77777777" w:rsidR="00BF42B7" w:rsidRPr="007A663F" w:rsidTr="00EA4A53">
        <w:tc>
          <w:tcPr>
            <w:tcW w:type="dxa" w:w="4889"/>
          </w:tcPr>
          <w:p w14:paraId="38534929" w14:textId="77777777" w:rsidP="00EA4A53" w:rsidR="00BF42B7" w:rsidRDefault="00BF42B7" w:rsidRPr="001C2DFF">
            <w:pPr>
              <w:ind w:right="333"/>
              <w:rPr>
                <w:rFonts w:ascii="Arial Narrow" w:hAnsi="Arial Narrow"/>
              </w:rPr>
            </w:pPr>
          </w:p>
          <w:p w14:paraId="6E2A8B13" w14:textId="77777777" w:rsidP="00EA4A53" w:rsidR="00BF42B7" w:rsidRDefault="00BF42B7" w:rsidRPr="001C2DFF">
            <w:pPr>
              <w:ind w:right="333"/>
              <w:rPr>
                <w:rFonts w:ascii="Arial Narrow" w:hAnsi="Arial Narrow"/>
              </w:rPr>
            </w:pPr>
          </w:p>
          <w:p w14:paraId="64B050C4" w14:textId="77777777" w:rsidP="00EA4A53" w:rsidR="00BF42B7" w:rsidRDefault="00BF42B7" w:rsidRPr="001C2DFF">
            <w:pPr>
              <w:ind w:right="333"/>
              <w:rPr>
                <w:rFonts w:ascii="Arial Narrow" w:hAnsi="Arial Narrow"/>
              </w:rPr>
            </w:pPr>
          </w:p>
        </w:tc>
        <w:tc>
          <w:tcPr>
            <w:tcW w:type="dxa" w:w="4889"/>
          </w:tcPr>
          <w:p w14:paraId="5B176237" w14:textId="77777777" w:rsidP="00EA4A53" w:rsidR="00BF42B7" w:rsidRDefault="00BF42B7" w:rsidRPr="001C2DFF">
            <w:pPr>
              <w:ind w:right="333"/>
              <w:rPr>
                <w:rFonts w:ascii="Arial Narrow" w:hAnsi="Arial Narrow"/>
              </w:rPr>
            </w:pPr>
          </w:p>
        </w:tc>
      </w:tr>
    </w:tbl>
    <w:p w14:paraId="26B75BBC" w14:textId="77777777" w:rsidP="007F6AA8" w:rsidR="0079241D" w:rsidRDefault="0079241D"/>
    <w:sectPr w:rsidR="0079241D">
      <w:headerReference r:id="rId7" w:type="even"/>
      <w:headerReference r:id="rId8" w:type="default"/>
      <w:footerReference r:id="rId9" w:type="even"/>
      <w:footerReference r:id="rId10" w:type="default"/>
      <w:headerReference r:id="rId11" w:type="first"/>
      <w:footerReference r:id="rId12" w:type="first"/>
      <w:pgSz w:h="16838" w:w="11906"/>
      <w:pgMar w:bottom="1440" w:footer="708" w:gutter="0" w:header="708" w:left="1440" w:right="1440" w:top="144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07972" w14:textId="77777777" w:rsidR="00855BC7" w:rsidRDefault="00855BC7" w:rsidP="006B3920">
      <w:pPr>
        <w:spacing w:after="0"/>
      </w:pPr>
      <w:r>
        <w:separator/>
      </w:r>
    </w:p>
  </w:endnote>
  <w:endnote w:type="continuationSeparator" w:id="0">
    <w:p w14:paraId="6849F343" w14:textId="77777777" w:rsidR="00855BC7" w:rsidRDefault="00855BC7" w:rsidP="006B39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0BFEA20" w14:textId="77777777" w:rsidR="00095A45" w:rsidRDefault="00095A45">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B1E7A08" w14:textId="36C3EFEA" w:rsidR="00E27F6A" w:rsidRDefault="00095A45">
    <w:pPr>
      <w:pStyle w:val="Pieddepage"/>
      <w:jc w:val="right"/>
    </w:pPr>
    <w:r>
      <w:rPr>
        <w:noProof/>
      </w:rPr>
      <mc:AlternateContent>
        <mc:Choice Requires="wps">
          <w:drawing>
            <wp:anchor allowOverlap="1" behindDoc="0" distB="0" distL="114300" distR="114300" distT="0" layoutInCell="0" locked="0" relativeHeight="251659264" simplePos="0" wp14:anchorId="15D7B934" wp14:editId="6EC957F2">
              <wp:simplePos x="0" y="0"/>
              <wp:positionH relativeFrom="page">
                <wp:posOffset>0</wp:posOffset>
              </wp:positionH>
              <wp:positionV relativeFrom="page">
                <wp:posOffset>10227945</wp:posOffset>
              </wp:positionV>
              <wp:extent cx="7560310" cy="273050"/>
              <wp:effectExtent b="12700" l="0" r="0" t="0"/>
              <wp:wrapNone/>
              <wp:docPr descr="{&quot;HashCode&quot;:1455167957,&quot;Height&quot;:841.0,&quot;Width&quot;:595.0,&quot;Placement&quot;:&quot;Footer&quot;,&quot;Index&quot;:&quot;Primary&quot;,&quot;Section&quot;:1,&quot;Top&quot;:0.0,&quot;Left&quot;:0.0}" id="1" name="MSIPCM312e40a88a7684a2faa962c6"/>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7847322" w14:textId="3E3AF6E4" w:rsidP="00095A45" w:rsidR="00095A45" w:rsidRDefault="00095A45" w:rsidRPr="00095A45">
                          <w:pPr>
                            <w:spacing w:after="0"/>
                            <w:jc w:val="center"/>
                            <w:rPr>
                              <w:rFonts w:ascii="Calibri" w:cs="Calibri" w:hAnsi="Calibri"/>
                              <w:color w:val="000000"/>
                              <w:sz w:val="20"/>
                            </w:rPr>
                          </w:pPr>
                          <w:r w:rsidRPr="00095A45">
                            <w:rPr>
                              <w:rFonts w:ascii="Calibri" w:cs="Calibri" w:hAnsi="Calibri"/>
                              <w:color w:val="000000"/>
                              <w:sz w:val="20"/>
                            </w:rPr>
                            <w:t xml:space="preserve">Classification - </w:t>
                          </w:r>
                          <w:proofErr w:type="spellStart"/>
                          <w:r w:rsidRPr="00095A45">
                            <w:rPr>
                              <w:rFonts w:ascii="Calibri" w:cs="Calibri" w:hAnsi="Calibri"/>
                              <w:color w:val="000000"/>
                              <w:sz w:val="20"/>
                            </w:rPr>
                            <w:t>Internal</w:t>
                          </w:r>
                          <w:proofErr w:type="spellEnd"/>
                        </w:p>
                      </w:txbxContent>
                    </wps:txbx>
                    <wps:bodyPr anchor="b" anchorCtr="0" bIns="0" compatLnSpc="1" forceAA="0" fromWordArt="0" horzOverflow="overflow" lIns="91440" numCol="1" rIns="91440" rot="0" rtlCol="0" spcCol="0" spcFirstLastPara="0" tIns="0" vert="horz" vertOverflow="overflow" wrap="square">
                      <a:prstTxWarp prst="textNoShape">
                        <a:avLst/>
                      </a:prstTxWarp>
                      <a:noAutofit/>
                    </wps:bodyPr>
                  </wps:wsp>
                </a:graphicData>
              </a:graphic>
            </wp:anchor>
          </w:drawing>
        </mc:Choice>
        <mc:Fallback>
          <w:pict>
            <v:shapetype coordsize="21600,21600" id="_x0000_t202" o:spt="202" path="m,l,21600r21600,l21600,xe" w14:anchorId="15D7B934">
              <v:stroke joinstyle="miter"/>
              <v:path gradientshapeok="t" o:connecttype="rect"/>
            </v:shapetype>
            <v:shape alt="{&quot;HashCode&quot;:1455167957,&quot;Height&quot;:841.0,&quot;Width&quot;:595.0,&quot;Placement&quot;:&quot;Footer&quot;,&quot;Index&quot;:&quot;Primary&quot;,&quot;Section&quot;:1,&quot;Top&quot;:0.0,&quot;Left&quot;:0.0}" filled="f" id="MSIPCM312e40a88a7684a2faa962c6"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jIMrxEwIAACQEAAAOAAAAZHJzL2Uyb0RvYy54bWysU99v2jAQfp+0/8Hy+0iAlnYRoWKtmCah thKd+mwcm0SyfZ5tSNhfv7MToOv2NO3Fudyd78f3fZ7fdVqRg3C+AVPS8SinRBgOVWN2Jf3+svp0 S4kPzFRMgRElPQpP7xYfP8xbW4gJ1KAq4QgWMb5obUnrEGyRZZ7XQjM/AisMBiU4zQL+ul1WOdZi da2ySZ7PshZcZR1w4T16H/ogXaT6UgoenqT0IhBVUpwtpNOlcxvPbDFnxc4xWzd8GIP9wxSaNQab nks9sMDI3jV/lNINd+BBhhEHnYGUDRdpB9xmnL/bZlMzK9IuCI63Z5j8/yvLHw8b++xI6L5AhwRG QFrrC4/OuE8nnY5fnJRgHCE8nmETXSAcnTfXs3w6xhDH2ORmml8nXLPLbet8+CpAk2iU1CEtCS12 WPuAHTH1lBKbGVg1SiVqlCFtSWdTLPlbBG8ogxcvs0YrdNtuWGAL1RH3ctBT7i1fNdh8zXx4Zg45 xnlRt+EJD6kAm8BgUVKD+/k3f8xH6DFKSYuaKan/sWdOUKK+GSTl8/jqKoos/aDh3nq3J6/Z63tA OY7xZViezJgb1MmUDvQrynoZu2GIGY49S7o9mfehVzA+Cy6Wy5SEcrIsrM3G8lg6ghUhfelembMD 7gEZe4STqljxDv4+t4d5uQ8gm8RNBLZHc8AbpZgoG55N1Prb/5R1edyLXwAAAP//AwBQSwMEFAAG AAgAAAAhAJ/VQezfAAAACwEAAA8AAABkcnMvZG93bnJldi54bWxMj81OwzAQhO9IfQdrkbhROwVS GuJUCMQFCVUtiLMTb36aeB3Fbpu8Pc6JHndmNPtNuh1Nx844uMaShGgpgCEVVjdUSfj5/rh/Bua8 Iq06SyhhQgfbbHGTqkTbC+3xfPAVCyXkEiWh9r5POHdFjUa5pe2RglfawSgfzqHielCXUG46vhIi 5kY1FD7Uqse3Gov2cDISHnebvOTH1hy/ps9patry9z0vpby7HV9fgHkc/X8YZvyADllgyu2JtGOd hDDEBzWOxBrY7EcbEQPLZ+3pYQ08S/n1huwPAAD//wMAUEsBAi0AFAAGAAgAAAAhALaDOJL+AAAA 4QEAABMAAAAAAAAAAAAAAAAAAAAAAFtDb250ZW50X1R5cGVzXS54bWxQSwECLQAUAAYACAAAACEA OP0h/9YAAACUAQAACwAAAAAAAAAAAAAAAAAvAQAAX3JlbHMvLnJlbHNQSwECLQAUAAYACAAAACEA 4yDK8RMCAAAkBAAADgAAAAAAAAAAAAAAAAAuAgAAZHJzL2Uyb0RvYy54bWxQSwECLQAUAAYACAAA ACEAn9VB7N8AAAALAQAADwAAAAAAAAAAAAAAAABtBAAAZHJzL2Rvd25yZXYueG1sUEsFBgAAAAAE AAQA8wAAAHkFAAAAAA== " o:spid="_x0000_s1026" stroked="f" strokeweight=".5pt" style="position:absolute;left:0;text-align:left;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type="#_x0000_t202">
              <v:fill o:detectmouseclick="t"/>
              <v:textbox inset=",0,,0">
                <w:txbxContent>
                  <w:p w14:paraId="27847322" w14:textId="3E3AF6E4" w:rsidP="00095A45" w:rsidR="00095A45" w:rsidRDefault="00095A45" w:rsidRPr="00095A45">
                    <w:pPr>
                      <w:spacing w:after="0"/>
                      <w:jc w:val="center"/>
                      <w:rPr>
                        <w:rFonts w:ascii="Calibri" w:cs="Calibri" w:hAnsi="Calibri"/>
                        <w:color w:val="000000"/>
                        <w:sz w:val="20"/>
                      </w:rPr>
                    </w:pPr>
                    <w:r w:rsidRPr="00095A45">
                      <w:rPr>
                        <w:rFonts w:ascii="Calibri" w:cs="Calibri" w:hAnsi="Calibri"/>
                        <w:color w:val="000000"/>
                        <w:sz w:val="20"/>
                      </w:rPr>
                      <w:t xml:space="preserve">Classification - </w:t>
                    </w:r>
                    <w:proofErr w:type="spellStart"/>
                    <w:r w:rsidRPr="00095A45">
                      <w:rPr>
                        <w:rFonts w:ascii="Calibri" w:cs="Calibri" w:hAnsi="Calibri"/>
                        <w:color w:val="000000"/>
                        <w:sz w:val="20"/>
                      </w:rPr>
                      <w:t>Internal</w:t>
                    </w:r>
                    <w:proofErr w:type="spellEnd"/>
                  </w:p>
                </w:txbxContent>
              </v:textbox>
              <w10:wrap anchorx="page" anchory="page"/>
            </v:shape>
          </w:pict>
        </mc:Fallback>
      </mc:AlternateContent>
    </w:r>
    <w:sdt>
      <w:sdtPr>
        <w:id w:val="-1162923195"/>
        <w:docPartObj>
          <w:docPartGallery w:val="Page Numbers (Bottom of Page)"/>
          <w:docPartUnique/>
        </w:docPartObj>
      </w:sdtPr>
      <w:sdtEndPr/>
      <w:sdtContent>
        <w:r w:rsidR="00E27F6A">
          <w:fldChar w:fldCharType="begin"/>
        </w:r>
        <w:r w:rsidR="00E27F6A">
          <w:instrText>PAGE   \* MERGEFORMAT</w:instrText>
        </w:r>
        <w:r w:rsidR="00E27F6A">
          <w:fldChar w:fldCharType="separate"/>
        </w:r>
        <w:r w:rsidR="00E27F6A">
          <w:rPr>
            <w:lang w:val="fr-FR"/>
          </w:rPr>
          <w:t>2</w:t>
        </w:r>
        <w:r w:rsidR="00E27F6A">
          <w:fldChar w:fldCharType="end"/>
        </w:r>
      </w:sdtContent>
    </w:sdt>
  </w:p>
  <w:p w14:paraId="52D51BF9" w14:textId="02C8C447" w:rsidP="007608E6" w:rsidR="007608E6" w:rsidRDefault="00095A45" w:rsidRPr="00BE3174">
    <w:pPr>
      <w:pStyle w:val="Pieddepage"/>
      <w:jc w:val="center"/>
      <w:rPr>
        <w:rFonts w:ascii="Arial" w:cs="Arial" w:hAnsi="Arial"/>
        <w:sz w:val="14"/>
        <w:szCs w:val="14"/>
        <w:lang w:val="fr-FR"/>
      </w:rPr>
    </w:pP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1FD5C48" w14:textId="77777777" w:rsidR="00095A45" w:rsidRDefault="00095A45">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2D296910" w14:textId="77777777" w:rsidP="006B3920" w:rsidR="00855BC7" w:rsidRDefault="00855BC7">
      <w:pPr>
        <w:spacing w:after="0"/>
      </w:pPr>
      <w:r>
        <w:separator/>
      </w:r>
    </w:p>
  </w:footnote>
  <w:footnote w:id="0" w:type="continuationSeparator">
    <w:p w14:paraId="11FE0D40" w14:textId="77777777" w:rsidP="006B3920" w:rsidR="00855BC7" w:rsidRDefault="00855BC7">
      <w:pPr>
        <w:spacing w:after="0"/>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98B5D2E" w14:textId="77777777" w:rsidR="00095A45" w:rsidRDefault="00095A45">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W w:type="dxa" w:w="9612"/>
      <w:tblInd w:type="dxa" w:w="-792"/>
      <w:tblLook w:firstColumn="1" w:firstRow="1" w:lastColumn="1" w:lastRow="1" w:noHBand="0" w:noVBand="0" w:val="01E0"/>
    </w:tblPr>
    <w:tblGrid>
      <w:gridCol w:w="474"/>
      <w:gridCol w:w="9138"/>
    </w:tblGrid>
    <w:tr w14:paraId="1BBF8068" w14:textId="77777777" w:rsidR="007608E6" w:rsidTr="000D3787">
      <w:tc>
        <w:tcPr>
          <w:tcW w:type="dxa" w:w="474"/>
        </w:tcPr>
        <w:p w14:paraId="65856FC7" w14:textId="77777777" w:rsidP="007608E6" w:rsidR="007608E6" w:rsidRDefault="00095A45"/>
      </w:tc>
      <w:tc>
        <w:tcPr>
          <w:tcW w:type="dxa" w:w="9138"/>
        </w:tcPr>
        <w:p w14:paraId="4B1E171C" w14:textId="77777777" w:rsidP="00BE3174" w:rsidR="007608E6" w:rsidRDefault="00095A45" w:rsidRPr="00BE3174">
          <w:pPr>
            <w:tabs>
              <w:tab w:pos="4800" w:val="center"/>
            </w:tabs>
            <w:jc w:val="center"/>
            <w:rPr>
              <w:sz w:val="16"/>
              <w:szCs w:val="16"/>
            </w:rPr>
          </w:pPr>
        </w:p>
        <w:p w14:paraId="5C6963A3" w14:textId="77777777" w:rsidP="006C5500" w:rsidR="006C5500" w:rsidRDefault="006B3920" w:rsidRPr="00D919F3">
          <w:pPr>
            <w:jc w:val="center"/>
            <w:rPr>
              <w:rStyle w:val="CCPSA01"/>
              <w:rFonts w:cs="Arial"/>
            </w:rPr>
          </w:pPr>
          <w:r w:rsidRPr="00D919F3">
            <w:rPr>
              <w:rStyle w:val="CCPSA01"/>
              <w:rFonts w:cs="Arial"/>
            </w:rPr>
            <w:t>Coca</w:t>
          </w:r>
          <w:r w:rsidRPr="00D919F3">
            <w:rPr>
              <w:rStyle w:val="CCPSA01"/>
              <w:rFonts w:cs="Arial"/>
            </w:rPr>
            <w:noBreakHyphen/>
            <w:t>Cola Production</w:t>
          </w:r>
        </w:p>
        <w:p w14:paraId="52205595" w14:textId="77777777" w:rsidP="006C5500" w:rsidR="006C5500" w:rsidRDefault="006B3920">
          <w:pPr>
            <w:pStyle w:val="En-tte"/>
            <w:tabs>
              <w:tab w:pos="4513" w:val="clear"/>
              <w:tab w:pos="4500" w:val="center"/>
            </w:tabs>
            <w:ind w:left="-108"/>
            <w:jc w:val="center"/>
            <w:rPr>
              <w:rFonts w:ascii="Arial" w:cs="Arial" w:hAnsi="Arial"/>
              <w:color w:val="808080"/>
              <w:sz w:val="16"/>
              <w:szCs w:val="16"/>
              <w:lang w:val="fr-FR"/>
            </w:rPr>
          </w:pPr>
          <w:r>
            <w:rPr>
              <w:rFonts w:ascii="Arial" w:cs="Arial" w:hAnsi="Arial"/>
              <w:color w:val="808080"/>
              <w:sz w:val="16"/>
              <w:szCs w:val="16"/>
              <w:lang w:val="fr-FR"/>
            </w:rPr>
            <w:t>Coca-Cola Production SAS</w:t>
          </w:r>
        </w:p>
        <w:p w14:paraId="3D800826" w14:textId="77777777" w:rsidP="006C5500" w:rsidR="006C5500" w:rsidRDefault="006B3920">
          <w:pPr>
            <w:pStyle w:val="En-tte"/>
            <w:tabs>
              <w:tab w:pos="5400" w:val="center"/>
            </w:tabs>
            <w:ind w:left="-108"/>
            <w:jc w:val="center"/>
            <w:rPr>
              <w:rFonts w:ascii="Arial" w:cs="Arial" w:hAnsi="Arial"/>
              <w:color w:val="808080"/>
              <w:sz w:val="16"/>
              <w:szCs w:val="16"/>
              <w:lang w:val="fr-FR"/>
            </w:rPr>
          </w:pPr>
          <w:r>
            <w:rPr>
              <w:rFonts w:ascii="Arial" w:cs="Arial" w:hAnsi="Arial"/>
              <w:color w:val="808080"/>
              <w:sz w:val="16"/>
              <w:szCs w:val="16"/>
              <w:lang w:val="fr-FR"/>
            </w:rPr>
            <w:t>ZONE D’</w:t>
          </w:r>
          <w:r w:rsidRPr="009D2BBE">
            <w:rPr>
              <w:rFonts w:ascii="Arial" w:cs="Arial" w:hAnsi="Arial"/>
              <w:color w:val="808080"/>
              <w:sz w:val="16"/>
              <w:szCs w:val="16"/>
              <w:lang w:val="fr-FR"/>
            </w:rPr>
            <w:t>ENTREPRISES DE BERGUES</w:t>
          </w:r>
          <w:r>
            <w:rPr>
              <w:rFonts w:ascii="Arial" w:cs="Arial" w:hAnsi="Arial"/>
              <w:color w:val="808080"/>
              <w:sz w:val="16"/>
              <w:szCs w:val="16"/>
              <w:lang w:val="fr-FR"/>
            </w:rPr>
            <w:t xml:space="preserve"> -</w:t>
          </w:r>
          <w:r w:rsidRPr="009D2BBE">
            <w:rPr>
              <w:rFonts w:ascii="Arial" w:cs="Arial" w:hAnsi="Arial"/>
              <w:color w:val="808080"/>
              <w:sz w:val="16"/>
              <w:szCs w:val="16"/>
              <w:lang w:val="fr-FR"/>
            </w:rPr>
            <w:t xml:space="preserve"> 59380 SOCX </w:t>
          </w:r>
        </w:p>
        <w:p w14:paraId="73C57D88" w14:textId="77777777" w:rsidP="006C5500" w:rsidR="00BE3174" w:rsidRDefault="006B3920" w:rsidRPr="00BE3174">
          <w:pPr>
            <w:jc w:val="center"/>
            <w:rPr>
              <w:sz w:val="16"/>
              <w:szCs w:val="16"/>
            </w:rPr>
          </w:pPr>
          <w:r w:rsidRPr="0006671A">
            <w:rPr>
              <w:rFonts w:cs="Arial"/>
              <w:color w:val="808080"/>
              <w:sz w:val="16"/>
              <w:szCs w:val="16"/>
            </w:rPr>
            <w:t xml:space="preserve">TEL. : </w:t>
          </w:r>
          <w:r w:rsidRPr="009D2BBE">
            <w:rPr>
              <w:rFonts w:cs="Arial"/>
              <w:color w:val="808080"/>
              <w:sz w:val="16"/>
              <w:szCs w:val="16"/>
            </w:rPr>
            <w:t xml:space="preserve">03.28.22.69.00 </w:t>
          </w:r>
          <w:r w:rsidRPr="0006671A">
            <w:rPr>
              <w:rFonts w:cs="Arial"/>
              <w:color w:val="808080"/>
              <w:sz w:val="16"/>
              <w:szCs w:val="16"/>
            </w:rPr>
            <w:t xml:space="preserve">- FAX : </w:t>
          </w:r>
          <w:r w:rsidRPr="00B611CB">
            <w:rPr>
              <w:rFonts w:cs="Arial"/>
              <w:color w:val="808080"/>
              <w:sz w:val="16"/>
              <w:szCs w:val="16"/>
            </w:rPr>
            <w:t>03.28.68.27.23</w:t>
          </w:r>
        </w:p>
        <w:p w14:paraId="7A6DC18A" w14:textId="77777777" w:rsidP="00BE3174" w:rsidR="007608E6" w:rsidRDefault="006B3920" w:rsidRPr="007608E6">
          <w:pPr>
            <w:pStyle w:val="Sansinterligne"/>
            <w:rPr>
              <w:lang w:val="fr-FR"/>
            </w:rPr>
          </w:pPr>
          <w:r w:rsidRPr="007608E6">
            <w:rPr>
              <w:lang w:val="fr-FR"/>
            </w:rPr>
            <w:t>________________________________________________________________________________</w:t>
          </w:r>
        </w:p>
        <w:p w14:paraId="5FA6C424" w14:textId="77777777" w:rsidP="00BE3174" w:rsidR="007608E6" w:rsidRDefault="00095A45">
          <w:pPr>
            <w:pStyle w:val="En-tte"/>
            <w:tabs>
              <w:tab w:pos="5400" w:val="center"/>
            </w:tabs>
            <w:ind w:left="-108"/>
            <w:jc w:val="center"/>
          </w:pPr>
        </w:p>
      </w:tc>
    </w:tr>
  </w:tbl>
  <w:p w14:paraId="1CADDBC4" w14:textId="77777777" w:rsidP="00BB38A4" w:rsidR="007608E6" w:rsidRDefault="00095A45">
    <w:pPr>
      <w:pStyle w:val="En-tte"/>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9E3E403" w14:textId="77777777" w:rsidR="00095A45" w:rsidRDefault="00095A45">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4A416D3"/>
    <w:multiLevelType w:val="hybridMultilevel"/>
    <w:tmpl w:val="C09840CC"/>
    <w:lvl w:ilvl="0" w:tplc="04CAFBD4">
      <w:start w:val="10"/>
      <w:numFmt w:val="bullet"/>
      <w:lvlText w:val="-"/>
      <w:lvlJc w:val="left"/>
      <w:pPr>
        <w:ind w:hanging="360" w:left="720"/>
      </w:pPr>
      <w:rPr>
        <w:rFonts w:ascii="Times New Roman" w:cs="Times New Roman" w:eastAsia="MS Mincho"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94"/>
  <w:proofState w:spelling="clean"/>
  <w:defaultTabStop w:val="708"/>
  <w:hyphenationZone w:val="425"/>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25F"/>
    <w:rsid w:val="00095A45"/>
    <w:rsid w:val="000C1F3E"/>
    <w:rsid w:val="0010198C"/>
    <w:rsid w:val="00243777"/>
    <w:rsid w:val="002B1970"/>
    <w:rsid w:val="00330C2A"/>
    <w:rsid w:val="0040025F"/>
    <w:rsid w:val="005053C8"/>
    <w:rsid w:val="00534E68"/>
    <w:rsid w:val="005C4C2F"/>
    <w:rsid w:val="006B3920"/>
    <w:rsid w:val="0079241D"/>
    <w:rsid w:val="007F6AA8"/>
    <w:rsid w:val="00836D76"/>
    <w:rsid w:val="00855BC7"/>
    <w:rsid w:val="009F5B4C"/>
    <w:rsid w:val="00A26C66"/>
    <w:rsid w:val="00BF42B7"/>
    <w:rsid w:val="00D716F0"/>
    <w:rsid w:val="00D77EC1"/>
    <w:rsid w:val="00E27F6A"/>
    <w:rsid w:val="00FA79EA"/>
    <w:rsid w:val="00FF4A0A"/>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347C4582"/>
  <w15:chartTrackingRefBased/>
  <w15:docId w15:val="{1007312B-5341-4D37-AB52-11D7254F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40025F"/>
    <w:pPr>
      <w:spacing w:after="120" w:line="240" w:lineRule="auto"/>
      <w:jc w:val="both"/>
    </w:pPr>
    <w:rPr>
      <w:rFonts w:ascii="Arial" w:cs="Times New Roman" w:eastAsia="Times New Roman" w:hAnsi="Arial"/>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nhideWhenUsed/>
    <w:rsid w:val="0040025F"/>
    <w:pPr>
      <w:tabs>
        <w:tab w:pos="4513" w:val="center"/>
        <w:tab w:pos="9026" w:val="right"/>
      </w:tabs>
      <w:spacing w:after="0"/>
      <w:jc w:val="left"/>
    </w:pPr>
    <w:rPr>
      <w:rFonts w:asciiTheme="minorHAnsi" w:cstheme="minorBidi" w:eastAsiaTheme="minorHAnsi" w:hAnsiTheme="minorHAnsi"/>
      <w:szCs w:val="22"/>
      <w:lang w:val="en-GB"/>
    </w:rPr>
  </w:style>
  <w:style w:customStyle="1" w:styleId="En-tteCar" w:type="character">
    <w:name w:val="En-tête Car"/>
    <w:basedOn w:val="Policepardfaut"/>
    <w:link w:val="En-tte"/>
    <w:rsid w:val="0040025F"/>
    <w:rPr>
      <w:lang w:val="en-GB"/>
    </w:rPr>
  </w:style>
  <w:style w:styleId="Pieddepage" w:type="paragraph">
    <w:name w:val="footer"/>
    <w:basedOn w:val="Normal"/>
    <w:link w:val="PieddepageCar"/>
    <w:uiPriority w:val="99"/>
    <w:unhideWhenUsed/>
    <w:rsid w:val="0040025F"/>
    <w:pPr>
      <w:tabs>
        <w:tab w:pos="4513" w:val="center"/>
        <w:tab w:pos="9026" w:val="right"/>
      </w:tabs>
      <w:spacing w:after="0"/>
      <w:jc w:val="left"/>
    </w:pPr>
    <w:rPr>
      <w:rFonts w:asciiTheme="minorHAnsi" w:cstheme="minorBidi" w:eastAsiaTheme="minorHAnsi" w:hAnsiTheme="minorHAnsi"/>
      <w:szCs w:val="22"/>
      <w:lang w:val="en-GB"/>
    </w:rPr>
  </w:style>
  <w:style w:customStyle="1" w:styleId="PieddepageCar" w:type="character">
    <w:name w:val="Pied de page Car"/>
    <w:basedOn w:val="Policepardfaut"/>
    <w:link w:val="Pieddepage"/>
    <w:uiPriority w:val="99"/>
    <w:rsid w:val="0040025F"/>
    <w:rPr>
      <w:lang w:val="en-GB"/>
    </w:rPr>
  </w:style>
  <w:style w:styleId="Sansinterligne" w:type="paragraph">
    <w:name w:val="No Spacing"/>
    <w:uiPriority w:val="1"/>
    <w:qFormat/>
    <w:rsid w:val="0040025F"/>
    <w:pPr>
      <w:spacing w:after="0" w:line="240" w:lineRule="auto"/>
    </w:pPr>
    <w:rPr>
      <w:lang w:val="en-GB"/>
    </w:rPr>
  </w:style>
  <w:style w:customStyle="1" w:styleId="CCPSA01" w:type="character">
    <w:name w:val="CCPSA01"/>
    <w:rsid w:val="0040025F"/>
    <w:rPr>
      <w:rFonts w:ascii="Arial" w:hAnsi="Arial"/>
      <w:b/>
      <w:i/>
      <w:noProof/>
      <w:color w:val="FF0000"/>
      <w:spacing w:val="-30"/>
      <w:sz w:val="36"/>
    </w:rPr>
  </w:style>
  <w:style w:styleId="Retraitcorpsdetexte" w:type="paragraph">
    <w:name w:val="Body Text Indent"/>
    <w:basedOn w:val="Normal"/>
    <w:link w:val="RetraitcorpsdetexteCar"/>
    <w:uiPriority w:val="99"/>
    <w:semiHidden/>
    <w:unhideWhenUsed/>
    <w:rsid w:val="0040025F"/>
    <w:pPr>
      <w:spacing w:line="276" w:lineRule="auto"/>
      <w:ind w:left="283"/>
      <w:jc w:val="left"/>
    </w:pPr>
    <w:rPr>
      <w:rFonts w:asciiTheme="minorHAnsi" w:cstheme="minorBidi" w:eastAsiaTheme="minorHAnsi" w:hAnsiTheme="minorHAnsi"/>
      <w:szCs w:val="22"/>
    </w:rPr>
  </w:style>
  <w:style w:customStyle="1" w:styleId="RetraitcorpsdetexteCar" w:type="character">
    <w:name w:val="Retrait corps de texte Car"/>
    <w:basedOn w:val="Policepardfaut"/>
    <w:link w:val="Retraitcorpsdetexte"/>
    <w:uiPriority w:val="99"/>
    <w:semiHidden/>
    <w:rsid w:val="0040025F"/>
  </w:style>
  <w:style w:styleId="Paragraphedeliste" w:type="paragraph">
    <w:name w:val="List Paragraph"/>
    <w:basedOn w:val="Normal"/>
    <w:uiPriority w:val="34"/>
    <w:qFormat/>
    <w:rsid w:val="009F5B4C"/>
    <w:pPr>
      <w:spacing w:after="0"/>
      <w:ind w:left="720"/>
      <w:contextualSpacing/>
      <w:jc w:val="left"/>
    </w:pPr>
    <w:rPr>
      <w:rFonts w:ascii="Times New Roman" w:eastAsia="MS Mincho" w:hAnsi="Times New Roman"/>
      <w:sz w:val="24"/>
      <w:szCs w:val="24"/>
      <w:lang w:eastAsia="ja-JP"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2.xml" Type="http://schemas.openxmlformats.org/officeDocument/2006/relationships/footer"/><Relationship Id="rId11" Target="header3.xml" Type="http://schemas.openxmlformats.org/officeDocument/2006/relationships/header"/><Relationship Id="rId12" Target="footer3.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header2.xml" Type="http://schemas.openxmlformats.org/officeDocument/2006/relationships/header"/><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2087</Words>
  <Characters>11483</Characters>
  <Application>Microsoft Office Word</Application>
  <DocSecurity>0</DocSecurity>
  <Lines>95</Lines>
  <Paragraphs>27</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2022-11-21T14:13:00Z</dcterms:created>
  <cp:lastPrinted>2022-12-08T11:00:00Z</cp:lastPrinted>
  <dcterms:modified xsi:type="dcterms:W3CDTF">2022-12-08T11:00:00Z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8036b8ab-aa19-4aaf-ade5-e13533bd462a_Enabled" pid="2">
    <vt:lpwstr>true</vt:lpwstr>
  </property>
  <property fmtid="{D5CDD505-2E9C-101B-9397-08002B2CF9AE}" name="MSIP_Label_8036b8ab-aa19-4aaf-ade5-e13533bd462a_SetDate" pid="3">
    <vt:lpwstr>2022-12-08T11:00:57Z</vt:lpwstr>
  </property>
  <property fmtid="{D5CDD505-2E9C-101B-9397-08002B2CF9AE}" name="MSIP_Label_8036b8ab-aa19-4aaf-ade5-e13533bd462a_Method" pid="4">
    <vt:lpwstr>Standard</vt:lpwstr>
  </property>
  <property fmtid="{D5CDD505-2E9C-101B-9397-08002B2CF9AE}" name="MSIP_Label_8036b8ab-aa19-4aaf-ade5-e13533bd462a_Name" pid="5">
    <vt:lpwstr>Internal</vt:lpwstr>
  </property>
  <property fmtid="{D5CDD505-2E9C-101B-9397-08002B2CF9AE}" name="MSIP_Label_8036b8ab-aa19-4aaf-ade5-e13533bd462a_SiteId" pid="6">
    <vt:lpwstr>c3549632-51ee-40fe-b6ae-a69f3a6cc157</vt:lpwstr>
  </property>
  <property fmtid="{D5CDD505-2E9C-101B-9397-08002B2CF9AE}" name="MSIP_Label_8036b8ab-aa19-4aaf-ade5-e13533bd462a_ActionId" pid="7">
    <vt:lpwstr>9036dad2-55fb-4d80-b0e7-39dccf081614</vt:lpwstr>
  </property>
  <property fmtid="{D5CDD505-2E9C-101B-9397-08002B2CF9AE}" name="MSIP_Label_8036b8ab-aa19-4aaf-ade5-e13533bd462a_ContentBits" pid="8">
    <vt:lpwstr>2</vt:lpwstr>
  </property>
</Properties>
</file>