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E0E772A" w14:textId="77777777" w:rsidP="001E2BEB" w:rsidR="001E2BEB" w:rsidRDefault="001E2BEB">
      <w:pPr>
        <w:pStyle w:val="Sansinterligne"/>
      </w:pPr>
    </w:p>
    <w:p w14:paraId="767A8A9E" w14:textId="77777777" w:rsidP="001E2BEB" w:rsidR="001E2BEB" w:rsidRDefault="001E2BEB">
      <w:pPr>
        <w:pStyle w:val="Sansinterligne"/>
      </w:pPr>
    </w:p>
    <w:p w14:paraId="57262EDA" w14:textId="1466927D" w:rsidP="00692642" w:rsidR="00652733" w:rsidRDefault="00652733">
      <w:pPr>
        <w:pStyle w:val="Titre2"/>
      </w:pPr>
      <w:r>
        <w:t>ACCORD COLLECTIF D’ETABLISSEMENT</w:t>
      </w:r>
    </w:p>
    <w:p w14:paraId="44D2129E" w14:textId="037268AC" w:rsidP="00692642" w:rsidR="008F2119" w:rsidRDefault="008F2119">
      <w:pPr>
        <w:pStyle w:val="Titre2"/>
      </w:pPr>
      <w:r>
        <w:t>NÉGOCIATION ANNUELLE OBLIGATOIRE</w:t>
      </w:r>
      <w:r w:rsidR="005C488E">
        <w:t xml:space="preserve"> - 2022</w:t>
      </w:r>
    </w:p>
    <w:p w14:paraId="513B9D67" w14:textId="77777777" w:rsidP="00692642" w:rsidR="00692642" w:rsidRDefault="00692642">
      <w:pPr>
        <w:pStyle w:val="Sansinterligne"/>
      </w:pPr>
    </w:p>
    <w:p w14:paraId="6BB0D047" w14:textId="77777777" w:rsidP="00692642" w:rsidR="00692642" w:rsidRDefault="00692642" w:rsidRPr="00692642">
      <w:pPr>
        <w:pStyle w:val="Sansinterligne"/>
        <w:rPr>
          <w:u w:val="single"/>
        </w:rPr>
      </w:pPr>
      <w:r w:rsidRPr="00692642">
        <w:rPr>
          <w:b/>
          <w:u w:val="single"/>
        </w:rPr>
        <w:t>ENTRE-LES-SOUSSIGNES</w:t>
      </w:r>
      <w:r w:rsidRPr="00692642">
        <w:rPr>
          <w:u w:val="single"/>
        </w:rPr>
        <w:t> :</w:t>
      </w:r>
    </w:p>
    <w:p w14:paraId="14E6D329" w14:textId="77777777" w:rsidP="00692642" w:rsidR="008F2119" w:rsidRDefault="008F2119">
      <w:pPr>
        <w:pStyle w:val="Sansinterligne"/>
      </w:pPr>
    </w:p>
    <w:p w14:paraId="2F07D3E1" w14:textId="37F4DDF2" w:rsidP="003805AF" w:rsidR="003805AF" w:rsidRDefault="003805AF">
      <w:pPr>
        <w:pStyle w:val="Sansinterligne"/>
      </w:pPr>
      <w:r>
        <w:t>L’UES</w:t>
      </w:r>
      <w:r>
        <w:rPr>
          <w:b/>
        </w:rPr>
        <w:t xml:space="preserve"> PHOENIX SERVICES France (PSF) et </w:t>
      </w:r>
      <w:proofErr w:type="spellStart"/>
      <w:r>
        <w:rPr>
          <w:b/>
        </w:rPr>
        <w:t>Trailsid</w:t>
      </w:r>
      <w:proofErr w:type="spellEnd"/>
      <w:r>
        <w:t xml:space="preserve">, en son établissement de Saint Saulve - Lesquin, sis Zone Industrielle n°4, CD 401 à SAINT SAULVE (59880), représentée par </w:t>
      </w:r>
      <w:r w:rsidR="00B4054B">
        <w:t>XXXXXXX</w:t>
      </w:r>
      <w:r>
        <w:t xml:space="preserve">, Président donnant délégation à </w:t>
      </w:r>
      <w:r w:rsidR="00B4054B">
        <w:t>XXXXXXX</w:t>
      </w:r>
      <w:r w:rsidR="00B4054B">
        <w:t xml:space="preserve"> </w:t>
      </w:r>
      <w:r>
        <w:t xml:space="preserve">agissant en qualité de Directeur, n° SIRET </w:t>
      </w:r>
      <w:r>
        <w:rPr>
          <w:b/>
        </w:rPr>
        <w:t>40268412000031</w:t>
      </w:r>
      <w:r>
        <w:t xml:space="preserve">, code APE </w:t>
      </w:r>
      <w:r>
        <w:rPr>
          <w:b/>
        </w:rPr>
        <w:t>3812Z</w:t>
      </w:r>
      <w:r>
        <w:t>, ci-après désignée « la société »,</w:t>
      </w:r>
    </w:p>
    <w:p w14:paraId="04D16B27" w14:textId="77777777" w:rsidP="00CA00F2" w:rsidR="00CA00F2" w:rsidRDefault="00CA00F2">
      <w:pPr>
        <w:pStyle w:val="Sansinterligne"/>
        <w:jc w:val="right"/>
      </w:pPr>
      <w:r>
        <w:t>D’une part,</w:t>
      </w:r>
    </w:p>
    <w:p w14:paraId="71086E63" w14:textId="77777777" w:rsidP="00CA00F2" w:rsidR="00CA00F2" w:rsidRDefault="00CA00F2">
      <w:pPr>
        <w:pStyle w:val="Sansinterligne"/>
      </w:pPr>
      <w:r>
        <w:t>Et</w:t>
      </w:r>
    </w:p>
    <w:p w14:paraId="6B7FC725" w14:textId="77777777" w:rsidP="00CA00F2" w:rsidR="00CA00F2" w:rsidRDefault="00CA00F2">
      <w:pPr>
        <w:pStyle w:val="Sansinterligne"/>
      </w:pPr>
    </w:p>
    <w:p w14:paraId="03033D69" w14:textId="6D6DCAF8" w:rsidP="003813CD" w:rsidR="003813CD" w:rsidRDefault="003813CD">
      <w:pPr>
        <w:pStyle w:val="Sansinterligne"/>
      </w:pPr>
      <w:r w:rsidRPr="003813CD">
        <w:rPr>
          <w:b/>
        </w:rPr>
        <w:t xml:space="preserve">L’organisation syndicale représentative CGT </w:t>
      </w:r>
      <w:r w:rsidRPr="003813CD">
        <w:t xml:space="preserve">représentée par </w:t>
      </w:r>
      <w:r w:rsidR="00B4054B">
        <w:t>XXXXXXX</w:t>
      </w:r>
      <w:r w:rsidRPr="005C3E21">
        <w:t>, délégué syndical CGT</w:t>
      </w:r>
      <w:r w:rsidR="005C3E21">
        <w:t xml:space="preserve"> donnant délégation à </w:t>
      </w:r>
      <w:r w:rsidR="00B4054B">
        <w:t>XXXXXXX</w:t>
      </w:r>
      <w:r w:rsidR="005C3E21">
        <w:t>,</w:t>
      </w:r>
    </w:p>
    <w:p w14:paraId="381AFDF0" w14:textId="77777777" w:rsidP="003813CD" w:rsidR="003813CD" w:rsidRDefault="003813CD" w:rsidRPr="003813CD">
      <w:pPr>
        <w:pStyle w:val="Sansinterligne"/>
      </w:pPr>
    </w:p>
    <w:p w14:paraId="35A8B2BA" w14:textId="77777777" w:rsidP="00CA00F2" w:rsidR="00CA00F2" w:rsidRDefault="00CA00F2">
      <w:pPr>
        <w:pStyle w:val="Sansinterligne"/>
        <w:jc w:val="right"/>
      </w:pPr>
      <w:r>
        <w:t>D’autre part,</w:t>
      </w:r>
    </w:p>
    <w:p w14:paraId="5A51FD38" w14:textId="77777777" w:rsidP="00692642" w:rsidR="00470C81" w:rsidRDefault="00470C81">
      <w:pPr>
        <w:pStyle w:val="Sansinterligne"/>
        <w:rPr>
          <w:rFonts w:cs="Calibri" w:eastAsia="Times New Roman"/>
          <w:szCs w:val="24"/>
          <w:lang w:eastAsia="fr-FR"/>
        </w:rPr>
      </w:pPr>
    </w:p>
    <w:p w14:paraId="05A53E43" w14:textId="4EEB7EF4" w:rsidP="00692642" w:rsidR="008F2119" w:rsidRDefault="008F2119">
      <w:pPr>
        <w:pStyle w:val="Sansinterligne"/>
      </w:pPr>
      <w:r>
        <w:t>Conformément aux dispositions des articles L.2242-1 et suivants du Code du Travail, la négociation annuelle obligatoire a été engagée pour la société.</w:t>
      </w:r>
    </w:p>
    <w:p w14:paraId="2F524D8F" w14:textId="77777777" w:rsidP="00692642" w:rsidR="008F2119" w:rsidRDefault="008F2119">
      <w:pPr>
        <w:pStyle w:val="Sansinterligne"/>
      </w:pPr>
    </w:p>
    <w:p w14:paraId="037629CA" w14:textId="1B08D243" w:rsidP="00692642" w:rsidR="008F2119" w:rsidRDefault="008F2119">
      <w:pPr>
        <w:pStyle w:val="Sansinterligne"/>
      </w:pPr>
      <w:r>
        <w:t xml:space="preserve">A la demande </w:t>
      </w:r>
      <w:r w:rsidR="00470C81">
        <w:t>des organisations syndicales</w:t>
      </w:r>
      <w:r>
        <w:t xml:space="preserve">, considérant d’une part que l’ensemble des informations remises par les deux parties sont suffisantes, considérant d’autre part qu’un accord s’est dégagé après les 3 réunions de négociation qui se sont tenues les </w:t>
      </w:r>
      <w:r w:rsidR="001E5AE2" w:rsidRPr="005C3E21">
        <w:rPr>
          <w:b/>
          <w:bCs w:val="0"/>
        </w:rPr>
        <w:t>24 février</w:t>
      </w:r>
      <w:r w:rsidR="005C3E21" w:rsidRPr="005C3E21">
        <w:rPr>
          <w:b/>
          <w:bCs w:val="0"/>
        </w:rPr>
        <w:t xml:space="preserve"> et</w:t>
      </w:r>
      <w:r w:rsidR="001E5AE2" w:rsidRPr="005C3E21">
        <w:rPr>
          <w:b/>
          <w:bCs w:val="0"/>
        </w:rPr>
        <w:t xml:space="preserve"> 03 mars 2022</w:t>
      </w:r>
      <w:r>
        <w:t>, les parties ont convenu d’acter par le présent procès-verbal l’accord sur les salaires et de se dispenser de l’organisation d’autres réunions.</w:t>
      </w:r>
    </w:p>
    <w:p w14:paraId="65C7910A" w14:textId="77777777" w:rsidP="00692642" w:rsidR="008F2119" w:rsidRDefault="008F2119">
      <w:pPr>
        <w:pStyle w:val="Sansinterligne"/>
      </w:pPr>
    </w:p>
    <w:p w14:paraId="65C602BB" w14:textId="77777777" w:rsidP="00692642" w:rsidR="001E5AE2" w:rsidRDefault="001E5AE2">
      <w:pPr>
        <w:pStyle w:val="Sansinterligne"/>
      </w:pPr>
    </w:p>
    <w:p w14:paraId="3414214C" w14:textId="77777777" w:rsidP="001E5AE2" w:rsidR="008F2119" w:rsidRDefault="008F2119">
      <w:pPr>
        <w:pStyle w:val="Titre1"/>
      </w:pPr>
      <w:r>
        <w:t>Article 1er : Champ d’application</w:t>
      </w:r>
    </w:p>
    <w:p w14:paraId="034E3356" w14:textId="77777777" w:rsidP="00692642" w:rsidR="008F2119" w:rsidRDefault="008F2119">
      <w:pPr>
        <w:pStyle w:val="Sansinterligne"/>
      </w:pPr>
    </w:p>
    <w:p w14:paraId="2D3DA13E" w14:textId="777843D4" w:rsidP="00564B57" w:rsidR="00564B57" w:rsidRDefault="00564B57" w:rsidRPr="00564B57">
      <w:pPr>
        <w:pStyle w:val="Sansinterligne"/>
      </w:pPr>
      <w:r w:rsidRPr="00564B57">
        <w:t xml:space="preserve">Le présent accord s’applique à l’ensemble du personnel travaillant dans </w:t>
      </w:r>
      <w:r w:rsidRPr="00564B57">
        <w:rPr>
          <w:b/>
        </w:rPr>
        <w:t>l’établissement de SAINT SAULVE - LESQUIN</w:t>
      </w:r>
      <w:r w:rsidRPr="00564B57">
        <w:t xml:space="preserve"> de l’UES</w:t>
      </w:r>
      <w:r w:rsidRPr="00564B57">
        <w:rPr>
          <w:b/>
        </w:rPr>
        <w:t xml:space="preserve"> PHOENIX SERVICES France (PSF) et </w:t>
      </w:r>
      <w:proofErr w:type="spellStart"/>
      <w:r w:rsidRPr="00564B57">
        <w:rPr>
          <w:b/>
        </w:rPr>
        <w:t>Trailsid</w:t>
      </w:r>
      <w:proofErr w:type="spellEnd"/>
      <w:r w:rsidRPr="00564B57">
        <w:t>.</w:t>
      </w:r>
    </w:p>
    <w:p w14:paraId="5F7CEBB9" w14:textId="77777777" w:rsidP="00692642" w:rsidR="00A40ECD" w:rsidRDefault="00A40ECD">
      <w:pPr>
        <w:pStyle w:val="Sansinterligne"/>
      </w:pPr>
    </w:p>
    <w:p w14:paraId="3A1BE69F" w14:textId="77777777" w:rsidP="00692642" w:rsidR="00A2509E" w:rsidRDefault="00A2509E">
      <w:pPr>
        <w:pStyle w:val="Sansinterligne"/>
      </w:pPr>
    </w:p>
    <w:p w14:paraId="2A58D7D4" w14:textId="77777777" w:rsidP="005C488E" w:rsidR="008F2119" w:rsidRDefault="008F2119">
      <w:pPr>
        <w:pStyle w:val="Titre1"/>
      </w:pPr>
      <w:r>
        <w:t>Article 2 : Objet</w:t>
      </w:r>
    </w:p>
    <w:p w14:paraId="2D5CADCB" w14:textId="77777777" w:rsidP="00692642" w:rsidR="008F2119" w:rsidRDefault="008F2119">
      <w:pPr>
        <w:pStyle w:val="Sansinterligne"/>
      </w:pPr>
    </w:p>
    <w:p w14:paraId="57840D0D" w14:textId="77777777" w:rsidP="005C488E" w:rsidR="008F2119" w:rsidRDefault="008F2119">
      <w:pPr>
        <w:pStyle w:val="Citationintense"/>
      </w:pPr>
      <w:r>
        <w:t>2.1 Salaires effectifs</w:t>
      </w:r>
    </w:p>
    <w:p w14:paraId="6BE556AE" w14:textId="77777777" w:rsidP="00692642" w:rsidR="00A40ECD" w:rsidRDefault="00A40ECD">
      <w:pPr>
        <w:pStyle w:val="Sansinterligne"/>
      </w:pPr>
    </w:p>
    <w:p w14:paraId="0AB2843C" w14:textId="77777777" w:rsidP="005C488E" w:rsidR="008F2119" w:rsidRDefault="008F2119">
      <w:pPr>
        <w:pStyle w:val="Citationintense"/>
        <w:ind w:left="1416"/>
      </w:pPr>
      <w:r>
        <w:t>2.1.1 S’agissant du personnel ETAM et Cadre</w:t>
      </w:r>
    </w:p>
    <w:p w14:paraId="7D87B527" w14:textId="77777777" w:rsidP="00692642" w:rsidR="008F2119" w:rsidRDefault="008F2119">
      <w:pPr>
        <w:pStyle w:val="Sansinterligne"/>
      </w:pPr>
    </w:p>
    <w:p w14:paraId="5A3DA4AF" w14:textId="77777777" w:rsidP="00692642" w:rsidR="008F2119" w:rsidRDefault="008F2119" w:rsidRPr="00323DCE">
      <w:pPr>
        <w:pStyle w:val="Sansinterligne"/>
      </w:pPr>
      <w:r w:rsidRPr="003A65B8">
        <w:t>Les parties conviennent d’un système de rémunération privilégiant la reconnaissance de la performance individuelle sur le collectif et qu'en conséquence, elles conviennent de ne pas fixer d'augmentation générale pour ces 2 catégories.</w:t>
      </w:r>
    </w:p>
    <w:p w14:paraId="09E3AFCF" w14:textId="77777777" w:rsidP="00692642" w:rsidR="008F2119" w:rsidRDefault="008F2119" w:rsidRPr="00323DCE">
      <w:pPr>
        <w:pStyle w:val="Sansinterligne"/>
      </w:pPr>
    </w:p>
    <w:p w14:paraId="442CBB6F" w14:textId="480A7BEE" w:rsidP="005C488E" w:rsidR="008F2119" w:rsidRDefault="008F2119" w:rsidRPr="00323DCE">
      <w:pPr>
        <w:pStyle w:val="Citationintense"/>
        <w:ind w:left="1416"/>
      </w:pPr>
      <w:r w:rsidRPr="00323DCE">
        <w:t>2.1.</w:t>
      </w:r>
      <w:r w:rsidR="005C488E" w:rsidRPr="00323DCE">
        <w:t>2</w:t>
      </w:r>
      <w:r w:rsidRPr="00323DCE">
        <w:t xml:space="preserve"> S’agissant du personnel Ouvrier</w:t>
      </w:r>
    </w:p>
    <w:p w14:paraId="031F798E" w14:textId="77777777" w:rsidP="00692642" w:rsidR="008F2119" w:rsidRDefault="008F2119" w:rsidRPr="00323DCE">
      <w:pPr>
        <w:pStyle w:val="Sansinterligne"/>
      </w:pPr>
    </w:p>
    <w:p w14:paraId="6986E319" w14:textId="40676D41" w:rsidP="00692642" w:rsidR="008F2119" w:rsidRDefault="008F2119" w:rsidRPr="005C3E21">
      <w:pPr>
        <w:pStyle w:val="Sansinterligne"/>
      </w:pPr>
      <w:r w:rsidRPr="005C3E21">
        <w:t xml:space="preserve">Un accord s'est dégagé avec les parties signataires du présent accord sur des mesures salariales portant sur l'ensemble du personnel ouvrier applicables </w:t>
      </w:r>
      <w:r w:rsidR="00206652" w:rsidRPr="005C3E21">
        <w:rPr>
          <w:b/>
          <w:bCs w:val="0"/>
          <w:u w:val="single"/>
        </w:rPr>
        <w:t>avec effet rétroactif au</w:t>
      </w:r>
      <w:r w:rsidRPr="005C3E21">
        <w:rPr>
          <w:b/>
          <w:bCs w:val="0"/>
          <w:u w:val="single"/>
        </w:rPr>
        <w:t xml:space="preserve"> 1er janvier </w:t>
      </w:r>
      <w:r w:rsidR="005C488E" w:rsidRPr="005C3E21">
        <w:rPr>
          <w:b/>
          <w:bCs w:val="0"/>
          <w:u w:val="single"/>
        </w:rPr>
        <w:t>2022</w:t>
      </w:r>
      <w:r w:rsidR="00551882" w:rsidRPr="005C3E21">
        <w:t> :</w:t>
      </w:r>
    </w:p>
    <w:p w14:paraId="20C82F68" w14:textId="77777777" w:rsidP="00692642" w:rsidR="005E1DC2" w:rsidRDefault="005E1DC2" w:rsidRPr="005C3E21">
      <w:pPr>
        <w:pStyle w:val="Sansinterligne"/>
      </w:pPr>
    </w:p>
    <w:p w14:paraId="69C68E5E" w14:textId="77777777" w:rsidP="008C776E" w:rsidR="008C776E" w:rsidRDefault="008C776E" w:rsidRPr="005C3E21">
      <w:pPr>
        <w:pStyle w:val="Sansinterligne"/>
        <w:numPr>
          <w:ilvl w:val="0"/>
          <w:numId w:val="32"/>
        </w:numPr>
      </w:pPr>
      <w:r w:rsidRPr="005C3E21">
        <w:rPr>
          <w:b/>
        </w:rPr>
        <w:t>L’augmentation des taux horaires : + 03.00 %</w:t>
      </w:r>
      <w:r w:rsidRPr="005C3E21">
        <w:t> ;</w:t>
      </w:r>
    </w:p>
    <w:p w14:paraId="015099FF" w14:textId="77777777" w:rsidP="008C776E" w:rsidR="008C776E" w:rsidRDefault="008C776E" w:rsidRPr="005C3E21">
      <w:pPr>
        <w:pStyle w:val="Sansinterligne"/>
      </w:pPr>
    </w:p>
    <w:p w14:paraId="0C308A0E" w14:textId="77777777" w:rsidP="008C776E" w:rsidR="008C776E" w:rsidRDefault="008C776E" w:rsidRPr="005C3E21">
      <w:pPr>
        <w:pStyle w:val="Sansinterligne"/>
        <w:numPr>
          <w:ilvl w:val="0"/>
          <w:numId w:val="32"/>
        </w:numPr>
      </w:pPr>
      <w:r w:rsidRPr="005C3E21">
        <w:rPr>
          <w:b/>
        </w:rPr>
        <w:t>L’indexation de toutes les primes mensuelles existantes sur ce taux de + 03,00 %</w:t>
      </w:r>
      <w:r w:rsidRPr="005C3E21">
        <w:t>. Les modalités d’application des primes sont inchangées ;</w:t>
      </w:r>
    </w:p>
    <w:p w14:paraId="746B3D21" w14:textId="332A31E5" w:rsidP="00D14852" w:rsidR="00D14852" w:rsidRDefault="001B4297" w:rsidRPr="005C3E21">
      <w:pPr>
        <w:pStyle w:val="Sansinterligne"/>
        <w:numPr>
          <w:ilvl w:val="0"/>
          <w:numId w:val="32"/>
        </w:numPr>
        <w:rPr>
          <w:b/>
        </w:rPr>
      </w:pPr>
      <w:r w:rsidRPr="005C3E21">
        <w:rPr>
          <w:b/>
        </w:rPr>
        <w:lastRenderedPageBreak/>
        <w:t>Augmentation</w:t>
      </w:r>
      <w:r w:rsidR="00D14852" w:rsidRPr="005C3E21">
        <w:rPr>
          <w:b/>
        </w:rPr>
        <w:t xml:space="preserve"> </w:t>
      </w:r>
      <w:r w:rsidR="006643C6" w:rsidRPr="005C3E21">
        <w:rPr>
          <w:b/>
        </w:rPr>
        <w:t xml:space="preserve">des primes </w:t>
      </w:r>
      <w:r w:rsidRPr="005C3E21">
        <w:rPr>
          <w:b/>
        </w:rPr>
        <w:t>de juin et de fin d’année</w:t>
      </w:r>
      <w:r w:rsidR="00D14852" w:rsidRPr="005C3E21">
        <w:rPr>
          <w:b/>
        </w:rPr>
        <w:t> :</w:t>
      </w:r>
    </w:p>
    <w:p w14:paraId="308A8684" w14:textId="4C076157" w:rsidP="00D14852" w:rsidR="00D14852" w:rsidRDefault="007841BD" w:rsidRPr="005C3E21">
      <w:pPr>
        <w:pStyle w:val="Sansinterligne"/>
        <w:ind w:left="720"/>
      </w:pPr>
      <w:r w:rsidRPr="005C3E21">
        <w:t>1 </w:t>
      </w:r>
      <w:r w:rsidR="00933895" w:rsidRPr="005C3E21">
        <w:t>4</w:t>
      </w:r>
      <w:r w:rsidRPr="005C3E21">
        <w:t>00.00</w:t>
      </w:r>
      <w:r w:rsidR="00D14852" w:rsidRPr="005C3E21">
        <w:t xml:space="preserve"> € bruts en </w:t>
      </w:r>
      <w:r w:rsidRPr="005C3E21">
        <w:t>juin</w:t>
      </w:r>
      <w:r w:rsidR="00D14852" w:rsidRPr="005C3E21">
        <w:t xml:space="preserve"> 2022</w:t>
      </w:r>
      <w:r w:rsidRPr="005C3E21">
        <w:t> ;</w:t>
      </w:r>
    </w:p>
    <w:p w14:paraId="40CE9A78" w14:textId="4FFADD93" w:rsidP="001B50B4" w:rsidR="00D14852" w:rsidRDefault="007841BD" w:rsidRPr="005C3E21">
      <w:pPr>
        <w:pStyle w:val="Sansinterligne"/>
        <w:ind w:left="720"/>
      </w:pPr>
      <w:r w:rsidRPr="005C3E21">
        <w:t>1 </w:t>
      </w:r>
      <w:r w:rsidR="00933895" w:rsidRPr="005C3E21">
        <w:t>4</w:t>
      </w:r>
      <w:r w:rsidRPr="005C3E21">
        <w:t>00.00</w:t>
      </w:r>
      <w:r w:rsidR="00D14852" w:rsidRPr="005C3E21">
        <w:t xml:space="preserve"> € bruts en </w:t>
      </w:r>
      <w:r w:rsidRPr="005C3E21">
        <w:t>novembre</w:t>
      </w:r>
      <w:r w:rsidR="00D14852" w:rsidRPr="005C3E21">
        <w:t xml:space="preserve"> 2022</w:t>
      </w:r>
      <w:r w:rsidRPr="005C3E21">
        <w:t>.</w:t>
      </w:r>
    </w:p>
    <w:p w14:paraId="661322D2" w14:textId="24AB031C" w:rsidP="001B50B4" w:rsidR="00753CE1" w:rsidRDefault="00753CE1" w:rsidRPr="005C3E21">
      <w:pPr>
        <w:pStyle w:val="Sansinterligne"/>
        <w:ind w:left="720"/>
      </w:pPr>
    </w:p>
    <w:p w14:paraId="4FA30963" w14:textId="69D491E8" w:rsidP="001B50B4" w:rsidR="007A6BB8" w:rsidRDefault="007A6BB8" w:rsidRPr="005C3E21">
      <w:pPr>
        <w:pStyle w:val="Sansinterligne"/>
        <w:ind w:left="720"/>
      </w:pPr>
      <w:r w:rsidRPr="005C3E21">
        <w:t>Les modalités restent les mêmes (hors Absence Covid)</w:t>
      </w:r>
    </w:p>
    <w:p w14:paraId="6539C060" w14:textId="77777777" w:rsidP="001B50B4" w:rsidR="001B50B4" w:rsidRDefault="001B50B4" w:rsidRPr="005C3E21">
      <w:pPr>
        <w:pStyle w:val="Sansinterligne"/>
      </w:pPr>
    </w:p>
    <w:p w14:paraId="77D02193" w14:textId="458D7D59" w:rsidP="00452DCA" w:rsidR="00452DCA" w:rsidRDefault="00355A00" w:rsidRPr="005C3E21">
      <w:pPr>
        <w:pStyle w:val="Sansinterligne"/>
        <w:numPr>
          <w:ilvl w:val="0"/>
          <w:numId w:val="32"/>
        </w:numPr>
      </w:pPr>
      <w:r w:rsidRPr="005C3E21">
        <w:t>Revalorisation de la p</w:t>
      </w:r>
      <w:r w:rsidR="001B50B4" w:rsidRPr="005C3E21">
        <w:t xml:space="preserve">rime Saint </w:t>
      </w:r>
      <w:r w:rsidR="005C3E21" w:rsidRPr="005C3E21">
        <w:t>Eloi, passant</w:t>
      </w:r>
      <w:r w:rsidRPr="005C3E21">
        <w:t xml:space="preserve"> de 100 à 120 euros</w:t>
      </w:r>
    </w:p>
    <w:p w14:paraId="10339EEF" w14:textId="7DFAF699" w:rsidP="00452DCA" w:rsidR="00452DCA" w:rsidRDefault="00452DCA" w:rsidRPr="005C3E21">
      <w:pPr>
        <w:pStyle w:val="Sansinterligne"/>
        <w:ind w:left="720"/>
      </w:pPr>
    </w:p>
    <w:p w14:paraId="1AA13F1A" w14:textId="1CE4C83D" w:rsidP="0063615B" w:rsidR="0063615B" w:rsidRDefault="0063615B" w:rsidRPr="005C3E21">
      <w:pPr>
        <w:pStyle w:val="Sansinterligne"/>
        <w:numPr>
          <w:ilvl w:val="0"/>
          <w:numId w:val="32"/>
        </w:numPr>
      </w:pPr>
      <w:r w:rsidRPr="005C3E21">
        <w:t xml:space="preserve">Le versement d’une </w:t>
      </w:r>
      <w:r w:rsidRPr="005C3E21">
        <w:rPr>
          <w:b/>
        </w:rPr>
        <w:t xml:space="preserve">prime exceptionnelle de </w:t>
      </w:r>
      <w:r w:rsidR="00933895" w:rsidRPr="005C3E21">
        <w:rPr>
          <w:b/>
        </w:rPr>
        <w:t>1 200</w:t>
      </w:r>
      <w:r w:rsidRPr="005C3E21">
        <w:rPr>
          <w:b/>
        </w:rPr>
        <w:t xml:space="preserve"> € bruts, versée en </w:t>
      </w:r>
      <w:r w:rsidR="00933895" w:rsidRPr="005C3E21">
        <w:rPr>
          <w:b/>
        </w:rPr>
        <w:t>septembre</w:t>
      </w:r>
      <w:r w:rsidRPr="005C3E21">
        <w:rPr>
          <w:b/>
        </w:rPr>
        <w:t xml:space="preserve"> 2022 ;</w:t>
      </w:r>
    </w:p>
    <w:p w14:paraId="36FE8A4F" w14:textId="49ABA787" w:rsidP="0063615B" w:rsidR="0063615B" w:rsidRDefault="0063615B" w:rsidRPr="005C3E21">
      <w:pPr>
        <w:pStyle w:val="Sansinterligne"/>
      </w:pPr>
      <w:r w:rsidRPr="005C3E21">
        <w:t xml:space="preserve">Cette prime sera </w:t>
      </w:r>
      <w:r w:rsidR="005C3E21" w:rsidRPr="005C3E21">
        <w:t>versée sur la</w:t>
      </w:r>
      <w:r w:rsidR="00AA1440" w:rsidRPr="005C3E21">
        <w:t xml:space="preserve"> paie du mois d’aout </w:t>
      </w:r>
      <w:r w:rsidR="002A1A75" w:rsidRPr="005C3E21">
        <w:t>calculée</w:t>
      </w:r>
      <w:r w:rsidR="00AA1440" w:rsidRPr="005C3E21">
        <w:t xml:space="preserve"> sur la période </w:t>
      </w:r>
      <w:r w:rsidR="005C3E21" w:rsidRPr="005C3E21">
        <w:t>d’ao</w:t>
      </w:r>
      <w:r w:rsidR="005C3E21">
        <w:t>û</w:t>
      </w:r>
      <w:r w:rsidR="005C3E21" w:rsidRPr="005C3E21">
        <w:t>t</w:t>
      </w:r>
      <w:r w:rsidR="00AA1440" w:rsidRPr="005C3E21">
        <w:t xml:space="preserve"> 2</w:t>
      </w:r>
      <w:r w:rsidR="005C3E21">
        <w:t>02</w:t>
      </w:r>
      <w:r w:rsidR="00AA1440" w:rsidRPr="005C3E21">
        <w:t xml:space="preserve">1 à juillet </w:t>
      </w:r>
      <w:r w:rsidR="005C3E21">
        <w:t>20</w:t>
      </w:r>
      <w:r w:rsidR="005C3E21" w:rsidRPr="005C3E21">
        <w:t>22.</w:t>
      </w:r>
      <w:r w:rsidRPr="005C3E21">
        <w:t xml:space="preserve"> Cette prime sera également proratisée sur cette même période au temps de présence effective, incluant les absences pour congés payés, maladie, accident du travail, maladie </w:t>
      </w:r>
      <w:r w:rsidR="005C3E21" w:rsidRPr="005C3E21">
        <w:t>professionnelle, mais</w:t>
      </w:r>
      <w:r w:rsidRPr="005C3E21">
        <w:t xml:space="preserve"> excluant les absences non rémunérées et/ou non justifiées</w:t>
      </w:r>
      <w:r w:rsidR="002A1A75" w:rsidRPr="005C3E21">
        <w:t xml:space="preserve"> et </w:t>
      </w:r>
      <w:r w:rsidR="005C3E21" w:rsidRPr="005C3E21">
        <w:t>maladie supérieure</w:t>
      </w:r>
      <w:r w:rsidR="002A1A75" w:rsidRPr="005C3E21">
        <w:t xml:space="preserve"> à mois</w:t>
      </w:r>
      <w:r w:rsidRPr="005C3E21">
        <w:t>.</w:t>
      </w:r>
    </w:p>
    <w:p w14:paraId="4FA70B4D" w14:textId="77777777" w:rsidP="00682829" w:rsidR="00682829" w:rsidRDefault="00682829" w:rsidRPr="005C3E21">
      <w:pPr>
        <w:pStyle w:val="Sansinterligne"/>
      </w:pPr>
    </w:p>
    <w:p w14:paraId="1ECDA698" w14:textId="38526900" w:rsidP="007E1193" w:rsidR="003C4D33" w:rsidRDefault="00682829" w:rsidRPr="005C3E21">
      <w:pPr>
        <w:pStyle w:val="Sansinterligne"/>
      </w:pPr>
      <w:r w:rsidRPr="005C3E21">
        <w:t xml:space="preserve">Cette prime, à caractère </w:t>
      </w:r>
      <w:r w:rsidR="00452DCA" w:rsidRPr="005C3E21">
        <w:t>exceptionnel, ne</w:t>
      </w:r>
      <w:r w:rsidRPr="005C3E21">
        <w:t xml:space="preserve"> saurait être considérée comme ayant un caractère fixe ou permanent, ni comme devant être renouvelée lors des prochains exercices.</w:t>
      </w:r>
    </w:p>
    <w:p w14:paraId="1B98DEE5" w14:textId="77777777" w:rsidP="007E1193" w:rsidR="003C4D33" w:rsidRDefault="003C4D33" w:rsidRPr="005C3E21">
      <w:pPr>
        <w:pStyle w:val="Sansinterligne"/>
      </w:pPr>
    </w:p>
    <w:p w14:paraId="42FE828C" w14:textId="77777777" w:rsidP="000474CE" w:rsidR="008F2119" w:rsidRDefault="008F2119">
      <w:pPr>
        <w:pStyle w:val="Citationintense"/>
      </w:pPr>
      <w:r>
        <w:t>2.2 Durée effective et organisation du temps de travail</w:t>
      </w:r>
    </w:p>
    <w:p w14:paraId="38E30808" w14:textId="77777777" w:rsidP="00692642" w:rsidR="008F2119" w:rsidRDefault="008F2119">
      <w:pPr>
        <w:pStyle w:val="Sansinterligne"/>
      </w:pPr>
    </w:p>
    <w:p w14:paraId="78B7E635" w14:textId="77777777" w:rsidP="00692642" w:rsidR="008F2119" w:rsidRDefault="008F2119">
      <w:pPr>
        <w:pStyle w:val="Sansinterligne"/>
      </w:pPr>
      <w:r>
        <w:t>La durée effective du travail et l’organisation du temps de travail ne seront pas modifiées par rapport aux 12 mois précédents.</w:t>
      </w:r>
    </w:p>
    <w:p w14:paraId="3592491B" w14:textId="77777777" w:rsidP="00692642" w:rsidR="00A40ECD" w:rsidRDefault="00A40ECD">
      <w:pPr>
        <w:pStyle w:val="Sansinterligne"/>
      </w:pPr>
    </w:p>
    <w:p w14:paraId="169273FF" w14:textId="77777777" w:rsidP="000474CE" w:rsidR="008F2119" w:rsidRDefault="008F2119">
      <w:pPr>
        <w:pStyle w:val="Citationintense"/>
      </w:pPr>
      <w:r>
        <w:t>2.3 Suppression des écarts de rémunération entre les femmes et les hommes et égalité professionnelle entre les hommes et les femmes</w:t>
      </w:r>
    </w:p>
    <w:p w14:paraId="0B78C20D" w14:textId="77777777" w:rsidP="00692642" w:rsidR="008F2119" w:rsidRDefault="008F2119">
      <w:pPr>
        <w:pStyle w:val="Sansinterligne"/>
      </w:pPr>
    </w:p>
    <w:p w14:paraId="32B919FB" w14:textId="39D99296" w:rsidP="00692642" w:rsidR="008F2119" w:rsidRDefault="008F2119">
      <w:pPr>
        <w:pStyle w:val="Sansinterligne"/>
      </w:pPr>
      <w:r>
        <w:t xml:space="preserve">Le présent accord vaut </w:t>
      </w:r>
      <w:r w:rsidR="000474CE">
        <w:t>procès-verbal</w:t>
      </w:r>
      <w:r>
        <w:t xml:space="preserve"> d’ouverture des négociations portant sur les écarts de rémunération entre les hommes et les femmes, et ce, conformément aux termes de l’article L2242-10 du Code du Travail.</w:t>
      </w:r>
    </w:p>
    <w:p w14:paraId="022680F0" w14:textId="77777777" w:rsidP="00692642" w:rsidR="008F2119" w:rsidRDefault="008F2119">
      <w:pPr>
        <w:pStyle w:val="Sansinterligne"/>
      </w:pPr>
    </w:p>
    <w:p w14:paraId="194EC3A0" w14:textId="77777777" w:rsidP="00FB3A6E" w:rsidR="00FB3A6E" w:rsidRDefault="00FB3A6E">
      <w:pPr>
        <w:pStyle w:val="Sansinterligne"/>
      </w:pPr>
      <w:r>
        <w:t xml:space="preserve">L’accord d’entreprise sur le sujet de l’égalité professionnelle entre les hommes et les femmes doit être revu si besoin et renouvelé lors de la prochaine réunion du CSE Central, à fixer dans les prochaines semaines. </w:t>
      </w:r>
    </w:p>
    <w:p w14:paraId="09839DF0" w14:textId="77777777" w:rsidP="00692642" w:rsidR="00FB3A6E" w:rsidRDefault="00FB3A6E">
      <w:pPr>
        <w:pStyle w:val="Sansinterligne"/>
      </w:pPr>
    </w:p>
    <w:p w14:paraId="1A2D26FF" w14:textId="74F768BE" w:rsidP="00692642" w:rsidR="008F2119" w:rsidRDefault="008F2119" w:rsidRPr="005C3E21">
      <w:pPr>
        <w:pStyle w:val="Sansinterligne"/>
      </w:pPr>
      <w:r w:rsidRPr="005C3E21">
        <w:t xml:space="preserve">A ce jour, </w:t>
      </w:r>
      <w:r w:rsidR="00B34B5D" w:rsidRPr="005C3E21">
        <w:t>l’établissement</w:t>
      </w:r>
      <w:r w:rsidRPr="005C3E21">
        <w:t xml:space="preserve"> compte </w:t>
      </w:r>
      <w:r w:rsidR="00E2339D" w:rsidRPr="005C3E21">
        <w:t>6</w:t>
      </w:r>
      <w:r w:rsidRPr="005C3E21">
        <w:t xml:space="preserve"> femme</w:t>
      </w:r>
      <w:r w:rsidR="00B34B5D" w:rsidRPr="005C3E21">
        <w:t>s</w:t>
      </w:r>
      <w:r w:rsidRPr="005C3E21">
        <w:t xml:space="preserve"> affectée</w:t>
      </w:r>
      <w:r w:rsidR="00464710" w:rsidRPr="005C3E21">
        <w:t>s</w:t>
      </w:r>
      <w:r w:rsidRPr="005C3E21">
        <w:t xml:space="preserve"> à un poste non occupé par des hommes, à savoir</w:t>
      </w:r>
      <w:r w:rsidR="00B34B5D" w:rsidRPr="005C3E21">
        <w:t> </w:t>
      </w:r>
      <w:r w:rsidRPr="005C3E21">
        <w:t>:</w:t>
      </w:r>
    </w:p>
    <w:p w14:paraId="74B76697" w14:textId="217923A1" w:rsidP="00E2339D" w:rsidR="00E2339D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Assistante De Direction</w:t>
      </w:r>
    </w:p>
    <w:p w14:paraId="3AE7AB89" w14:textId="44CF00C5" w:rsidP="00E2339D" w:rsidR="00E2339D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Comptable</w:t>
      </w:r>
    </w:p>
    <w:p w14:paraId="64AC8A33" w14:textId="1E38BDE9" w:rsidP="00E2339D" w:rsidR="00E2339D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Employée Comptable</w:t>
      </w:r>
    </w:p>
    <w:p w14:paraId="4A3EA1CA" w14:textId="312BBC4D" w:rsidP="00E2339D" w:rsidR="00E2339D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Gestionnaire Paie-Assistant Rh</w:t>
      </w:r>
    </w:p>
    <w:p w14:paraId="5FD1A55D" w14:textId="394D1937" w:rsidP="00E2339D" w:rsidR="00E2339D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Gestionnaire Paie-Assistant Rh</w:t>
      </w:r>
    </w:p>
    <w:p w14:paraId="472660B6" w14:textId="21715AA8" w:rsidP="00E2339D" w:rsidR="008F2119" w:rsidRDefault="00E2339D" w:rsidRPr="005C3E21">
      <w:pPr>
        <w:pStyle w:val="Sansinterligne"/>
        <w:numPr>
          <w:ilvl w:val="0"/>
          <w:numId w:val="34"/>
        </w:numPr>
        <w:rPr>
          <w:bCs w:val="0"/>
        </w:rPr>
      </w:pPr>
      <w:r w:rsidRPr="005C3E21">
        <w:rPr>
          <w:bCs w:val="0"/>
        </w:rPr>
        <w:t>Responsable Comptable</w:t>
      </w:r>
    </w:p>
    <w:p w14:paraId="7B989B29" w14:textId="77777777" w:rsidP="00E2339D" w:rsidR="00E2339D" w:rsidRDefault="00E2339D">
      <w:pPr>
        <w:pStyle w:val="Sansinterligne"/>
      </w:pPr>
    </w:p>
    <w:p w14:paraId="2658FF49" w14:textId="2BA1CBDC" w:rsidP="00692642" w:rsidR="008F2119" w:rsidRDefault="008F2119">
      <w:pPr>
        <w:pStyle w:val="Sansinterligne"/>
      </w:pPr>
      <w:r>
        <w:t>Les parties constatent le faible nombre de femmes salariées dans l’entreprise, ceci tenant principalement au secteur d’activité auquel appartient l’</w:t>
      </w:r>
      <w:r w:rsidR="00464710">
        <w:t>e</w:t>
      </w:r>
      <w:r>
        <w:t>ntreprise</w:t>
      </w:r>
      <w:r w:rsidR="00464710">
        <w:t>,</w:t>
      </w:r>
      <w:r>
        <w:t xml:space="preserve"> et conviennent </w:t>
      </w:r>
      <w:r w:rsidR="00464710">
        <w:t>qu’</w:t>
      </w:r>
      <w:r>
        <w:t>en conséquence, faute de situation identique :</w:t>
      </w:r>
    </w:p>
    <w:p w14:paraId="3F464CD7" w14:textId="59A2D0F9" w:rsidP="00464710" w:rsidR="008F2119" w:rsidRDefault="00464710">
      <w:pPr>
        <w:pStyle w:val="Sansinterligne"/>
        <w:numPr>
          <w:ilvl w:val="0"/>
          <w:numId w:val="29"/>
        </w:numPr>
      </w:pPr>
      <w:r>
        <w:t>I</w:t>
      </w:r>
      <w:r w:rsidR="008F2119">
        <w:t xml:space="preserve">l ne peut y avoir d’écart de rémunération entre hommes et femmes dans l’entreprise, </w:t>
      </w:r>
    </w:p>
    <w:p w14:paraId="06FEAC3A" w14:textId="0C2B48C3" w:rsidP="00464710" w:rsidR="008F2119" w:rsidRDefault="00464710">
      <w:pPr>
        <w:pStyle w:val="Sansinterligne"/>
        <w:numPr>
          <w:ilvl w:val="0"/>
          <w:numId w:val="29"/>
        </w:numPr>
      </w:pPr>
      <w:r>
        <w:t xml:space="preserve">Il ne peut y avoir </w:t>
      </w:r>
      <w:r w:rsidR="008F2119">
        <w:t>de mesures à définir et à programmer pour permettre la suppression de ces écarts.</w:t>
      </w:r>
    </w:p>
    <w:p w14:paraId="7321D18F" w14:textId="77777777" w:rsidP="00692642" w:rsidR="008F2119" w:rsidRDefault="008F2119">
      <w:pPr>
        <w:pStyle w:val="Sansinterligne"/>
      </w:pPr>
      <w:r>
        <w:t xml:space="preserve"> </w:t>
      </w:r>
    </w:p>
    <w:p w14:paraId="73714665" w14:textId="77777777" w:rsidP="00692642" w:rsidR="008F2119" w:rsidRDefault="008F2119">
      <w:pPr>
        <w:pStyle w:val="Sansinterligne"/>
      </w:pPr>
      <w:r>
        <w:t>La direction confirme toutefois que :</w:t>
      </w:r>
    </w:p>
    <w:p w14:paraId="5BA67CD0" w14:textId="3AC56E58" w:rsidP="00464710" w:rsidR="008F2119" w:rsidRDefault="00464710">
      <w:pPr>
        <w:pStyle w:val="Sansinterligne"/>
        <w:numPr>
          <w:ilvl w:val="0"/>
          <w:numId w:val="31"/>
        </w:numPr>
      </w:pPr>
      <w:r>
        <w:t>T</w:t>
      </w:r>
      <w:r w:rsidR="008F2119">
        <w:t>ous les postes à pourvoir sont ouverts aux candidatures tant masculines que féminines, y compris les postes ouvriers</w:t>
      </w:r>
      <w:r>
        <w:t> ;</w:t>
      </w:r>
    </w:p>
    <w:p w14:paraId="1D0F159A" w14:textId="6269D7B8" w:rsidP="00464710" w:rsidR="008F2119" w:rsidRDefault="00464710">
      <w:pPr>
        <w:pStyle w:val="Sansinterligne"/>
        <w:numPr>
          <w:ilvl w:val="0"/>
          <w:numId w:val="31"/>
        </w:numPr>
      </w:pPr>
      <w:r>
        <w:t xml:space="preserve">Il </w:t>
      </w:r>
      <w:r w:rsidR="00043C67">
        <w:t>sera</w:t>
      </w:r>
      <w:r>
        <w:t xml:space="preserve"> veillé</w:t>
      </w:r>
      <w:r w:rsidR="008F2119">
        <w:t xml:space="preserve"> au respect de l’égalité professionnelle entre hommes et femmes si une situation à venir (embauche, promotion, rémunération…) amenait des personnes de sexe différent à occuper des fonctions similaires.</w:t>
      </w:r>
    </w:p>
    <w:p w14:paraId="66BC66D8" w14:textId="77777777" w:rsidP="00692642" w:rsidR="008F2119" w:rsidRDefault="008F2119">
      <w:pPr>
        <w:pStyle w:val="Sansinterligne"/>
      </w:pPr>
    </w:p>
    <w:p w14:paraId="7A2986E9" w14:textId="77777777" w:rsidP="00692642" w:rsidR="00A40ECD" w:rsidRDefault="00A40ECD">
      <w:pPr>
        <w:pStyle w:val="Sansinterligne"/>
      </w:pPr>
    </w:p>
    <w:p w14:paraId="382B7F09" w14:textId="77777777" w:rsidP="00692642" w:rsidR="00A2509E" w:rsidRDefault="00A2509E">
      <w:pPr>
        <w:pStyle w:val="Sansinterligne"/>
      </w:pPr>
    </w:p>
    <w:p w14:paraId="65311173" w14:textId="77777777" w:rsidP="00043C67" w:rsidR="008F2119" w:rsidRDefault="008F2119">
      <w:pPr>
        <w:pStyle w:val="Citationintense"/>
      </w:pPr>
      <w:r>
        <w:lastRenderedPageBreak/>
        <w:t>2.4. Emploi des salariés âgés</w:t>
      </w:r>
    </w:p>
    <w:p w14:paraId="2677581F" w14:textId="77777777" w:rsidP="00692642" w:rsidR="008F2119" w:rsidRDefault="008F2119">
      <w:pPr>
        <w:pStyle w:val="Sansinterligne"/>
      </w:pPr>
    </w:p>
    <w:p w14:paraId="4B7C73F4" w14:textId="77777777" w:rsidP="00692642" w:rsidR="008F2119" w:rsidRDefault="008F2119">
      <w:pPr>
        <w:pStyle w:val="Sansinterligne"/>
      </w:pPr>
      <w:r>
        <w:t>La Direction confirme que les salariés de plus de 50 ans bénéficient des mêmes actions de formation et d’évolution professionnelle que le reste du personnel.</w:t>
      </w:r>
    </w:p>
    <w:p w14:paraId="0079378E" w14:textId="77777777" w:rsidP="00692642" w:rsidR="008F2119" w:rsidRDefault="008F2119">
      <w:pPr>
        <w:pStyle w:val="Sansinterligne"/>
      </w:pPr>
    </w:p>
    <w:p w14:paraId="4554E2E1" w14:textId="77777777" w:rsidP="00692642" w:rsidR="008F2119" w:rsidRDefault="008F2119">
      <w:pPr>
        <w:pStyle w:val="Sansinterligne"/>
      </w:pPr>
      <w:r>
        <w:t>Les parties constatent qu’elles ne connaissent pas, à ce jour, de situation nécessitant la prise de disposition visant à réduire une quelconque inégalité sur l’accès, le maintien dans l’emploi et l’accès à la formation professionnelle des salariés âgés.</w:t>
      </w:r>
    </w:p>
    <w:p w14:paraId="25A5A579" w14:textId="77777777" w:rsidP="00692642" w:rsidR="00A40ECD" w:rsidRDefault="00A40ECD">
      <w:pPr>
        <w:pStyle w:val="Sansinterligne"/>
      </w:pPr>
    </w:p>
    <w:p w14:paraId="55AA2237" w14:textId="77777777" w:rsidP="00043C67" w:rsidR="008F2119" w:rsidRDefault="008F2119">
      <w:pPr>
        <w:pStyle w:val="Citationintense"/>
      </w:pPr>
      <w:r>
        <w:t>2.5. Travailleurs handicapés</w:t>
      </w:r>
    </w:p>
    <w:p w14:paraId="7AEF8C91" w14:textId="77777777" w:rsidP="00692642" w:rsidR="008F2119" w:rsidRDefault="008F2119">
      <w:pPr>
        <w:pStyle w:val="Sansinterligne"/>
      </w:pPr>
    </w:p>
    <w:p w14:paraId="52F088CA" w14:textId="7F58ED85" w:rsidP="00692642" w:rsidR="008F2119" w:rsidRDefault="001064A6">
      <w:pPr>
        <w:pStyle w:val="Sansinterligne"/>
      </w:pPr>
      <w:r>
        <w:t xml:space="preserve">Il est rappelé </w:t>
      </w:r>
      <w:r w:rsidR="008F2119">
        <w:t xml:space="preserve">que l’entreprise remplit totalement ses obligations au titre de la déclaration annuelle obligatoire d’emploi des travailleurs handicapés. </w:t>
      </w:r>
    </w:p>
    <w:p w14:paraId="70BC9FCC" w14:textId="77777777" w:rsidP="00692642" w:rsidR="008F2119" w:rsidRDefault="008F2119">
      <w:pPr>
        <w:pStyle w:val="Sansinterligne"/>
      </w:pPr>
    </w:p>
    <w:p w14:paraId="0F4B3CF7" w14:textId="024A934C" w:rsidP="00692642" w:rsidR="008F2119" w:rsidRDefault="008F2119">
      <w:pPr>
        <w:pStyle w:val="Sansinterligne"/>
      </w:pPr>
      <w:r>
        <w:t xml:space="preserve">La </w:t>
      </w:r>
      <w:r w:rsidR="001064A6">
        <w:t>d</w:t>
      </w:r>
      <w:r>
        <w:t xml:space="preserve">irection confirme que tous les postes à pourvoir sont ouverts aux candidatures de travailleurs handicapés. </w:t>
      </w:r>
    </w:p>
    <w:p w14:paraId="3A0F920D" w14:textId="77777777" w:rsidP="00692642" w:rsidR="00A2509E" w:rsidRDefault="00A2509E">
      <w:pPr>
        <w:pStyle w:val="Sansinterligne"/>
      </w:pPr>
    </w:p>
    <w:p w14:paraId="5D46D984" w14:textId="24F0A26F" w:rsidP="00322EAB" w:rsidR="00322EAB" w:rsidRDefault="00322EAB" w:rsidRPr="005C3E21">
      <w:pPr>
        <w:pStyle w:val="Citationintense"/>
      </w:pPr>
      <w:r w:rsidRPr="005C3E21">
        <w:t>2.</w:t>
      </w:r>
      <w:r w:rsidR="00A2509E" w:rsidRPr="005C3E21">
        <w:t>6</w:t>
      </w:r>
      <w:r w:rsidRPr="005C3E21">
        <w:t xml:space="preserve">. </w:t>
      </w:r>
      <w:r w:rsidR="00AE409E" w:rsidRPr="005C3E21">
        <w:t>Prime Exceptionnelle de Pouvoir d’Achat</w:t>
      </w:r>
    </w:p>
    <w:p w14:paraId="3E5168DE" w14:textId="77777777" w:rsidP="00692642" w:rsidR="00322EAB" w:rsidRDefault="00322EAB" w:rsidRPr="005C3E21">
      <w:pPr>
        <w:pStyle w:val="Sansinterligne"/>
      </w:pPr>
    </w:p>
    <w:p w14:paraId="66D8E7D3" w14:textId="334882A8" w:rsidP="00692642" w:rsidR="00AE409E" w:rsidRDefault="00574A89">
      <w:pPr>
        <w:pStyle w:val="Sansinterligne"/>
      </w:pPr>
      <w:r w:rsidRPr="005C3E21">
        <w:t xml:space="preserve">Pour donner suite à sa première décision sur le sujet, </w:t>
      </w:r>
      <w:r w:rsidR="0095778B" w:rsidRPr="005C3E21">
        <w:t xml:space="preserve">il est décidé de </w:t>
      </w:r>
      <w:r w:rsidR="0095778B" w:rsidRPr="005C3E21">
        <w:rPr>
          <w:b/>
        </w:rPr>
        <w:t xml:space="preserve">porter </w:t>
      </w:r>
      <w:r w:rsidR="00CA3402" w:rsidRPr="005C3E21">
        <w:rPr>
          <w:b/>
        </w:rPr>
        <w:t xml:space="preserve">le montant </w:t>
      </w:r>
      <w:r w:rsidR="00FB0911" w:rsidRPr="005C3E21">
        <w:rPr>
          <w:b/>
        </w:rPr>
        <w:t xml:space="preserve">maximal </w:t>
      </w:r>
      <w:r w:rsidR="00CA3402" w:rsidRPr="005C3E21">
        <w:rPr>
          <w:b/>
        </w:rPr>
        <w:t xml:space="preserve">de la </w:t>
      </w:r>
      <w:r w:rsidR="00001E47" w:rsidRPr="005C3E21">
        <w:rPr>
          <w:b/>
        </w:rPr>
        <w:t xml:space="preserve">récente </w:t>
      </w:r>
      <w:r w:rsidR="00CA3402" w:rsidRPr="005C3E21">
        <w:rPr>
          <w:b/>
        </w:rPr>
        <w:t xml:space="preserve">prime exceptionnelle de pouvoir d’achat à 2 000 € </w:t>
      </w:r>
      <w:r w:rsidR="00CA3402" w:rsidRPr="005C3E21">
        <w:t>(Deux mille euros)</w:t>
      </w:r>
      <w:r w:rsidR="00001E47" w:rsidRPr="005C3E21">
        <w:t>, ce selon les mêmes modalités d’application. Un</w:t>
      </w:r>
      <w:r w:rsidR="00FB0911" w:rsidRPr="005C3E21">
        <w:t xml:space="preserve"> document annexe sera établi afin d’en détailler les termes.</w:t>
      </w:r>
    </w:p>
    <w:p w14:paraId="2D471E4E" w14:textId="77777777" w:rsidP="00692642" w:rsidR="00DF258D" w:rsidRDefault="00DF258D">
      <w:pPr>
        <w:pStyle w:val="Sansinterligne"/>
      </w:pPr>
    </w:p>
    <w:p w14:paraId="7BCCCE71" w14:textId="77777777" w:rsidP="00692642" w:rsidR="00A40ECD" w:rsidRDefault="00A40ECD">
      <w:pPr>
        <w:pStyle w:val="Sansinterligne"/>
      </w:pPr>
    </w:p>
    <w:p w14:paraId="3AE7680C" w14:textId="77777777" w:rsidP="001064A6" w:rsidR="008F2119" w:rsidRDefault="008F2119">
      <w:pPr>
        <w:pStyle w:val="Titre1"/>
      </w:pPr>
      <w:r>
        <w:t>Article 3 : Durée et application de l’accord.</w:t>
      </w:r>
    </w:p>
    <w:p w14:paraId="5A8F5A7E" w14:textId="48270EE4" w:rsidP="00DF258D" w:rsidR="008F2119" w:rsidRDefault="00DF258D">
      <w:pPr>
        <w:pStyle w:val="Sansinterligne"/>
        <w:tabs>
          <w:tab w:pos="2430" w:val="left"/>
        </w:tabs>
      </w:pPr>
      <w:r>
        <w:tab/>
      </w:r>
    </w:p>
    <w:p w14:paraId="4183F0AC" w14:textId="0A0E0A1C" w:rsidP="00692642" w:rsidR="008F2119" w:rsidRDefault="008F2119">
      <w:pPr>
        <w:pStyle w:val="Sansinterligne"/>
      </w:pPr>
      <w:r>
        <w:t>Le présent accord est conclu pour une durée déterminée d'</w:t>
      </w:r>
      <w:r w:rsidRPr="001015C8">
        <w:rPr>
          <w:b/>
        </w:rPr>
        <w:t>un an</w:t>
      </w:r>
      <w:r>
        <w:t xml:space="preserve">. Ces dispositions forment un tout et ont un caractère indivisible. </w:t>
      </w:r>
    </w:p>
    <w:p w14:paraId="7DB4D544" w14:textId="77777777" w:rsidP="00692642" w:rsidR="008F2119" w:rsidRDefault="008F2119">
      <w:pPr>
        <w:pStyle w:val="Sansinterligne"/>
      </w:pPr>
    </w:p>
    <w:p w14:paraId="1D66894B" w14:textId="77777777" w:rsidP="00692642" w:rsidR="008F2119" w:rsidRDefault="008F2119">
      <w:pPr>
        <w:pStyle w:val="Sansinterligne"/>
      </w:pPr>
      <w:r>
        <w:t>A cette dernière date, il cessera automatiquement de produire effet.</w:t>
      </w:r>
    </w:p>
    <w:p w14:paraId="01ADB1D4" w14:textId="77777777" w:rsidP="00692642" w:rsidR="008F2119" w:rsidRDefault="008F2119">
      <w:pPr>
        <w:pStyle w:val="Sansinterligne"/>
      </w:pPr>
    </w:p>
    <w:p w14:paraId="0C42E78B" w14:textId="77777777" w:rsidP="00692642" w:rsidR="00A40ECD" w:rsidRDefault="00A40ECD">
      <w:pPr>
        <w:pStyle w:val="Sansinterligne"/>
      </w:pPr>
    </w:p>
    <w:p w14:paraId="321B4DD1" w14:textId="77777777" w:rsidP="00DF258D" w:rsidR="008F2119" w:rsidRDefault="008F2119">
      <w:pPr>
        <w:pStyle w:val="Titre1"/>
      </w:pPr>
      <w:r>
        <w:t>Article 4 : Publicité de l’accord</w:t>
      </w:r>
    </w:p>
    <w:p w14:paraId="5C851CAC" w14:textId="77777777" w:rsidP="00692642" w:rsidR="008F2119" w:rsidRDefault="008F2119">
      <w:pPr>
        <w:pStyle w:val="Sansinterligne"/>
      </w:pPr>
    </w:p>
    <w:p w14:paraId="79A9D2D7" w14:textId="77777777" w:rsidP="00692642" w:rsidR="008F2119" w:rsidRDefault="008F2119">
      <w:pPr>
        <w:pStyle w:val="Sansinterligne"/>
      </w:pPr>
      <w:r>
        <w:t>La société notifiera le présent accord à l’ensemble des organisations syndicales représentatives.</w:t>
      </w:r>
    </w:p>
    <w:p w14:paraId="030A7294" w14:textId="77777777" w:rsidP="00692642" w:rsidR="008F2119" w:rsidRDefault="008F2119">
      <w:pPr>
        <w:pStyle w:val="Sansinterligne"/>
      </w:pPr>
    </w:p>
    <w:p w14:paraId="42DA3D9B" w14:textId="77777777" w:rsidP="00692642" w:rsidR="008F2119" w:rsidRDefault="008F2119">
      <w:pPr>
        <w:pStyle w:val="Sansinterligne"/>
      </w:pPr>
      <w:r>
        <w:t>Le présent accord sera déposé, accompagné des pièces constitutives du dossier de dépôt, par le représentant légal de l'entreprise :</w:t>
      </w:r>
    </w:p>
    <w:p w14:paraId="6FF93574" w14:textId="0764AED9" w:rsidP="00C033F8" w:rsidR="008F2119" w:rsidRDefault="009C619C">
      <w:pPr>
        <w:pStyle w:val="Sansinterligne"/>
        <w:numPr>
          <w:ilvl w:val="0"/>
          <w:numId w:val="33"/>
        </w:numPr>
      </w:pPr>
      <w:r>
        <w:t>S</w:t>
      </w:r>
      <w:r w:rsidR="008F2119">
        <w:t xml:space="preserve">ur la plateforme de téléprocédure du ministère du Travail en version intégrale (à titre informatif, à ce jour : www.teleaccords.travail-emploi.gouv.fr) </w:t>
      </w:r>
    </w:p>
    <w:p w14:paraId="67A98DAA" w14:textId="2EB10E2C" w:rsidP="00C033F8" w:rsidR="008F2119" w:rsidRDefault="00C033F8">
      <w:pPr>
        <w:pStyle w:val="Sansinterligne"/>
        <w:numPr>
          <w:ilvl w:val="0"/>
          <w:numId w:val="33"/>
        </w:numPr>
      </w:pPr>
      <w:r>
        <w:t>A</w:t>
      </w:r>
      <w:r w:rsidR="008F2119">
        <w:t>u secrétariat-greffe du Conseil de prud’hommes en 1 exemplaire.</w:t>
      </w:r>
    </w:p>
    <w:p w14:paraId="6EACA28C" w14:textId="77777777" w:rsidP="00692642" w:rsidR="008F2119" w:rsidRDefault="008F2119">
      <w:pPr>
        <w:pStyle w:val="Sansinterligne"/>
      </w:pPr>
      <w:r>
        <w:t xml:space="preserve"> </w:t>
      </w:r>
    </w:p>
    <w:p w14:paraId="6FE4D55C" w14:textId="77777777" w:rsidP="00692642" w:rsidR="008F2119" w:rsidRDefault="008F2119">
      <w:pPr>
        <w:pStyle w:val="Sansinterligne"/>
      </w:pPr>
      <w:r>
        <w:t>Le texte du présent accord est également affiché dans l’entreprise aux endroits habituels.</w:t>
      </w:r>
    </w:p>
    <w:p w14:paraId="21D92DF2" w14:textId="77777777" w:rsidP="00692642" w:rsidR="008F2119" w:rsidRDefault="008F2119">
      <w:pPr>
        <w:pStyle w:val="Sansinterligne"/>
      </w:pPr>
    </w:p>
    <w:p w14:paraId="0D132805" w14:textId="4DAA810A" w:rsidP="00692642" w:rsidR="008F2119" w:rsidRDefault="008F2119">
      <w:pPr>
        <w:pStyle w:val="Sansinterligne"/>
      </w:pPr>
      <w:r>
        <w:t>Fait en cinq exemplaires</w:t>
      </w:r>
      <w:r w:rsidR="00C033F8">
        <w:t>, à</w:t>
      </w:r>
      <w:r>
        <w:t xml:space="preserve"> </w:t>
      </w:r>
      <w:r w:rsidR="006D3E5E">
        <w:rPr>
          <w:b/>
        </w:rPr>
        <w:t>Saint-Saulve</w:t>
      </w:r>
      <w:r w:rsidR="00C033F8">
        <w:t>, l</w:t>
      </w:r>
      <w:r>
        <w:t xml:space="preserve">e </w:t>
      </w:r>
      <w:r w:rsidR="005C3E21">
        <w:rPr>
          <w:b/>
        </w:rPr>
        <w:t>03 mars 2022</w:t>
      </w:r>
    </w:p>
    <w:p w14:paraId="2D2F4E79" w14:textId="77777777" w:rsidP="00692642" w:rsidR="008F2119" w:rsidRDefault="008F2119">
      <w:pPr>
        <w:pStyle w:val="Sansinterligne"/>
      </w:pPr>
    </w:p>
    <w:p w14:paraId="0AE247C2" w14:textId="7C6F18B7" w:rsidP="00C033F8" w:rsidR="008F2119" w:rsidRDefault="008F2119">
      <w:pPr>
        <w:pStyle w:val="Sansinterligne"/>
        <w:ind w:left="4536"/>
      </w:pPr>
      <w:r>
        <w:t xml:space="preserve">Pour </w:t>
      </w:r>
      <w:r w:rsidR="00C033F8">
        <w:t>la société</w:t>
      </w:r>
    </w:p>
    <w:p w14:paraId="785FE75D" w14:textId="77777777" w:rsidP="00C033F8" w:rsidR="00B4054B" w:rsidRDefault="00B4054B">
      <w:pPr>
        <w:pStyle w:val="Sansinterligne"/>
        <w:ind w:left="4536"/>
      </w:pPr>
      <w:r>
        <w:t>XXXXXXX</w:t>
      </w:r>
      <w:r>
        <w:t xml:space="preserve"> </w:t>
      </w:r>
    </w:p>
    <w:p w14:paraId="43A63E55" w14:textId="3FB4063B" w:rsidP="00C033F8" w:rsidR="00C033F8" w:rsidRDefault="00C033F8">
      <w:pPr>
        <w:pStyle w:val="Sansinterligne"/>
        <w:ind w:left="4536"/>
      </w:pPr>
      <w:r>
        <w:t>Directeur</w:t>
      </w:r>
    </w:p>
    <w:p w14:paraId="4242F4B2" w14:textId="77777777" w:rsidP="00692642" w:rsidR="008F2119" w:rsidRDefault="008F2119">
      <w:pPr>
        <w:pStyle w:val="Sansinterligne"/>
      </w:pPr>
    </w:p>
    <w:p w14:paraId="40823078" w14:textId="77777777" w:rsidP="00692642" w:rsidR="008F2119" w:rsidRDefault="008F2119">
      <w:pPr>
        <w:pStyle w:val="Sansinterligne"/>
      </w:pPr>
      <w:r>
        <w:t>Pour l’organisation syndicale CGT</w:t>
      </w:r>
    </w:p>
    <w:p w14:paraId="13F97581" w14:textId="77777777" w:rsidP="00692642" w:rsidR="00B4054B" w:rsidRDefault="00B4054B">
      <w:pPr>
        <w:pStyle w:val="Sansinterligne"/>
      </w:pPr>
      <w:r>
        <w:t>XXXXXXX</w:t>
      </w:r>
      <w:r>
        <w:t xml:space="preserve"> </w:t>
      </w:r>
    </w:p>
    <w:p w14:paraId="24319EDC" w14:textId="4F65EB1C" w:rsidP="00692642" w:rsidR="00A42D30" w:rsidRDefault="008F2119" w:rsidRPr="00A42D30">
      <w:pPr>
        <w:pStyle w:val="Sansinterligne"/>
      </w:pPr>
      <w:r>
        <w:t>Délégué syndic</w:t>
      </w:r>
      <w:r w:rsidR="00A40ECD">
        <w:t>al</w:t>
      </w:r>
    </w:p>
    <w:sectPr w:rsidR="00A42D30" w:rsidRPr="00A42D30" w:rsidSect="00AD4655">
      <w:footerReference r:id="rId10" w:type="default"/>
      <w:headerReference r:id="rId11" w:type="first"/>
      <w:footerReference r:id="rId12" w:type="first"/>
      <w:pgSz w:h="16838" w:w="11906"/>
      <w:pgMar w:bottom="851" w:footer="478" w:gutter="0" w:header="708" w:left="993" w:right="1417" w:top="11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EAB6" w14:textId="77777777" w:rsidR="00A174A5" w:rsidRDefault="00A174A5" w:rsidP="00801FB3">
      <w:pPr>
        <w:spacing w:after="0" w:line="240" w:lineRule="auto"/>
      </w:pPr>
      <w:r>
        <w:separator/>
      </w:r>
    </w:p>
    <w:p w14:paraId="57062AA6" w14:textId="77777777" w:rsidR="00A174A5" w:rsidRDefault="00A174A5"/>
  </w:endnote>
  <w:endnote w:type="continuationSeparator" w:id="0">
    <w:p w14:paraId="476A128E" w14:textId="77777777" w:rsidR="00A174A5" w:rsidRDefault="00A174A5" w:rsidP="00801FB3">
      <w:pPr>
        <w:spacing w:after="0" w:line="240" w:lineRule="auto"/>
      </w:pPr>
      <w:r>
        <w:continuationSeparator/>
      </w:r>
    </w:p>
    <w:p w14:paraId="4B56A4E8" w14:textId="77777777" w:rsidR="00A174A5" w:rsidRDefault="00A17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Grilledutableau1"/>
      <w:tblW w:type="auto" w:w="0"/>
      <w:tblBorders>
        <w:top w:color="538135" w:space="0" w:sz="24" w:themeColor="accent6" w:themeShade="BF" w:val="thinThickSmallGap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7655"/>
      <w:gridCol w:w="1831"/>
    </w:tblGrid>
    <w:tr w14:paraId="68F9B7ED" w14:textId="77777777" w:rsidR="00FB3A6E" w:rsidRPr="005C488E" w:rsidTr="00604603">
      <w:trPr>
        <w:trHeight w:val="20"/>
      </w:trPr>
      <w:tc>
        <w:tcPr>
          <w:tcW w:type="dxa" w:w="7655"/>
        </w:tcPr>
        <w:p w14:paraId="7C217AAB" w14:textId="77777777" w:rsidP="00FB3A6E" w:rsidR="00FB3A6E" w:rsidRDefault="00FB3A6E" w:rsidRPr="005C488E">
          <w:pPr>
            <w:tabs>
              <w:tab w:pos="4536" w:val="center"/>
              <w:tab w:pos="9072" w:val="right"/>
            </w:tabs>
            <w:rPr>
              <w:rFonts w:cstheme="minorHAnsi" w:eastAsiaTheme="majorEastAsia"/>
              <w:sz w:val="20"/>
              <w:szCs w:val="20"/>
              <w:highlight w:val="yellow"/>
            </w:rPr>
          </w:pPr>
          <w:r>
            <w:rPr>
              <w:rFonts w:cstheme="minorHAnsi" w:eastAsiaTheme="majorEastAsia"/>
              <w:sz w:val="20"/>
              <w:szCs w:val="20"/>
            </w:rPr>
            <w:t>ACCORD COLLECTIF ETABLISSEMENT –</w:t>
          </w:r>
          <w:r w:rsidRPr="005C488E">
            <w:rPr>
              <w:rFonts w:cstheme="minorHAnsi" w:eastAsiaTheme="majorEastAsia"/>
              <w:sz w:val="20"/>
              <w:szCs w:val="20"/>
            </w:rPr>
            <w:t xml:space="preserve"> NÉGOCIATION ANNUELLE OBLIGATOIRE</w:t>
          </w:r>
          <w:r>
            <w:rPr>
              <w:rFonts w:cstheme="minorHAnsi" w:eastAsiaTheme="majorEastAsia"/>
              <w:sz w:val="20"/>
              <w:szCs w:val="20"/>
            </w:rPr>
            <w:t xml:space="preserve"> – 2022</w:t>
          </w:r>
        </w:p>
      </w:tc>
      <w:tc>
        <w:tcPr>
          <w:tcW w:type="dxa" w:w="1831"/>
        </w:tcPr>
        <w:p w14:paraId="2B6BFDF0" w14:textId="77777777" w:rsidP="00FB3A6E" w:rsidR="00FB3A6E" w:rsidRDefault="00B4054B" w:rsidRPr="005C488E">
          <w:pPr>
            <w:tabs>
              <w:tab w:pos="4536" w:val="center"/>
              <w:tab w:pos="9072" w:val="right"/>
            </w:tabs>
            <w:jc w:val="right"/>
            <w:rPr>
              <w:rFonts w:cstheme="minorHAnsi" w:eastAsiaTheme="majorEastAsia"/>
              <w:sz w:val="20"/>
              <w:szCs w:val="20"/>
            </w:rPr>
          </w:pPr>
          <w:sdt>
            <w:sdtPr>
              <w:rPr>
                <w:rFonts w:cstheme="minorHAnsi" w:eastAsiaTheme="majorEastAsia"/>
                <w:sz w:val="20"/>
                <w:szCs w:val="20"/>
              </w:rPr>
              <w:id w:val="-1850553835"/>
              <w:docPartObj>
                <w:docPartGallery w:val="Page Numbers (Bottom of Page)"/>
                <w:docPartUnique/>
              </w:docPartObj>
            </w:sdtPr>
            <w:sdtEndPr/>
            <w:sdtContent>
              <w:r w:rsidR="00FB3A6E" w:rsidRPr="005C488E">
                <w:rPr>
                  <w:rFonts w:cstheme="minorHAnsi" w:eastAsiaTheme="majorEastAsia"/>
                  <w:sz w:val="20"/>
                  <w:szCs w:val="20"/>
                </w:rPr>
                <w:t xml:space="preserve">Page </w:t>
              </w:r>
              <w:r w:rsidR="00FB3A6E" w:rsidRPr="005C488E">
                <w:rPr>
                  <w:rFonts w:cstheme="minorHAnsi" w:eastAsiaTheme="majorEastAsia"/>
                  <w:b/>
                  <w:sz w:val="20"/>
                  <w:szCs w:val="20"/>
                </w:rPr>
                <w:fldChar w:fldCharType="begin"/>
              </w:r>
              <w:r w:rsidR="00FB3A6E" w:rsidRPr="005C488E">
                <w:rPr>
                  <w:rFonts w:cstheme="minorHAnsi" w:eastAsiaTheme="majorEastAsia"/>
                  <w:b/>
                  <w:sz w:val="20"/>
                  <w:szCs w:val="20"/>
                </w:rPr>
                <w:instrText>PAGE  \* Arabic  \* MERGEFORMAT</w:instrText>
              </w:r>
              <w:r w:rsidR="00FB3A6E" w:rsidRPr="005C488E">
                <w:rPr>
                  <w:rFonts w:cstheme="minorHAnsi" w:eastAsiaTheme="majorEastAsia"/>
                  <w:b/>
                  <w:sz w:val="20"/>
                  <w:szCs w:val="20"/>
                </w:rPr>
                <w:fldChar w:fldCharType="separate"/>
              </w:r>
              <w:r w:rsidR="00FB3A6E" w:rsidRPr="005C488E">
                <w:rPr>
                  <w:rFonts w:cstheme="minorHAnsi" w:eastAsiaTheme="majorEastAsia"/>
                  <w:b/>
                  <w:sz w:val="20"/>
                  <w:szCs w:val="20"/>
                </w:rPr>
                <w:t>14</w:t>
              </w:r>
              <w:r w:rsidR="00FB3A6E" w:rsidRPr="005C488E">
                <w:rPr>
                  <w:rFonts w:cstheme="minorHAnsi" w:eastAsiaTheme="majorEastAsia"/>
                  <w:sz w:val="20"/>
                  <w:szCs w:val="20"/>
                </w:rPr>
                <w:fldChar w:fldCharType="end"/>
              </w:r>
              <w:r w:rsidR="00FB3A6E" w:rsidRPr="005C488E">
                <w:rPr>
                  <w:rFonts w:cstheme="minorHAnsi" w:eastAsiaTheme="majorEastAsia"/>
                  <w:sz w:val="20"/>
                  <w:szCs w:val="20"/>
                </w:rPr>
                <w:t xml:space="preserve"> sur </w:t>
              </w:r>
              <w:r w:rsidR="00FB3A6E" w:rsidRPr="005C488E">
                <w:rPr>
                  <w:rFonts w:cstheme="minorHAnsi"/>
                  <w:sz w:val="20"/>
                  <w:szCs w:val="20"/>
                </w:rPr>
                <w:fldChar w:fldCharType="begin"/>
              </w:r>
              <w:r w:rsidR="00FB3A6E" w:rsidRPr="005C488E">
                <w:rPr>
                  <w:rFonts w:cstheme="minorHAnsi"/>
                  <w:sz w:val="20"/>
                  <w:szCs w:val="20"/>
                </w:rPr>
                <w:instrText>NUMPAGES  \* Arabic  \* MERGEFORMAT</w:instrText>
              </w:r>
              <w:r w:rsidR="00FB3A6E" w:rsidRPr="005C488E">
                <w:rPr>
                  <w:rFonts w:cstheme="minorHAnsi"/>
                  <w:sz w:val="20"/>
                  <w:szCs w:val="20"/>
                </w:rPr>
                <w:fldChar w:fldCharType="separate"/>
              </w:r>
              <w:r w:rsidR="00FB3A6E" w:rsidRPr="005C488E">
                <w:rPr>
                  <w:rFonts w:cstheme="minorHAnsi"/>
                  <w:sz w:val="20"/>
                  <w:szCs w:val="20"/>
                </w:rPr>
                <w:t>17</w:t>
              </w:r>
              <w:r w:rsidR="00FB3A6E" w:rsidRPr="005C488E">
                <w:rPr>
                  <w:rFonts w:cstheme="minorHAnsi" w:eastAsiaTheme="majorEastAsia"/>
                  <w:b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14:paraId="076BB983" w14:textId="7FD49908" w:rsidP="00FB3A6E" w:rsidR="00AD4655" w:rsidRDefault="00AD4655" w:rsidRPr="005C488E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Grilledutableau1"/>
      <w:tblW w:type="auto" w:w="0"/>
      <w:tblBorders>
        <w:top w:color="538135" w:space="0" w:sz="24" w:themeColor="accent6" w:themeShade="BF" w:val="thinThickSmallGap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7655"/>
      <w:gridCol w:w="1831"/>
    </w:tblGrid>
    <w:tr w14:paraId="0701DDE6" w14:textId="77777777" w:rsidR="005C488E" w:rsidRPr="005C488E" w:rsidTr="00323DCE">
      <w:trPr>
        <w:trHeight w:val="20"/>
      </w:trPr>
      <w:tc>
        <w:tcPr>
          <w:tcW w:type="dxa" w:w="7655"/>
        </w:tcPr>
        <w:p w14:paraId="359DA2EE" w14:textId="5CA72D7A" w:rsidP="005C488E" w:rsidR="005C488E" w:rsidRDefault="00323DCE" w:rsidRPr="005C488E">
          <w:pPr>
            <w:tabs>
              <w:tab w:pos="4536" w:val="center"/>
              <w:tab w:pos="9072" w:val="right"/>
            </w:tabs>
            <w:rPr>
              <w:rFonts w:cstheme="minorHAnsi" w:eastAsiaTheme="majorEastAsia"/>
              <w:sz w:val="20"/>
              <w:szCs w:val="20"/>
              <w:highlight w:val="yellow"/>
            </w:rPr>
          </w:pPr>
          <w:bookmarkStart w:id="0" w:name="_Hlk96009945"/>
          <w:r>
            <w:rPr>
              <w:rFonts w:cstheme="minorHAnsi" w:eastAsiaTheme="majorEastAsia"/>
              <w:sz w:val="20"/>
              <w:szCs w:val="20"/>
            </w:rPr>
            <w:t>ACCORD COLLECTIF ETABLISSEMENT –</w:t>
          </w:r>
          <w:r w:rsidR="005C488E" w:rsidRPr="005C488E">
            <w:rPr>
              <w:rFonts w:cstheme="minorHAnsi" w:eastAsiaTheme="majorEastAsia"/>
              <w:sz w:val="20"/>
              <w:szCs w:val="20"/>
            </w:rPr>
            <w:t xml:space="preserve"> NÉGOCIATION ANNUELLE OBLIGATOIRE</w:t>
          </w:r>
          <w:r w:rsidR="005C488E">
            <w:rPr>
              <w:rFonts w:cstheme="minorHAnsi" w:eastAsiaTheme="majorEastAsia"/>
              <w:sz w:val="20"/>
              <w:szCs w:val="20"/>
            </w:rPr>
            <w:t xml:space="preserve"> </w:t>
          </w:r>
          <w:r>
            <w:rPr>
              <w:rFonts w:cstheme="minorHAnsi" w:eastAsiaTheme="majorEastAsia"/>
              <w:sz w:val="20"/>
              <w:szCs w:val="20"/>
            </w:rPr>
            <w:t>–</w:t>
          </w:r>
          <w:r w:rsidR="005C488E">
            <w:rPr>
              <w:rFonts w:cstheme="minorHAnsi" w:eastAsiaTheme="majorEastAsia"/>
              <w:sz w:val="20"/>
              <w:szCs w:val="20"/>
            </w:rPr>
            <w:t xml:space="preserve"> 2022</w:t>
          </w:r>
        </w:p>
      </w:tc>
      <w:tc>
        <w:tcPr>
          <w:tcW w:type="dxa" w:w="1831"/>
        </w:tcPr>
        <w:p w14:paraId="7B806078" w14:textId="77777777" w:rsidP="005C488E" w:rsidR="005C488E" w:rsidRDefault="00B4054B" w:rsidRPr="005C488E">
          <w:pPr>
            <w:tabs>
              <w:tab w:pos="4536" w:val="center"/>
              <w:tab w:pos="9072" w:val="right"/>
            </w:tabs>
            <w:jc w:val="right"/>
            <w:rPr>
              <w:rFonts w:cstheme="minorHAnsi" w:eastAsiaTheme="majorEastAsia"/>
              <w:sz w:val="20"/>
              <w:szCs w:val="20"/>
            </w:rPr>
          </w:pPr>
          <w:sdt>
            <w:sdtPr>
              <w:rPr>
                <w:rFonts w:cstheme="minorHAnsi" w:eastAsiaTheme="majorEastAsia"/>
                <w:sz w:val="20"/>
                <w:szCs w:val="20"/>
              </w:rPr>
              <w:id w:val="-1699536392"/>
              <w:docPartObj>
                <w:docPartGallery w:val="Page Numbers (Bottom of Page)"/>
                <w:docPartUnique/>
              </w:docPartObj>
            </w:sdtPr>
            <w:sdtEndPr/>
            <w:sdtContent>
              <w:r w:rsidR="005C488E" w:rsidRPr="005C488E">
                <w:rPr>
                  <w:rFonts w:cstheme="minorHAnsi" w:eastAsiaTheme="majorEastAsia"/>
                  <w:sz w:val="20"/>
                  <w:szCs w:val="20"/>
                </w:rPr>
                <w:t xml:space="preserve">Page </w:t>
              </w:r>
              <w:r w:rsidR="005C488E" w:rsidRPr="005C488E">
                <w:rPr>
                  <w:rFonts w:cstheme="minorHAnsi" w:eastAsiaTheme="majorEastAsia"/>
                  <w:b/>
                  <w:sz w:val="20"/>
                  <w:szCs w:val="20"/>
                </w:rPr>
                <w:fldChar w:fldCharType="begin"/>
              </w:r>
              <w:r w:rsidR="005C488E" w:rsidRPr="005C488E">
                <w:rPr>
                  <w:rFonts w:cstheme="minorHAnsi" w:eastAsiaTheme="majorEastAsia"/>
                  <w:b/>
                  <w:sz w:val="20"/>
                  <w:szCs w:val="20"/>
                </w:rPr>
                <w:instrText>PAGE  \* Arabic  \* MERGEFORMAT</w:instrText>
              </w:r>
              <w:r w:rsidR="005C488E" w:rsidRPr="005C488E">
                <w:rPr>
                  <w:rFonts w:cstheme="minorHAnsi" w:eastAsiaTheme="majorEastAsia"/>
                  <w:b/>
                  <w:sz w:val="20"/>
                  <w:szCs w:val="20"/>
                </w:rPr>
                <w:fldChar w:fldCharType="separate"/>
              </w:r>
              <w:r w:rsidR="005C488E" w:rsidRPr="005C488E">
                <w:rPr>
                  <w:rFonts w:cstheme="minorHAnsi" w:eastAsiaTheme="majorEastAsia"/>
                  <w:b/>
                  <w:sz w:val="20"/>
                  <w:szCs w:val="20"/>
                </w:rPr>
                <w:t>14</w:t>
              </w:r>
              <w:r w:rsidR="005C488E" w:rsidRPr="005C488E">
                <w:rPr>
                  <w:rFonts w:cstheme="minorHAnsi" w:eastAsiaTheme="majorEastAsia"/>
                  <w:sz w:val="20"/>
                  <w:szCs w:val="20"/>
                </w:rPr>
                <w:fldChar w:fldCharType="end"/>
              </w:r>
              <w:r w:rsidR="005C488E" w:rsidRPr="005C488E">
                <w:rPr>
                  <w:rFonts w:cstheme="minorHAnsi" w:eastAsiaTheme="majorEastAsia"/>
                  <w:sz w:val="20"/>
                  <w:szCs w:val="20"/>
                </w:rPr>
                <w:t xml:space="preserve"> sur </w:t>
              </w:r>
              <w:r w:rsidR="005C488E" w:rsidRPr="005C488E">
                <w:rPr>
                  <w:rFonts w:cstheme="minorHAnsi"/>
                  <w:sz w:val="20"/>
                  <w:szCs w:val="20"/>
                </w:rPr>
                <w:fldChar w:fldCharType="begin"/>
              </w:r>
              <w:r w:rsidR="005C488E" w:rsidRPr="005C488E">
                <w:rPr>
                  <w:rFonts w:cstheme="minorHAnsi"/>
                  <w:sz w:val="20"/>
                  <w:szCs w:val="20"/>
                </w:rPr>
                <w:instrText>NUMPAGES  \* Arabic  \* MERGEFORMAT</w:instrText>
              </w:r>
              <w:r w:rsidR="005C488E" w:rsidRPr="005C488E">
                <w:rPr>
                  <w:rFonts w:cstheme="minorHAnsi"/>
                  <w:sz w:val="20"/>
                  <w:szCs w:val="20"/>
                </w:rPr>
                <w:fldChar w:fldCharType="separate"/>
              </w:r>
              <w:r w:rsidR="005C488E" w:rsidRPr="005C488E">
                <w:rPr>
                  <w:rFonts w:cstheme="minorHAnsi"/>
                  <w:sz w:val="20"/>
                  <w:szCs w:val="20"/>
                </w:rPr>
                <w:t>17</w:t>
              </w:r>
              <w:r w:rsidR="005C488E" w:rsidRPr="005C488E">
                <w:rPr>
                  <w:rFonts w:cstheme="minorHAnsi" w:eastAsiaTheme="majorEastAsia"/>
                  <w:b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  <w:bookmarkEnd w:id="0"/>
  </w:tbl>
  <w:p w14:paraId="2E9E8934" w14:textId="274CEE2D" w:rsidP="005C488E" w:rsidR="00801FB3" w:rsidRDefault="00801FB3" w:rsidRPr="005C488E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D9E9240" w14:textId="77777777" w:rsidP="00801FB3" w:rsidR="00A174A5" w:rsidRDefault="00A174A5">
      <w:pPr>
        <w:spacing w:after="0" w:line="240" w:lineRule="auto"/>
      </w:pPr>
      <w:r>
        <w:separator/>
      </w:r>
    </w:p>
    <w:p w14:paraId="675D71F2" w14:textId="77777777" w:rsidR="00A174A5" w:rsidRDefault="00A174A5"/>
  </w:footnote>
  <w:footnote w:id="0" w:type="continuationSeparator">
    <w:p w14:paraId="3DB4B646" w14:textId="77777777" w:rsidP="00801FB3" w:rsidR="00A174A5" w:rsidRDefault="00A174A5">
      <w:pPr>
        <w:spacing w:after="0" w:line="240" w:lineRule="auto"/>
      </w:pPr>
      <w:r>
        <w:continuationSeparator/>
      </w:r>
    </w:p>
    <w:p w14:paraId="58C16250" w14:textId="77777777" w:rsidR="00A174A5" w:rsidRDefault="00A174A5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462138F" w14:textId="4348F5A6" w:rsidP="00B018DA" w:rsidR="00870F8A" w:rsidRDefault="001E2BEB">
    <w:pPr>
      <w:pStyle w:val="En-tte"/>
      <w:ind w:left="-142"/>
    </w:pPr>
    <w:r w:rsidRPr="00801FB3">
      <w:rPr>
        <w:noProof/>
      </w:rPr>
      <w:drawing>
        <wp:anchor allowOverlap="1" behindDoc="0" distB="0" distL="114300" distR="114300" distT="0" layoutInCell="1" locked="0" relativeHeight="251659264" simplePos="0" wp14:anchorId="6104A856" wp14:editId="2F601731">
          <wp:simplePos x="0" y="0"/>
          <wp:positionH relativeFrom="column">
            <wp:posOffset>-276225</wp:posOffset>
          </wp:positionH>
          <wp:positionV relativeFrom="page">
            <wp:posOffset>296545</wp:posOffset>
          </wp:positionV>
          <wp:extent cx="1162800" cy="720000"/>
          <wp:effectExtent b="4445" l="0" r="0" t="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500" t="18500"/>
                  <a:stretch/>
                </pic:blipFill>
                <pic:spPr bwMode="auto">
                  <a:xfrm>
                    <a:off x="0" y="0"/>
                    <a:ext cx="1162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B548FC"/>
    <w:multiLevelType w:val="hybridMultilevel"/>
    <w:tmpl w:val="83D0553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3F84339"/>
    <w:multiLevelType w:val="hybridMultilevel"/>
    <w:tmpl w:val="6D1C677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C534E7A"/>
    <w:multiLevelType w:val="hybridMultilevel"/>
    <w:tmpl w:val="A7D66AC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F507581"/>
    <w:multiLevelType w:val="hybridMultilevel"/>
    <w:tmpl w:val="4FA82E8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04B0863"/>
    <w:multiLevelType w:val="hybridMultilevel"/>
    <w:tmpl w:val="8CD8BE9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3FB185D"/>
    <w:multiLevelType w:val="hybridMultilevel"/>
    <w:tmpl w:val="9566E39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8D64850"/>
    <w:multiLevelType w:val="hybridMultilevel"/>
    <w:tmpl w:val="E8BAB12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D665335"/>
    <w:multiLevelType w:val="hybridMultilevel"/>
    <w:tmpl w:val="9FDE6F1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D781566"/>
    <w:multiLevelType w:val="hybridMultilevel"/>
    <w:tmpl w:val="1D3CE84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DB956C0"/>
    <w:multiLevelType w:val="hybridMultilevel"/>
    <w:tmpl w:val="7440336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DFB1F12"/>
    <w:multiLevelType w:val="hybridMultilevel"/>
    <w:tmpl w:val="60EE267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20E7D2F"/>
    <w:multiLevelType w:val="hybridMultilevel"/>
    <w:tmpl w:val="78803F7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3AF6CB5"/>
    <w:multiLevelType w:val="hybridMultilevel"/>
    <w:tmpl w:val="741AA40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BD7704E"/>
    <w:multiLevelType w:val="hybridMultilevel"/>
    <w:tmpl w:val="67C6930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D477C64"/>
    <w:multiLevelType w:val="hybridMultilevel"/>
    <w:tmpl w:val="CB60B95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7263E4B"/>
    <w:multiLevelType w:val="hybridMultilevel"/>
    <w:tmpl w:val="F07C79D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D8101F9"/>
    <w:multiLevelType w:val="hybridMultilevel"/>
    <w:tmpl w:val="C95A13D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ECB03D2"/>
    <w:multiLevelType w:val="hybridMultilevel"/>
    <w:tmpl w:val="8D903482"/>
    <w:lvl w:ilvl="0" w:tplc="A770E6DC">
      <w:start w:val="1"/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19D4910"/>
    <w:multiLevelType w:val="hybridMultilevel"/>
    <w:tmpl w:val="1D4C353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1F02F77"/>
    <w:multiLevelType w:val="hybridMultilevel"/>
    <w:tmpl w:val="6E80C4F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3E42BA1"/>
    <w:multiLevelType w:val="hybridMultilevel"/>
    <w:tmpl w:val="009CDBC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7FE048C"/>
    <w:multiLevelType w:val="hybridMultilevel"/>
    <w:tmpl w:val="45067AB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9782496"/>
    <w:multiLevelType w:val="hybridMultilevel"/>
    <w:tmpl w:val="6AFCAAF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BA47129"/>
    <w:multiLevelType w:val="hybridMultilevel"/>
    <w:tmpl w:val="E2F441B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BBD3641"/>
    <w:multiLevelType w:val="hybridMultilevel"/>
    <w:tmpl w:val="3E5E178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C5903FD"/>
    <w:multiLevelType w:val="hybridMultilevel"/>
    <w:tmpl w:val="6026EA2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DA12720"/>
    <w:multiLevelType w:val="hybridMultilevel"/>
    <w:tmpl w:val="49BAEA3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3416E6C"/>
    <w:multiLevelType w:val="hybridMultilevel"/>
    <w:tmpl w:val="91F4E50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CA954DB"/>
    <w:multiLevelType w:val="hybridMultilevel"/>
    <w:tmpl w:val="23B40BC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E005781"/>
    <w:multiLevelType w:val="hybridMultilevel"/>
    <w:tmpl w:val="7C60053C"/>
    <w:lvl w:ilvl="0" w:tplc="FFFFFFFF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A770E6DC">
      <w:start w:val="1"/>
      <w:numFmt w:val="bullet"/>
      <w:lvlText w:val="-"/>
      <w:lvlJc w:val="left"/>
      <w:pPr>
        <w:ind w:hanging="360" w:left="1440"/>
      </w:pPr>
      <w:rPr>
        <w:rFonts w:ascii="Calibri" w:cs="Times New Roman" w:eastAsia="Calibri" w:hAnsi="Calibri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8B6533"/>
    <w:multiLevelType w:val="hybridMultilevel"/>
    <w:tmpl w:val="31E8E03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0DF5862"/>
    <w:multiLevelType w:val="hybridMultilevel"/>
    <w:tmpl w:val="CD8ABE8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AB96D99"/>
    <w:multiLevelType w:val="hybridMultilevel"/>
    <w:tmpl w:val="B678CFBC"/>
    <w:lvl w:ilvl="0" w:tplc="B5FC2954">
      <w:start w:val="1"/>
      <w:numFmt w:val="bullet"/>
      <w:lvlText w:val="-"/>
      <w:lvlJc w:val="left"/>
      <w:pPr>
        <w:ind w:hanging="360" w:left="720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B9D7BF4"/>
    <w:multiLevelType w:val="hybridMultilevel"/>
    <w:tmpl w:val="15AA63F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BC92BC1"/>
    <w:multiLevelType w:val="hybridMultilevel"/>
    <w:tmpl w:val="9A96F03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14"/>
  </w:num>
  <w:num w:numId="4">
    <w:abstractNumId w:val="2"/>
  </w:num>
  <w:num w:numId="5">
    <w:abstractNumId w:val="6"/>
  </w:num>
  <w:num w:numId="6">
    <w:abstractNumId w:val="10"/>
  </w:num>
  <w:num w:numId="7">
    <w:abstractNumId w:val="33"/>
  </w:num>
  <w:num w:numId="8">
    <w:abstractNumId w:val="12"/>
  </w:num>
  <w:num w:numId="9">
    <w:abstractNumId w:val="21"/>
  </w:num>
  <w:num w:numId="10">
    <w:abstractNumId w:val="24"/>
  </w:num>
  <w:num w:numId="11">
    <w:abstractNumId w:val="30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  <w:num w:numId="16">
    <w:abstractNumId w:val="25"/>
  </w:num>
  <w:num w:numId="17">
    <w:abstractNumId w:val="15"/>
  </w:num>
  <w:num w:numId="18">
    <w:abstractNumId w:val="16"/>
  </w:num>
  <w:num w:numId="19">
    <w:abstractNumId w:val="29"/>
  </w:num>
  <w:num w:numId="20">
    <w:abstractNumId w:val="17"/>
  </w:num>
  <w:num w:numId="21">
    <w:abstractNumId w:val="31"/>
  </w:num>
  <w:num w:numId="22">
    <w:abstractNumId w:val="28"/>
  </w:num>
  <w:num w:numId="23">
    <w:abstractNumId w:val="23"/>
  </w:num>
  <w:num w:numId="24">
    <w:abstractNumId w:val="27"/>
  </w:num>
  <w:num w:numId="25">
    <w:abstractNumId w:val="8"/>
  </w:num>
  <w:num w:numId="26">
    <w:abstractNumId w:val="3"/>
  </w:num>
  <w:num w:numId="27">
    <w:abstractNumId w:val="5"/>
  </w:num>
  <w:num w:numId="28">
    <w:abstractNumId w:val="18"/>
  </w:num>
  <w:num w:numId="29">
    <w:abstractNumId w:val="20"/>
  </w:num>
  <w:num w:numId="30">
    <w:abstractNumId w:val="26"/>
  </w:num>
  <w:num w:numId="31">
    <w:abstractNumId w:val="9"/>
  </w:num>
  <w:num w:numId="32">
    <w:abstractNumId w:val="4"/>
  </w:num>
  <w:num w:numId="33">
    <w:abstractNumId w:val="22"/>
  </w:num>
  <w:num w:numId="34">
    <w:abstractNumId w:val="19"/>
  </w:num>
  <w:num w:numId="35">
    <w:abstractNumId w:val="3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ocumentProtection w:edit="readOnly" w:enforcement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B3"/>
    <w:rsid w:val="00001E47"/>
    <w:rsid w:val="00010C7E"/>
    <w:rsid w:val="00026F46"/>
    <w:rsid w:val="00043C67"/>
    <w:rsid w:val="000474CE"/>
    <w:rsid w:val="00056E0C"/>
    <w:rsid w:val="00057270"/>
    <w:rsid w:val="00057ECC"/>
    <w:rsid w:val="000617F4"/>
    <w:rsid w:val="000B3D0E"/>
    <w:rsid w:val="000B6139"/>
    <w:rsid w:val="000B6DEA"/>
    <w:rsid w:val="001015C8"/>
    <w:rsid w:val="001064A6"/>
    <w:rsid w:val="001927DD"/>
    <w:rsid w:val="001B4297"/>
    <w:rsid w:val="001B50B4"/>
    <w:rsid w:val="001E0EAE"/>
    <w:rsid w:val="001E2BEB"/>
    <w:rsid w:val="001E5AE2"/>
    <w:rsid w:val="00206652"/>
    <w:rsid w:val="00236E2D"/>
    <w:rsid w:val="002509D6"/>
    <w:rsid w:val="0025736D"/>
    <w:rsid w:val="002A1A75"/>
    <w:rsid w:val="00311F15"/>
    <w:rsid w:val="00322EAB"/>
    <w:rsid w:val="00323DCE"/>
    <w:rsid w:val="00355A00"/>
    <w:rsid w:val="003805AF"/>
    <w:rsid w:val="003813CD"/>
    <w:rsid w:val="003A65B8"/>
    <w:rsid w:val="003A6A8B"/>
    <w:rsid w:val="003C4D33"/>
    <w:rsid w:val="003F4198"/>
    <w:rsid w:val="003F566F"/>
    <w:rsid w:val="003F671D"/>
    <w:rsid w:val="00452DCA"/>
    <w:rsid w:val="00464710"/>
    <w:rsid w:val="00470C81"/>
    <w:rsid w:val="004B6271"/>
    <w:rsid w:val="00513397"/>
    <w:rsid w:val="00521A44"/>
    <w:rsid w:val="005309DA"/>
    <w:rsid w:val="00546D4A"/>
    <w:rsid w:val="00551882"/>
    <w:rsid w:val="00564B57"/>
    <w:rsid w:val="00574A89"/>
    <w:rsid w:val="00593BCB"/>
    <w:rsid w:val="005A4091"/>
    <w:rsid w:val="005B3736"/>
    <w:rsid w:val="005C3E21"/>
    <w:rsid w:val="005C488E"/>
    <w:rsid w:val="005E1DC2"/>
    <w:rsid w:val="005E5DC2"/>
    <w:rsid w:val="00614CFC"/>
    <w:rsid w:val="00616DF1"/>
    <w:rsid w:val="0063615B"/>
    <w:rsid w:val="00652733"/>
    <w:rsid w:val="006643C6"/>
    <w:rsid w:val="00675E0B"/>
    <w:rsid w:val="00682829"/>
    <w:rsid w:val="00692642"/>
    <w:rsid w:val="006B0610"/>
    <w:rsid w:val="006B5DAC"/>
    <w:rsid w:val="006D3E5E"/>
    <w:rsid w:val="00704E4B"/>
    <w:rsid w:val="00712A26"/>
    <w:rsid w:val="00715272"/>
    <w:rsid w:val="00753CE1"/>
    <w:rsid w:val="007841BD"/>
    <w:rsid w:val="00787291"/>
    <w:rsid w:val="007A6BB8"/>
    <w:rsid w:val="007C1981"/>
    <w:rsid w:val="007E1193"/>
    <w:rsid w:val="00801FB3"/>
    <w:rsid w:val="00825C65"/>
    <w:rsid w:val="00870F8A"/>
    <w:rsid w:val="008C3CAA"/>
    <w:rsid w:val="008C776E"/>
    <w:rsid w:val="008F2119"/>
    <w:rsid w:val="00933895"/>
    <w:rsid w:val="0095778B"/>
    <w:rsid w:val="009B2560"/>
    <w:rsid w:val="009C619C"/>
    <w:rsid w:val="00A16E33"/>
    <w:rsid w:val="00A174A5"/>
    <w:rsid w:val="00A2509E"/>
    <w:rsid w:val="00A40ECD"/>
    <w:rsid w:val="00A42D30"/>
    <w:rsid w:val="00AA1440"/>
    <w:rsid w:val="00AB6EBF"/>
    <w:rsid w:val="00AD049A"/>
    <w:rsid w:val="00AD4655"/>
    <w:rsid w:val="00AE409E"/>
    <w:rsid w:val="00B018DA"/>
    <w:rsid w:val="00B21E12"/>
    <w:rsid w:val="00B34B5D"/>
    <w:rsid w:val="00B4054B"/>
    <w:rsid w:val="00B702A6"/>
    <w:rsid w:val="00B76699"/>
    <w:rsid w:val="00B858BE"/>
    <w:rsid w:val="00BB2F52"/>
    <w:rsid w:val="00BF4122"/>
    <w:rsid w:val="00C033F8"/>
    <w:rsid w:val="00C2353E"/>
    <w:rsid w:val="00C33C9A"/>
    <w:rsid w:val="00C639D9"/>
    <w:rsid w:val="00CA00F2"/>
    <w:rsid w:val="00CA332A"/>
    <w:rsid w:val="00CA3402"/>
    <w:rsid w:val="00CB256B"/>
    <w:rsid w:val="00D14852"/>
    <w:rsid w:val="00D87E57"/>
    <w:rsid w:val="00DC04AC"/>
    <w:rsid w:val="00DF2008"/>
    <w:rsid w:val="00DF258D"/>
    <w:rsid w:val="00E2339D"/>
    <w:rsid w:val="00E25CBD"/>
    <w:rsid w:val="00E46716"/>
    <w:rsid w:val="00E55814"/>
    <w:rsid w:val="00E70E6C"/>
    <w:rsid w:val="00E72127"/>
    <w:rsid w:val="00E7599D"/>
    <w:rsid w:val="00F10524"/>
    <w:rsid w:val="00FB0911"/>
    <w:rsid w:val="00FB1E57"/>
    <w:rsid w:val="00F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52A40D2"/>
  <w15:chartTrackingRefBased/>
  <w15:docId w15:val="{4486A96D-FC7B-43FD-BFA3-05DA6CC8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uiPriority="0"/>
    <w:lsdException w:name="heading 1" w:qFormat="1" w:uiPriority="9"/>
    <w:lsdException w:name="heading 2" w:qFormat="1" w:semiHidden="1" w:uiPriority="9" w:unhideWhenUsed="1"/>
    <w:lsdException w:name="heading 3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rsid w:val="00B858BE"/>
  </w:style>
  <w:style w:styleId="Titre1" w:type="paragraph">
    <w:name w:val="heading 1"/>
    <w:aliases w:val="Clause"/>
    <w:basedOn w:val="Normal"/>
    <w:next w:val="Normal"/>
    <w:link w:val="Titre1Car"/>
    <w:uiPriority w:val="9"/>
    <w:qFormat/>
    <w:rsid w:val="00801FB3"/>
    <w:pPr>
      <w:keepNext/>
      <w:spacing w:after="0" w:line="240" w:lineRule="auto"/>
      <w:jc w:val="both"/>
      <w:outlineLvl w:val="0"/>
    </w:pPr>
    <w:rPr>
      <w:rFonts w:ascii="Calibri" w:cs="Calibri" w:eastAsia="Times New Roman" w:hAnsi="Calibri"/>
      <w:b/>
      <w:bCs/>
      <w:szCs w:val="24"/>
      <w:u w:val="single"/>
      <w:lang w:eastAsia="fr-FR"/>
    </w:rPr>
  </w:style>
  <w:style w:styleId="Titre2" w:type="paragraph">
    <w:name w:val="heading 2"/>
    <w:aliases w:val="En-tête TL"/>
    <w:basedOn w:val="Normal"/>
    <w:next w:val="Normal"/>
    <w:link w:val="Titre2Car"/>
    <w:uiPriority w:val="9"/>
    <w:unhideWhenUsed/>
    <w:qFormat/>
    <w:rsid w:val="00801FB3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0" w:line="240" w:lineRule="auto"/>
      <w:jc w:val="center"/>
      <w:outlineLvl w:val="1"/>
    </w:pPr>
    <w:rPr>
      <w:rFonts w:ascii="Calibri" w:cs="Times New Roman" w:eastAsia="Times New Roman" w:hAnsi="Calibri"/>
      <w:b/>
      <w:bCs/>
      <w:color w:val="000000"/>
      <w:sz w:val="32"/>
      <w:szCs w:val="28"/>
      <w:lang w:eastAsia="fr-FR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rsid w:val="00E72127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8F2119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01FB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01FB3"/>
  </w:style>
  <w:style w:styleId="Pieddepage" w:type="paragraph">
    <w:name w:val="footer"/>
    <w:basedOn w:val="Normal"/>
    <w:link w:val="PieddepageCar"/>
    <w:uiPriority w:val="99"/>
    <w:unhideWhenUsed/>
    <w:rsid w:val="00801FB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01FB3"/>
  </w:style>
  <w:style w:styleId="Sansinterligne" w:type="paragraph">
    <w:name w:val="No Spacing"/>
    <w:aliases w:val="Texte TL"/>
    <w:basedOn w:val="Normal"/>
    <w:uiPriority w:val="1"/>
    <w:qFormat/>
    <w:rsid w:val="00801FB3"/>
    <w:pPr>
      <w:spacing w:after="0" w:line="240" w:lineRule="auto"/>
      <w:jc w:val="both"/>
    </w:pPr>
    <w:rPr>
      <w:rFonts w:ascii="Calibri" w:cs="Times New Roman" w:eastAsia="Calibri" w:hAnsi="Calibri"/>
      <w:bCs/>
      <w:iCs/>
    </w:rPr>
  </w:style>
  <w:style w:customStyle="1" w:styleId="Titre1Car" w:type="character">
    <w:name w:val="Titre 1 Car"/>
    <w:aliases w:val="Clause Car"/>
    <w:basedOn w:val="Policepardfaut"/>
    <w:link w:val="Titre1"/>
    <w:uiPriority w:val="9"/>
    <w:rsid w:val="00801FB3"/>
    <w:rPr>
      <w:rFonts w:ascii="Calibri" w:cs="Calibri" w:eastAsia="Times New Roman" w:hAnsi="Calibri"/>
      <w:b/>
      <w:bCs/>
      <w:szCs w:val="24"/>
      <w:u w:val="single"/>
      <w:lang w:eastAsia="fr-FR"/>
    </w:rPr>
  </w:style>
  <w:style w:customStyle="1" w:styleId="Titre2Car" w:type="character">
    <w:name w:val="Titre 2 Car"/>
    <w:aliases w:val="En-tête TL Car"/>
    <w:basedOn w:val="Policepardfaut"/>
    <w:link w:val="Titre2"/>
    <w:uiPriority w:val="9"/>
    <w:rsid w:val="00801FB3"/>
    <w:rPr>
      <w:rFonts w:ascii="Calibri" w:cs="Times New Roman" w:eastAsia="Times New Roman" w:hAnsi="Calibri"/>
      <w:b/>
      <w:bCs/>
      <w:color w:val="000000"/>
      <w:sz w:val="32"/>
      <w:szCs w:val="28"/>
      <w:lang w:eastAsia="fr-FR"/>
    </w:rPr>
  </w:style>
  <w:style w:styleId="lev" w:type="character">
    <w:name w:val="Strong"/>
    <w:aliases w:val="Préambule TL"/>
    <w:uiPriority w:val="22"/>
    <w:qFormat/>
    <w:rsid w:val="00801FB3"/>
    <w:rPr>
      <w:rFonts w:ascii="Calibri" w:cs="Times New Roman" w:eastAsia="Times New Roman" w:hAnsi="Calibri"/>
      <w:b/>
      <w:bCs/>
      <w:color w:val="000000"/>
      <w:sz w:val="28"/>
      <w:szCs w:val="28"/>
      <w:u w:val="single"/>
    </w:rPr>
  </w:style>
  <w:style w:styleId="Citation" w:type="paragraph">
    <w:name w:val="Quote"/>
    <w:aliases w:val="Titre 1 TL"/>
    <w:basedOn w:val="Normal"/>
    <w:next w:val="Normal"/>
    <w:link w:val="CitationCar"/>
    <w:uiPriority w:val="29"/>
    <w:qFormat/>
    <w:rsid w:val="00801FB3"/>
    <w:pPr>
      <w:keepNext/>
      <w:keepLines/>
      <w:spacing w:after="0" w:line="240" w:lineRule="auto"/>
      <w:ind w:left="1418"/>
      <w:jc w:val="both"/>
      <w:outlineLvl w:val="1"/>
    </w:pPr>
    <w:rPr>
      <w:rFonts w:ascii="Calibri" w:cs="Times New Roman" w:eastAsia="Times New Roman" w:hAnsi="Calibri"/>
      <w:b/>
      <w:bCs/>
      <w:color w:val="000000"/>
      <w:sz w:val="28"/>
      <w:szCs w:val="26"/>
      <w:u w:val="single"/>
    </w:rPr>
  </w:style>
  <w:style w:customStyle="1" w:styleId="CitationCar" w:type="character">
    <w:name w:val="Citation Car"/>
    <w:aliases w:val="Titre 1 TL Car"/>
    <w:basedOn w:val="Policepardfaut"/>
    <w:link w:val="Citation"/>
    <w:uiPriority w:val="29"/>
    <w:rsid w:val="00801FB3"/>
    <w:rPr>
      <w:rFonts w:ascii="Calibri" w:cs="Times New Roman" w:eastAsia="Times New Roman" w:hAnsi="Calibri"/>
      <w:b/>
      <w:bCs/>
      <w:color w:val="000000"/>
      <w:sz w:val="28"/>
      <w:szCs w:val="26"/>
      <w:u w:val="single"/>
    </w:rPr>
  </w:style>
  <w:style w:styleId="Citationintense" w:type="paragraph">
    <w:name w:val="Intense Quote"/>
    <w:aliases w:val="Titre 2 TL"/>
    <w:basedOn w:val="Normal"/>
    <w:next w:val="Normal"/>
    <w:link w:val="CitationintenseCar"/>
    <w:uiPriority w:val="30"/>
    <w:qFormat/>
    <w:rsid w:val="00801FB3"/>
    <w:pPr>
      <w:keepNext/>
      <w:keepLines/>
      <w:spacing w:after="0" w:line="240" w:lineRule="auto"/>
      <w:ind w:left="708"/>
      <w:jc w:val="both"/>
      <w:outlineLvl w:val="2"/>
    </w:pPr>
    <w:rPr>
      <w:rFonts w:ascii="Calibri" w:cs="Times New Roman" w:eastAsia="Times New Roman" w:hAnsi="Calibri"/>
      <w:bCs/>
      <w:color w:val="000000"/>
      <w:u w:val="single"/>
    </w:rPr>
  </w:style>
  <w:style w:customStyle="1" w:styleId="CitationintenseCar" w:type="character">
    <w:name w:val="Citation intense Car"/>
    <w:aliases w:val="Titre 2 TL Car"/>
    <w:basedOn w:val="Policepardfaut"/>
    <w:link w:val="Citationintense"/>
    <w:uiPriority w:val="30"/>
    <w:rsid w:val="00801FB3"/>
    <w:rPr>
      <w:rFonts w:ascii="Calibri" w:cs="Times New Roman" w:eastAsia="Times New Roman" w:hAnsi="Calibri"/>
      <w:bCs/>
      <w:color w:val="000000"/>
      <w:u w:val="single"/>
    </w:rPr>
  </w:style>
  <w:style w:styleId="Rfrencelgre" w:type="character">
    <w:name w:val="Subtle Reference"/>
    <w:aliases w:val="Titre 3 TL"/>
    <w:uiPriority w:val="31"/>
    <w:qFormat/>
    <w:rsid w:val="00801FB3"/>
    <w:rPr>
      <w:rFonts w:ascii="Calibri" w:cs="Times New Roman" w:eastAsia="Times New Roman" w:hAnsi="Calibri"/>
      <w:bCs/>
      <w:iCs/>
      <w:color w:val="000000"/>
    </w:rPr>
  </w:style>
  <w:style w:styleId="Rfrenceintense" w:type="character">
    <w:name w:val="Intense Reference"/>
    <w:aliases w:val="Titre 4 TL"/>
    <w:uiPriority w:val="32"/>
    <w:qFormat/>
    <w:rsid w:val="00801FB3"/>
    <w:rPr>
      <w:rFonts w:ascii="Times New Roman" w:cs="Times New Roman" w:eastAsia="Times New Roman" w:hAnsi="Times New Roman"/>
      <w:i/>
      <w:color w:val="000000"/>
    </w:rPr>
  </w:style>
  <w:style w:styleId="Grilledutableau" w:type="table">
    <w:name w:val="Table Grid"/>
    <w:basedOn w:val="TableauNormal"/>
    <w:uiPriority w:val="39"/>
    <w:rsid w:val="00546D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re3Car" w:type="character">
    <w:name w:val="Titre 3 Car"/>
    <w:basedOn w:val="Policepardfaut"/>
    <w:link w:val="Titre3"/>
    <w:uiPriority w:val="9"/>
    <w:semiHidden/>
    <w:rsid w:val="00E72127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TM2" w:type="paragraph">
    <w:name w:val="toc 2"/>
    <w:basedOn w:val="Normal"/>
    <w:next w:val="Normal"/>
    <w:autoRedefine/>
    <w:uiPriority w:val="39"/>
    <w:unhideWhenUsed/>
    <w:rsid w:val="00D87E57"/>
    <w:pPr>
      <w:tabs>
        <w:tab w:leader="dot" w:pos="9486" w:val="right"/>
      </w:tabs>
      <w:spacing w:after="100" w:line="240" w:lineRule="auto"/>
      <w:ind w:left="220"/>
    </w:pPr>
  </w:style>
  <w:style w:styleId="TM1" w:type="paragraph">
    <w:name w:val="toc 1"/>
    <w:basedOn w:val="Normal"/>
    <w:next w:val="Normal"/>
    <w:autoRedefine/>
    <w:uiPriority w:val="39"/>
    <w:semiHidden/>
    <w:unhideWhenUsed/>
    <w:rsid w:val="00D87E57"/>
    <w:pPr>
      <w:spacing w:after="100"/>
    </w:pPr>
  </w:style>
  <w:style w:styleId="TM3" w:type="paragraph">
    <w:name w:val="toc 3"/>
    <w:basedOn w:val="Normal"/>
    <w:next w:val="Normal"/>
    <w:autoRedefine/>
    <w:uiPriority w:val="39"/>
    <w:unhideWhenUsed/>
    <w:rsid w:val="00D87E57"/>
    <w:pPr>
      <w:spacing w:after="100"/>
      <w:ind w:left="440"/>
    </w:pPr>
  </w:style>
  <w:style w:styleId="Lienhypertexte" w:type="character">
    <w:name w:val="Hyperlink"/>
    <w:basedOn w:val="Policepardfaut"/>
    <w:uiPriority w:val="99"/>
    <w:unhideWhenUsed/>
    <w:rsid w:val="00D87E57"/>
    <w:rPr>
      <w:color w:themeColor="hyperlink" w:val="0563C1"/>
      <w:u w:val="single"/>
    </w:rPr>
  </w:style>
  <w:style w:customStyle="1" w:styleId="Titre4Car" w:type="character">
    <w:name w:val="Titre 4 Car"/>
    <w:basedOn w:val="Policepardfaut"/>
    <w:link w:val="Titre4"/>
    <w:uiPriority w:val="9"/>
    <w:semiHidden/>
    <w:rsid w:val="008F2119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customStyle="1" w:styleId="Grilledutableau1" w:type="table">
    <w:name w:val="Grille du tableau1"/>
    <w:basedOn w:val="TableauNormal"/>
    <w:next w:val="Grilledutableau"/>
    <w:uiPriority w:val="39"/>
    <w:rsid w:val="005C48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E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1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1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66E02157725419005D08C01DC51BD" ma:contentTypeVersion="13" ma:contentTypeDescription="Crée un document." ma:contentTypeScope="" ma:versionID="057ba37196f994bf7c6a5a521e79772e">
  <xsd:schema xmlns:xsd="http://www.w3.org/2001/XMLSchema" xmlns:xs="http://www.w3.org/2001/XMLSchema" xmlns:p="http://schemas.microsoft.com/office/2006/metadata/properties" xmlns:ns2="2b1b8b68-5c8a-4e6b-98b0-1fbc93fa7c9d" xmlns:ns3="38813399-c742-4daf-986f-6bfdae99b64a" targetNamespace="http://schemas.microsoft.com/office/2006/metadata/properties" ma:root="true" ma:fieldsID="e751d1f43a560508de4e3a68e1938709" ns2:_="" ns3:_="">
    <xsd:import namespace="2b1b8b68-5c8a-4e6b-98b0-1fbc93fa7c9d"/>
    <xsd:import namespace="38813399-c742-4daf-986f-6bfdae99b6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b8b68-5c8a-4e6b-98b0-1fbc93fa7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13399-c742-4daf-986f-6bfdae99b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E8B99-9B82-48FB-9A7F-35E070EEF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A7C435-4E90-477F-9A66-1CA0E0675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b8b68-5c8a-4e6b-98b0-1fbc93fa7c9d"/>
    <ds:schemaRef ds:uri="38813399-c742-4daf-986f-6bfdae99b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4CAD69-3459-40C7-901D-CF125BF3C1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1052</Words>
  <Characters>5788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2022-03-23T08:39:00Z</dcterms:created>
  <dcterms:modified xsi:type="dcterms:W3CDTF">2022-03-23T08:41:00Z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0x01010098666E02157725419005D08C01DC51BD</vt:lpwstr>
  </property>
</Properties>
</file>