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sz w:val="28"/>
          <w:szCs w:val="20"/>
        </w:rPr>
        <w:t xml:space="preserve">Accord annuel sur les salaires et le temps de travail </w:t>
      </w:r>
    </w:p>
    <w:p>
      <w:pPr>
        <w:pStyle w:val="Normal"/>
        <w:jc w:val="center"/>
        <w:rPr>
          <w:rFonts w:ascii="Arial" w:hAnsi="Arial" w:cs="Arial"/>
          <w:b/>
          <w:b/>
          <w:sz w:val="28"/>
          <w:szCs w:val="20"/>
        </w:rPr>
      </w:pPr>
      <w:r>
        <w:rPr>
          <w:rFonts w:cs="Arial" w:ascii="Arial" w:hAnsi="Arial"/>
          <w:b/>
          <w:sz w:val="28"/>
          <w:szCs w:val="20"/>
        </w:rPr>
        <w:t>Année 2023</w:t>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sz w:val="20"/>
          <w:szCs w:val="20"/>
        </w:rPr>
      </w:pPr>
      <w:r>
        <w:rPr>
          <w:rFonts w:cs="Arial" w:ascii="Arial" w:hAnsi="Arial"/>
          <w:sz w:val="20"/>
          <w:szCs w:val="20"/>
        </w:rPr>
        <w:t>Entre les soussignés,</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D’une part,</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La Société TOYOTA MOTOR MANUFACTURING France SAS (TMMF), désignée ci-après comme l’Entreprise, représentée par Monsieur xxx, Président,</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Et,</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D’autre part,</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Les organisations syndicales représentées par les Délégués Syndicaux.</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Est convenu ce qui suit en vertu d’un accord collectif d’entreprise conforme aux dispositions des articles L. 2242-1 et suivants du Code du travail.</w:t>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Heading"/>
        <w:pBdr/>
        <w:spacing w:lineRule="exact" w:line="400"/>
        <w:jc w:val="left"/>
        <w:rPr>
          <w:rFonts w:ascii="Arial" w:hAnsi="Arial" w:cs="Arial"/>
          <w:b w:val="false"/>
          <w:b w:val="false"/>
          <w:color w:val="000000"/>
          <w:sz w:val="20"/>
        </w:rPr>
      </w:pPr>
      <w:r>
        <w:rPr>
          <w:rFonts w:cs="Arial" w:ascii="Arial" w:hAnsi="Arial"/>
          <w:b w:val="false"/>
          <w:color w:val="000000"/>
          <w:sz w:val="20"/>
        </w:rPr>
        <w:t>Fait à Onnaing, le 23 décembre 2022 en 7 exemplaires</w:t>
      </w:r>
    </w:p>
    <w:p>
      <w:pPr>
        <w:pStyle w:val="Heading"/>
        <w:pBdr/>
        <w:spacing w:lineRule="exact" w:line="400"/>
        <w:jc w:val="both"/>
        <w:rPr>
          <w:rFonts w:ascii="Arial" w:hAnsi="Arial" w:cs="Arial"/>
          <w:b w:val="false"/>
          <w:b w:val="false"/>
          <w:color w:val="000000"/>
          <w:sz w:val="20"/>
        </w:rPr>
      </w:pPr>
      <w:r>
        <w:rPr>
          <w:rFonts w:cs="Arial" w:ascii="Arial" w:hAnsi="Arial"/>
          <w:b w:val="false"/>
          <w:color w:val="000000"/>
          <w:sz w:val="20"/>
        </w:rPr>
      </w:r>
    </w:p>
    <w:p>
      <w:pPr>
        <w:pStyle w:val="Heading"/>
        <w:pBdr/>
        <w:spacing w:lineRule="exact" w:line="400"/>
        <w:jc w:val="both"/>
        <w:rPr/>
      </w:pPr>
      <w:r>
        <w:rPr>
          <w:rFonts w:cs="Arial" w:ascii="Arial" w:hAnsi="Arial"/>
          <w:color w:val="000000"/>
          <w:sz w:val="20"/>
        </w:rPr>
        <w:t>Jim CROSBIE</w:t>
        <w:tab/>
        <w:tab/>
        <w:tab/>
        <w:tab/>
      </w:r>
      <w:r>
        <w:rPr>
          <w:rFonts w:cs="Arial" w:ascii="Arial" w:hAnsi="Arial"/>
          <w:bCs/>
          <w:color w:val="000000"/>
          <w:sz w:val="20"/>
        </w:rPr>
        <w:t>Pour la CFDT</w:t>
      </w:r>
    </w:p>
    <w:p>
      <w:pPr>
        <w:pStyle w:val="Heading"/>
        <w:pBdr/>
        <w:spacing w:lineRule="exact" w:line="400"/>
        <w:jc w:val="both"/>
        <w:rPr>
          <w:rFonts w:ascii="Arial" w:hAnsi="Arial" w:cs="Arial"/>
          <w:color w:val="000000"/>
          <w:sz w:val="20"/>
        </w:rPr>
      </w:pPr>
      <w:r>
        <w:rPr>
          <w:rFonts w:cs="Arial" w:ascii="Arial" w:hAnsi="Arial"/>
          <w:bCs/>
          <w:color w:val="000000"/>
          <w:sz w:val="20"/>
        </w:rPr>
        <w:t>Président</w:t>
        <w:tab/>
        <w:tab/>
        <w:tab/>
        <w:tab/>
      </w:r>
    </w:p>
    <w:p>
      <w:pPr>
        <w:pStyle w:val="Heading"/>
        <w:pBdr/>
        <w:spacing w:lineRule="exact" w:line="400"/>
        <w:jc w:val="both"/>
        <w:rPr>
          <w:rFonts w:ascii="Arial" w:hAnsi="Arial" w:cs="Arial"/>
          <w:color w:val="000000"/>
          <w:sz w:val="20"/>
        </w:rPr>
      </w:pPr>
      <w:r>
        <w:rPr>
          <w:rFonts w:cs="Arial" w:ascii="Arial" w:hAnsi="Arial"/>
          <w:color w:val="000000"/>
          <w:sz w:val="20"/>
        </w:rPr>
        <w:tab/>
        <w:tab/>
        <w:tab/>
      </w:r>
      <w:r>
        <w:rPr>
          <w:rFonts w:cs="Arial" w:ascii="Arial" w:hAnsi="Arial"/>
          <w:bCs/>
          <w:color w:val="000000"/>
          <w:sz w:val="20"/>
        </w:rPr>
        <w:tab/>
      </w:r>
    </w:p>
    <w:p>
      <w:pPr>
        <w:pStyle w:val="Heading"/>
        <w:pBdr/>
        <w:spacing w:lineRule="exact" w:line="400"/>
        <w:jc w:val="both"/>
        <w:rPr>
          <w:rFonts w:ascii="Arial" w:hAnsi="Arial" w:cs="Arial"/>
          <w:bCs/>
          <w:color w:val="000000"/>
          <w:sz w:val="20"/>
        </w:rPr>
      </w:pPr>
      <w:r>
        <w:rPr>
          <w:rFonts w:cs="Arial" w:ascii="Arial" w:hAnsi="Arial"/>
          <w:i/>
          <w:color w:val="000000"/>
          <w:sz w:val="20"/>
        </w:rPr>
        <w:tab/>
        <w:tab/>
      </w:r>
      <w:r>
        <w:rPr>
          <w:rFonts w:cs="Arial" w:ascii="Arial" w:hAnsi="Arial"/>
          <w:color w:val="000000"/>
          <w:sz w:val="20"/>
        </w:rPr>
        <w:tab/>
        <w:tab/>
        <w:tab/>
        <w:tab/>
        <w:tab/>
        <w:tab/>
        <w:tab/>
        <w:tab/>
        <w:tab/>
        <w:tab/>
        <w:tab/>
        <w:tab/>
        <w:tab/>
        <w:t xml:space="preserve">      </w:t>
        <w:tab/>
        <w:tab/>
        <w:t xml:space="preserve">Pour la CFE - CGC             </w:t>
      </w:r>
    </w:p>
    <w:p>
      <w:pPr>
        <w:pStyle w:val="Heading"/>
        <w:pBdr/>
        <w:spacing w:lineRule="exact" w:line="400"/>
        <w:jc w:val="both"/>
        <w:rPr>
          <w:rFonts w:ascii="Arial" w:hAnsi="Arial" w:cs="Arial"/>
          <w:b w:val="false"/>
          <w:b w:val="false"/>
          <w:color w:val="000000"/>
          <w:sz w:val="20"/>
        </w:rPr>
      </w:pPr>
      <w:r>
        <w:rPr>
          <w:rFonts w:cs="Arial" w:ascii="Arial" w:hAnsi="Arial"/>
          <w:bCs/>
          <w:color w:val="000000"/>
          <w:sz w:val="20"/>
        </w:rPr>
        <w:tab/>
        <w:tab/>
        <w:tab/>
        <w:tab/>
        <w:tab/>
      </w:r>
    </w:p>
    <w:p>
      <w:pPr>
        <w:pStyle w:val="Heading"/>
        <w:pBdr/>
        <w:spacing w:lineRule="exact" w:line="400"/>
        <w:jc w:val="both"/>
        <w:rPr>
          <w:rFonts w:ascii="Arial" w:hAnsi="Arial" w:cs="Arial"/>
          <w:bCs/>
          <w:color w:val="000000"/>
          <w:sz w:val="20"/>
        </w:rPr>
      </w:pPr>
      <w:r>
        <w:rPr>
          <w:rFonts w:cs="Arial" w:ascii="Arial" w:hAnsi="Arial"/>
          <w:b w:val="false"/>
          <w:color w:val="000000"/>
          <w:sz w:val="20"/>
        </w:rPr>
        <w:tab/>
        <w:tab/>
        <w:tab/>
        <w:tab/>
        <w:tab/>
      </w:r>
    </w:p>
    <w:p>
      <w:pPr>
        <w:pStyle w:val="Heading"/>
        <w:pBdr/>
        <w:spacing w:lineRule="exact" w:line="400"/>
        <w:ind w:left="3540" w:hanging="0"/>
        <w:jc w:val="both"/>
        <w:rPr>
          <w:rFonts w:ascii="Arial" w:hAnsi="Arial" w:cs="Arial"/>
          <w:bCs/>
          <w:color w:val="000000"/>
          <w:sz w:val="20"/>
        </w:rPr>
      </w:pPr>
      <w:r>
        <w:rPr>
          <w:rFonts w:cs="Arial" w:ascii="Arial" w:hAnsi="Arial"/>
          <w:bCs/>
          <w:color w:val="000000"/>
          <w:sz w:val="20"/>
        </w:rPr>
        <w:t>Pour la CFTC</w:t>
      </w:r>
    </w:p>
    <w:p>
      <w:pPr>
        <w:pStyle w:val="Heading"/>
        <w:pBdr/>
        <w:spacing w:lineRule="exact" w:line="400"/>
        <w:jc w:val="both"/>
        <w:rPr>
          <w:rFonts w:ascii="Arial" w:hAnsi="Arial" w:cs="Arial"/>
          <w:b w:val="false"/>
          <w:b w:val="false"/>
          <w:color w:val="000000"/>
          <w:sz w:val="20"/>
        </w:rPr>
      </w:pPr>
      <w:r>
        <w:rPr>
          <w:rFonts w:cs="Arial" w:ascii="Arial" w:hAnsi="Arial"/>
          <w:bCs/>
          <w:color w:val="000000"/>
          <w:sz w:val="20"/>
        </w:rPr>
        <w:tab/>
        <w:tab/>
        <w:tab/>
        <w:tab/>
        <w:tab/>
      </w:r>
    </w:p>
    <w:p>
      <w:pPr>
        <w:pStyle w:val="Heading"/>
        <w:pBdr/>
        <w:spacing w:lineRule="exact" w:line="400"/>
        <w:jc w:val="both"/>
        <w:rPr>
          <w:rFonts w:ascii="Arial" w:hAnsi="Arial" w:cs="Arial"/>
          <w:b w:val="false"/>
          <w:b w:val="false"/>
          <w:color w:val="000000"/>
          <w:sz w:val="20"/>
        </w:rPr>
      </w:pPr>
      <w:r>
        <w:rPr>
          <w:rFonts w:cs="Arial" w:ascii="Arial" w:hAnsi="Arial"/>
          <w:b w:val="false"/>
          <w:color w:val="000000"/>
          <w:sz w:val="20"/>
        </w:rPr>
        <w:tab/>
        <w:tab/>
        <w:tab/>
        <w:tab/>
        <w:tab/>
      </w:r>
    </w:p>
    <w:p>
      <w:pPr>
        <w:pStyle w:val="Heading"/>
        <w:pBdr/>
        <w:spacing w:lineRule="exact" w:line="400"/>
        <w:ind w:left="3540" w:hanging="0"/>
        <w:jc w:val="both"/>
        <w:rPr/>
      </w:pPr>
      <w:r>
        <w:rPr>
          <w:rFonts w:cs="Arial" w:ascii="Arial" w:hAnsi="Arial"/>
          <w:bCs/>
          <w:color w:val="000000"/>
          <w:sz w:val="20"/>
        </w:rPr>
        <w:t>Pour la CGT</w:t>
      </w:r>
      <w:r>
        <w:rPr>
          <w:rFonts w:cs="Arial" w:ascii="Arial" w:hAnsi="Arial"/>
          <w:color w:val="000000"/>
          <w:sz w:val="20"/>
        </w:rPr>
        <w:t xml:space="preserve">  </w:t>
      </w:r>
    </w:p>
    <w:p>
      <w:pPr>
        <w:pStyle w:val="Heading"/>
        <w:pBdr/>
        <w:spacing w:lineRule="exact" w:line="400"/>
        <w:jc w:val="both"/>
        <w:rPr/>
      </w:pPr>
      <w:r>
        <w:rPr>
          <w:rFonts w:cs="Arial" w:ascii="Arial" w:hAnsi="Arial"/>
          <w:color w:val="000000"/>
          <w:sz w:val="20"/>
        </w:rPr>
        <w:tab/>
        <w:tab/>
        <w:tab/>
        <w:tab/>
      </w:r>
      <w:r>
        <w:rPr>
          <w:rFonts w:cs="Arial" w:ascii="Arial" w:hAnsi="Arial"/>
          <w:b w:val="false"/>
          <w:color w:val="000000"/>
          <w:sz w:val="20"/>
        </w:rPr>
        <w:tab/>
      </w:r>
    </w:p>
    <w:p>
      <w:pPr>
        <w:pStyle w:val="Heading"/>
        <w:pBdr/>
        <w:spacing w:lineRule="exact" w:line="400"/>
        <w:jc w:val="both"/>
        <w:rPr/>
      </w:pPr>
      <w:r>
        <w:rPr>
          <w:rFonts w:cs="Arial" w:ascii="Arial" w:hAnsi="Arial"/>
          <w:b w:val="false"/>
          <w:color w:val="000000"/>
          <w:sz w:val="20"/>
        </w:rPr>
        <w:tab/>
        <w:tab/>
        <w:tab/>
        <w:tab/>
        <w:tab/>
        <w:t xml:space="preserve">           </w:t>
      </w:r>
      <w:r>
        <w:rPr>
          <w:rFonts w:cs="Arial" w:ascii="Arial" w:hAnsi="Arial"/>
          <w:bCs/>
          <w:color w:val="000000"/>
          <w:sz w:val="20"/>
        </w:rPr>
        <w:tab/>
        <w:tab/>
        <w:tab/>
        <w:tab/>
        <w:tab/>
      </w:r>
    </w:p>
    <w:p>
      <w:pPr>
        <w:pStyle w:val="Heading"/>
        <w:pBdr/>
        <w:spacing w:lineRule="exact" w:line="400"/>
        <w:jc w:val="both"/>
        <w:rPr/>
      </w:pPr>
      <w:r>
        <w:rPr>
          <w:rFonts w:cs="Arial" w:ascii="Arial" w:hAnsi="Arial"/>
          <w:bCs/>
          <w:color w:val="000000"/>
          <w:sz w:val="20"/>
        </w:rPr>
        <w:tab/>
        <w:tab/>
        <w:tab/>
        <w:tab/>
        <w:tab/>
      </w:r>
      <w:r>
        <w:rPr>
          <w:rFonts w:cs="Arial" w:ascii="Arial" w:hAnsi="Arial"/>
          <w:color w:val="000000"/>
          <w:sz w:val="20"/>
        </w:rPr>
        <w:t>Pour FO</w:t>
      </w:r>
    </w:p>
    <w:p>
      <w:pPr>
        <w:pStyle w:val="Heading"/>
        <w:pBdr/>
        <w:spacing w:lineRule="exact" w:line="400"/>
        <w:jc w:val="both"/>
        <w:rPr>
          <w:rFonts w:ascii="Arial" w:hAnsi="Arial" w:cs="Arial"/>
          <w:b w:val="false"/>
          <w:b w:val="false"/>
          <w:color w:val="000000"/>
          <w:sz w:val="20"/>
        </w:rPr>
      </w:pPr>
      <w:r>
        <w:rPr>
          <w:rFonts w:cs="Arial" w:ascii="Arial" w:hAnsi="Arial"/>
          <w:b w:val="false"/>
          <w:color w:val="000000"/>
          <w:sz w:val="20"/>
        </w:rPr>
        <w:tab/>
        <w:tab/>
        <w:tab/>
        <w:tab/>
        <w:tab/>
      </w:r>
    </w:p>
    <w:p>
      <w:pPr>
        <w:pStyle w:val="Heading"/>
        <w:pBdr/>
        <w:spacing w:lineRule="exact" w:line="400"/>
        <w:ind w:left="2832" w:firstLine="708"/>
        <w:jc w:val="both"/>
        <w:rPr>
          <w:rFonts w:ascii="Arial" w:hAnsi="Arial" w:cs="Arial"/>
          <w:b w:val="false"/>
          <w:b w:val="false"/>
          <w:color w:val="000000"/>
          <w:sz w:val="20"/>
        </w:rPr>
      </w:pPr>
      <w:r>
        <w:rPr>
          <w:rFonts w:cs="Arial" w:ascii="Arial" w:hAnsi="Arial"/>
          <w:b w:val="false"/>
          <w:color w:val="000000"/>
          <w:sz w:val="20"/>
        </w:rPr>
      </w:r>
    </w:p>
    <w:p>
      <w:pPr>
        <w:pStyle w:val="Heading"/>
        <w:pBdr/>
        <w:spacing w:lineRule="exact" w:line="400"/>
        <w:ind w:left="2832" w:firstLine="708"/>
        <w:jc w:val="both"/>
        <w:rPr>
          <w:rFonts w:ascii="Arial" w:hAnsi="Arial" w:cs="Arial"/>
          <w:b w:val="false"/>
          <w:b w:val="false"/>
          <w:color w:val="000000"/>
          <w:sz w:val="20"/>
        </w:rPr>
      </w:pPr>
      <w:r>
        <w:rPr>
          <w:rFonts w:cs="Arial" w:ascii="Arial" w:hAnsi="Arial"/>
          <w:b w:val="false"/>
          <w:color w:val="000000"/>
          <w:sz w:val="20"/>
        </w:rPr>
      </w:r>
    </w:p>
    <w:p>
      <w:pPr>
        <w:pStyle w:val="Heading"/>
        <w:pBdr/>
        <w:spacing w:lineRule="exact" w:line="400"/>
        <w:ind w:left="2832" w:firstLine="708"/>
        <w:jc w:val="both"/>
        <w:rPr>
          <w:rFonts w:ascii="Arial" w:hAnsi="Arial" w:cs="Arial"/>
          <w:b w:val="false"/>
          <w:b w:val="false"/>
          <w:color w:val="000000"/>
          <w:sz w:val="20"/>
        </w:rPr>
      </w:pPr>
      <w:r>
        <w:rPr>
          <w:rFonts w:cs="Arial" w:ascii="Arial" w:hAnsi="Arial"/>
          <w:b w:val="false"/>
          <w:color w:val="000000"/>
          <w:sz w:val="20"/>
        </w:rPr>
      </w:r>
    </w:p>
    <w:p>
      <w:pPr>
        <w:pStyle w:val="Heading"/>
        <w:pBdr/>
        <w:spacing w:lineRule="exact" w:line="400"/>
        <w:rPr>
          <w:rFonts w:ascii="Arial" w:hAnsi="Arial" w:cs="Arial"/>
          <w:sz w:val="20"/>
          <w:u w:val="single"/>
        </w:rPr>
      </w:pPr>
      <w:r>
        <w:rPr>
          <w:rFonts w:cs="Arial" w:ascii="Arial" w:hAnsi="Arial"/>
          <w:sz w:val="22"/>
        </w:rPr>
        <w:t>Préambule</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sz w:val="20"/>
          <w:szCs w:val="20"/>
        </w:rPr>
      </w:pPr>
      <w:r>
        <w:rPr>
          <w:rFonts w:cs="Arial" w:ascii="Arial" w:hAnsi="Arial"/>
          <w:sz w:val="20"/>
          <w:szCs w:val="20"/>
        </w:rPr>
        <w:t>La négociation annuelle sur la rémunération, notamment les salaires effectifs et l’organisation du temps de travail avec les cinq Organisations Syndicales Représentatives s’est tenue les 17 novembre, 24 novembre, 1</w:t>
      </w:r>
      <w:r>
        <w:rPr>
          <w:rFonts w:cs="Arial" w:ascii="Arial" w:hAnsi="Arial"/>
          <w:sz w:val="20"/>
          <w:szCs w:val="20"/>
          <w:vertAlign w:val="superscript"/>
        </w:rPr>
        <w:t>er</w:t>
      </w:r>
      <w:r>
        <w:rPr>
          <w:rFonts w:cs="Arial" w:ascii="Arial" w:hAnsi="Arial"/>
          <w:sz w:val="20"/>
          <w:szCs w:val="20"/>
        </w:rPr>
        <w:t xml:space="preserve"> décembre, 9 décembre et 15 décembre 2022.</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En date du 17 novembre 2022, TMMF a remis aux Organisations Syndicales Représentatives :</w:t>
      </w:r>
    </w:p>
    <w:p>
      <w:pPr>
        <w:pStyle w:val="Normal"/>
        <w:jc w:val="both"/>
        <w:rPr>
          <w:rFonts w:ascii="Arial" w:hAnsi="Arial" w:cs="Arial"/>
          <w:sz w:val="20"/>
          <w:szCs w:val="20"/>
        </w:rPr>
      </w:pPr>
      <w:r>
        <w:rPr>
          <w:rFonts w:cs="Arial" w:ascii="Arial" w:hAnsi="Arial"/>
          <w:sz w:val="20"/>
          <w:szCs w:val="20"/>
        </w:rPr>
      </w:r>
    </w:p>
    <w:p>
      <w:pPr>
        <w:pStyle w:val="Normal"/>
        <w:ind w:firstLine="708"/>
        <w:jc w:val="both"/>
        <w:rPr/>
      </w:pPr>
      <w:r>
        <w:rPr>
          <w:rFonts w:cs="Arial" w:ascii="Arial" w:hAnsi="Arial"/>
          <w:sz w:val="20"/>
          <w:szCs w:val="20"/>
        </w:rPr>
        <w:t>-  Les grilles de rémunération au 31-12-2020, 31-12-2021 et 31-10-2022 ;</w:t>
      </w:r>
    </w:p>
    <w:p>
      <w:pPr>
        <w:pStyle w:val="Normal"/>
        <w:ind w:firstLine="708"/>
        <w:jc w:val="both"/>
        <w:rPr/>
      </w:pPr>
      <w:r>
        <w:rPr>
          <w:rFonts w:cs="Arial" w:ascii="Arial" w:hAnsi="Arial"/>
          <w:sz w:val="20"/>
          <w:szCs w:val="20"/>
        </w:rPr>
        <w:t>-  Le nombre de départs toutes populations confondues en 2021 et au 31-10-2022 ;</w:t>
      </w:r>
    </w:p>
    <w:p>
      <w:pPr>
        <w:pStyle w:val="Normal"/>
        <w:ind w:left="708" w:hanging="0"/>
        <w:jc w:val="both"/>
        <w:rPr/>
      </w:pPr>
      <w:r>
        <w:rPr>
          <w:rFonts w:cs="Arial" w:ascii="Arial" w:hAnsi="Arial"/>
          <w:sz w:val="20"/>
          <w:szCs w:val="20"/>
        </w:rPr>
        <w:t xml:space="preserve">-  La répartition des effectifs au sein du Grade System au 31-10-2022 ; </w:t>
      </w:r>
    </w:p>
    <w:p>
      <w:pPr>
        <w:pStyle w:val="Normal"/>
        <w:ind w:firstLine="708"/>
        <w:jc w:val="both"/>
        <w:rPr>
          <w:rFonts w:ascii="Arial" w:hAnsi="Arial" w:cs="Arial"/>
          <w:sz w:val="20"/>
          <w:szCs w:val="20"/>
        </w:rPr>
      </w:pPr>
      <w:r>
        <w:rPr>
          <w:rFonts w:cs="Arial" w:ascii="Arial" w:hAnsi="Arial"/>
          <w:sz w:val="20"/>
          <w:szCs w:val="20"/>
        </w:rPr>
        <w:t>-  Le nombre d’évolutions, de promotions et d’embauches en CDI au 31-10-2022.</w:t>
      </w:r>
    </w:p>
    <w:p>
      <w:pPr>
        <w:pStyle w:val="Normal"/>
        <w:ind w:left="1080" w:hanging="0"/>
        <w:jc w:val="both"/>
        <w:rPr>
          <w:rFonts w:ascii="Arial" w:hAnsi="Arial" w:cs="Arial"/>
          <w:b/>
          <w:b/>
          <w:sz w:val="20"/>
          <w:szCs w:val="20"/>
        </w:rPr>
      </w:pPr>
      <w:r>
        <w:rPr>
          <w:rFonts w:cs="Arial" w:ascii="Arial" w:hAnsi="Arial"/>
          <w:b/>
          <w:sz w:val="20"/>
          <w:szCs w:val="20"/>
        </w:rPr>
      </w:r>
    </w:p>
    <w:p>
      <w:pPr>
        <w:pStyle w:val="Normal"/>
        <w:ind w:left="1080" w:hanging="0"/>
        <w:jc w:val="both"/>
        <w:rPr>
          <w:rFonts w:ascii="Arial" w:hAnsi="Arial" w:cs="Arial"/>
          <w:b/>
          <w:b/>
          <w:sz w:val="20"/>
          <w:szCs w:val="20"/>
        </w:rPr>
      </w:pPr>
      <w:r>
        <w:rPr>
          <w:rFonts w:cs="Arial" w:ascii="Arial" w:hAnsi="Arial"/>
          <w:b/>
          <w:sz w:val="20"/>
          <w:szCs w:val="20"/>
        </w:rPr>
      </w:r>
    </w:p>
    <w:p>
      <w:pPr>
        <w:pStyle w:val="Normal"/>
        <w:numPr>
          <w:ilvl w:val="0"/>
          <w:numId w:val="10"/>
        </w:numPr>
        <w:tabs>
          <w:tab w:val="left" w:pos="360" w:leader="none"/>
        </w:tabs>
        <w:ind w:left="1080" w:hanging="1080"/>
        <w:jc w:val="both"/>
        <w:rPr/>
      </w:pPr>
      <w:r>
        <w:rPr>
          <w:rFonts w:cs="Arial" w:ascii="Arial" w:hAnsi="Arial"/>
          <w:b/>
          <w:sz w:val="20"/>
          <w:szCs w:val="20"/>
          <w:u w:val="single"/>
        </w:rPr>
        <w:t>Au cours de la réunion du 17 novembre 2022, la Direction de TMMF a exposé</w:t>
      </w:r>
      <w:r>
        <w:rPr>
          <w:rFonts w:cs="Arial" w:ascii="Arial" w:hAnsi="Arial"/>
          <w:b/>
          <w:sz w:val="20"/>
          <w:szCs w:val="20"/>
        </w:rPr>
        <w:t> :</w:t>
      </w:r>
    </w:p>
    <w:p>
      <w:pPr>
        <w:pStyle w:val="Normal"/>
        <w:jc w:val="both"/>
        <w:rPr>
          <w:rFonts w:ascii="Arial" w:hAnsi="Arial" w:cs="Arial"/>
          <w:b/>
          <w:b/>
          <w:sz w:val="20"/>
          <w:szCs w:val="20"/>
        </w:rPr>
      </w:pPr>
      <w:r>
        <w:rPr>
          <w:rFonts w:cs="Arial" w:ascii="Arial" w:hAnsi="Arial"/>
          <w:b/>
          <w:sz w:val="20"/>
          <w:szCs w:val="20"/>
        </w:rPr>
      </w:r>
    </w:p>
    <w:p>
      <w:pPr>
        <w:pStyle w:val="Normal"/>
        <w:numPr>
          <w:ilvl w:val="0"/>
          <w:numId w:val="4"/>
        </w:numPr>
        <w:jc w:val="both"/>
        <w:rPr/>
      </w:pPr>
      <w:r>
        <w:rPr>
          <w:rFonts w:cs="Arial" w:ascii="Arial" w:hAnsi="Arial"/>
          <w:sz w:val="20"/>
          <w:szCs w:val="20"/>
        </w:rPr>
        <w:t>L’objectif de la négociation : parvenir à un accord gagnant-gagnant et responsable, en cohérence avec le contexte économique et financier exceptionnel que connaît TMMF et le souhait des Toyota Members de voir progresser leur pouvoir d’achat ;</w:t>
      </w:r>
    </w:p>
    <w:p>
      <w:pPr>
        <w:pStyle w:val="Normal"/>
        <w:ind w:left="1068" w:hanging="0"/>
        <w:jc w:val="both"/>
        <w:rPr>
          <w:rFonts w:ascii="Arial" w:hAnsi="Arial" w:cs="Arial"/>
          <w:sz w:val="20"/>
          <w:szCs w:val="20"/>
        </w:rPr>
      </w:pPr>
      <w:r>
        <w:rPr>
          <w:rFonts w:cs="Arial" w:ascii="Arial" w:hAnsi="Arial"/>
          <w:sz w:val="20"/>
          <w:szCs w:val="20"/>
        </w:rPr>
      </w:r>
    </w:p>
    <w:p>
      <w:pPr>
        <w:pStyle w:val="Normal"/>
        <w:numPr>
          <w:ilvl w:val="0"/>
          <w:numId w:val="4"/>
        </w:numPr>
        <w:jc w:val="both"/>
        <w:rPr/>
      </w:pPr>
      <w:r>
        <w:rPr>
          <w:rFonts w:cs="Arial" w:ascii="Arial" w:hAnsi="Arial"/>
          <w:sz w:val="20"/>
          <w:szCs w:val="20"/>
        </w:rPr>
        <w:t xml:space="preserve">Le bilan de la situation économique générale dans le Monde, en Europe, en France, dans la Région, et dans le secteur automobile (emploi, inflation et croissance, production automobile, marché automobile, impacts liés à la COVID, à la crise des semi-conducteurs, et à la crise géopolitique entre l’Ukraine et la Russie). </w:t>
      </w:r>
    </w:p>
    <w:p>
      <w:pPr>
        <w:pStyle w:val="Paragraphedeliste"/>
        <w:rPr>
          <w:rFonts w:ascii="Arial" w:hAnsi="Arial" w:cs="Arial"/>
          <w:sz w:val="20"/>
          <w:szCs w:val="20"/>
        </w:rPr>
      </w:pPr>
      <w:r>
        <w:rPr>
          <w:rFonts w:cs="Arial" w:ascii="Arial" w:hAnsi="Arial"/>
          <w:sz w:val="20"/>
          <w:szCs w:val="20"/>
        </w:rPr>
      </w:r>
    </w:p>
    <w:p>
      <w:pPr>
        <w:pStyle w:val="Normal"/>
        <w:numPr>
          <w:ilvl w:val="0"/>
          <w:numId w:val="4"/>
        </w:numPr>
        <w:jc w:val="both"/>
        <w:rPr/>
      </w:pPr>
      <w:r>
        <w:rPr>
          <w:rFonts w:cs="Arial" w:ascii="Arial" w:hAnsi="Arial"/>
          <w:sz w:val="20"/>
          <w:szCs w:val="20"/>
        </w:rPr>
        <w:t xml:space="preserve">Un état des lieux des contre-mesures mises en œuvre dans le cadre : </w:t>
      </w:r>
    </w:p>
    <w:p>
      <w:pPr>
        <w:pStyle w:val="Normal"/>
        <w:jc w:val="both"/>
        <w:rPr>
          <w:rFonts w:ascii="Arial" w:hAnsi="Arial" w:cs="Arial"/>
          <w:sz w:val="20"/>
          <w:szCs w:val="20"/>
        </w:rPr>
      </w:pPr>
      <w:r>
        <w:rPr>
          <w:rFonts w:cs="Arial" w:ascii="Arial" w:hAnsi="Arial"/>
          <w:sz w:val="20"/>
          <w:szCs w:val="20"/>
        </w:rPr>
      </w:r>
    </w:p>
    <w:p>
      <w:pPr>
        <w:pStyle w:val="Normal"/>
        <w:numPr>
          <w:ilvl w:val="0"/>
          <w:numId w:val="11"/>
        </w:numPr>
        <w:jc w:val="both"/>
        <w:rPr>
          <w:rFonts w:ascii="Arial" w:hAnsi="Arial" w:cs="Arial"/>
          <w:sz w:val="20"/>
          <w:szCs w:val="20"/>
        </w:rPr>
      </w:pPr>
      <w:r>
        <w:rPr>
          <w:rFonts w:cs="Arial" w:ascii="Arial" w:hAnsi="Arial"/>
          <w:sz w:val="20"/>
          <w:szCs w:val="20"/>
        </w:rPr>
        <w:t>de l’Accord APLD qui a permis de sécuriser l’indemnisation des salariés concernés à hauteur de 84% du salaire net (au lieu de 72% légalement applicables au 1</w:t>
      </w:r>
      <w:r>
        <w:rPr>
          <w:rFonts w:cs="Arial" w:ascii="Arial" w:hAnsi="Arial"/>
          <w:sz w:val="20"/>
          <w:szCs w:val="20"/>
          <w:vertAlign w:val="superscript"/>
        </w:rPr>
        <w:t>er</w:t>
      </w:r>
      <w:r>
        <w:rPr>
          <w:rFonts w:cs="Arial" w:ascii="Arial" w:hAnsi="Arial"/>
          <w:sz w:val="20"/>
          <w:szCs w:val="20"/>
        </w:rPr>
        <w:t xml:space="preserve"> juillet 2021) ;</w:t>
      </w:r>
    </w:p>
    <w:p>
      <w:pPr>
        <w:pStyle w:val="Normal"/>
        <w:numPr>
          <w:ilvl w:val="0"/>
          <w:numId w:val="11"/>
        </w:numPr>
        <w:jc w:val="both"/>
        <w:rPr>
          <w:rFonts w:ascii="Arial" w:hAnsi="Arial" w:cs="Arial"/>
          <w:sz w:val="20"/>
          <w:szCs w:val="20"/>
        </w:rPr>
      </w:pPr>
      <w:r>
        <w:rPr>
          <w:rFonts w:cs="Arial" w:ascii="Arial" w:hAnsi="Arial"/>
          <w:sz w:val="20"/>
          <w:szCs w:val="20"/>
        </w:rPr>
        <w:t>de l’Accord portant sur les mesures sociales accompagnant l’arrêt du site et son Avenant (étalement de l’impact financier, versement d’heures par TMMF pour compléter la rémunération, maintien des primes pour les members venus travailler sur un horaire différent de leur horaire habituel) ;</w:t>
      </w:r>
    </w:p>
    <w:p>
      <w:pPr>
        <w:pStyle w:val="Normal"/>
        <w:numPr>
          <w:ilvl w:val="0"/>
          <w:numId w:val="11"/>
        </w:numPr>
        <w:jc w:val="both"/>
        <w:rPr/>
      </w:pPr>
      <w:r>
        <w:rPr>
          <w:rFonts w:cs="Arial" w:ascii="Arial" w:hAnsi="Arial"/>
          <w:sz w:val="20"/>
          <w:szCs w:val="20"/>
        </w:rPr>
        <w:t xml:space="preserve">d’une revalorisation de 2,65% du salaire d’entrée et maintien de l’écart pour tous les salaires dont le montant est inférieur à 2 665 € bruts mensuels (plus de 4 000 Toyota Members au total) ;  </w:t>
      </w:r>
    </w:p>
    <w:p>
      <w:pPr>
        <w:pStyle w:val="Normal"/>
        <w:numPr>
          <w:ilvl w:val="0"/>
          <w:numId w:val="11"/>
        </w:numPr>
        <w:jc w:val="both"/>
        <w:rPr>
          <w:rFonts w:ascii="Arial" w:hAnsi="Arial" w:cs="Arial"/>
          <w:sz w:val="20"/>
          <w:szCs w:val="20"/>
        </w:rPr>
      </w:pPr>
      <w:r>
        <w:rPr>
          <w:rFonts w:cs="Arial" w:ascii="Arial" w:hAnsi="Arial"/>
          <w:sz w:val="20"/>
          <w:szCs w:val="20"/>
        </w:rPr>
        <w:t>du versement d’une prime de 500 € nets à tous les Toyota Members pour faire face à l’hyperinflation ;</w:t>
      </w:r>
    </w:p>
    <w:p>
      <w:pPr>
        <w:pStyle w:val="Normal"/>
        <w:numPr>
          <w:ilvl w:val="0"/>
          <w:numId w:val="11"/>
        </w:numPr>
        <w:jc w:val="both"/>
        <w:rPr/>
      </w:pPr>
      <w:r>
        <w:rPr>
          <w:rFonts w:cs="Arial" w:ascii="Arial" w:hAnsi="Arial"/>
          <w:sz w:val="20"/>
          <w:szCs w:val="20"/>
        </w:rPr>
        <w:t xml:space="preserve">de l’Avenant n° 1 à l’Accord d’intéressement pour les années 2022-2024 ; </w:t>
      </w:r>
    </w:p>
    <w:p>
      <w:pPr>
        <w:pStyle w:val="Normal"/>
        <w:numPr>
          <w:ilvl w:val="0"/>
          <w:numId w:val="11"/>
        </w:numPr>
        <w:jc w:val="both"/>
        <w:rPr>
          <w:rFonts w:ascii="Arial" w:hAnsi="Arial" w:cs="Arial"/>
          <w:sz w:val="20"/>
          <w:szCs w:val="20"/>
        </w:rPr>
      </w:pPr>
      <w:r>
        <w:rPr>
          <w:rFonts w:cs="Arial" w:ascii="Arial" w:hAnsi="Arial"/>
          <w:sz w:val="20"/>
          <w:szCs w:val="20"/>
        </w:rPr>
        <w:t>du versement d’un supplément d’intéressement de 367 € nets ;</w:t>
      </w:r>
    </w:p>
    <w:p>
      <w:pPr>
        <w:pStyle w:val="Normal"/>
        <w:numPr>
          <w:ilvl w:val="0"/>
          <w:numId w:val="11"/>
        </w:numPr>
        <w:jc w:val="both"/>
        <w:rPr>
          <w:rFonts w:ascii="Arial" w:hAnsi="Arial" w:cs="Arial"/>
          <w:sz w:val="20"/>
          <w:szCs w:val="20"/>
        </w:rPr>
      </w:pPr>
      <w:r>
        <w:rPr>
          <w:rFonts w:cs="Arial" w:ascii="Arial" w:hAnsi="Arial"/>
          <w:sz w:val="20"/>
          <w:szCs w:val="20"/>
        </w:rPr>
        <w:t>de l’Avenant n° 3 à l’Accord pour l’avenir de TMMF (recours au HZI plutôt qu’au HZC pour les members soumis à la modulation, mise en place d’une prime de reconnaissance des efforts, octroi d’une prime spécifique de flexibilité liée aux modifications d’horaires les week-ends, compensation des journées d’APLD pour les members en heures en cas d’overtime, revalorisation de la majoration applicable aux samedis et dimanches pour les members en jours, doublement des majorations liées au travail un jour férié et applications de ces majorations à tous les members, mise en œuvre d’une prime exceptionnelle par jours travaillés entre le 27 et 30 décembre, octroi d’un bonus de reconnaissance sur l’avance prise sur le plan de production, engagement pris d’une revalorisation du salaire de base de 2% en cas d’augmentation du SMIC) ;</w:t>
      </w:r>
    </w:p>
    <w:p>
      <w:pPr>
        <w:pStyle w:val="Normal"/>
        <w:numPr>
          <w:ilvl w:val="0"/>
          <w:numId w:val="11"/>
        </w:numPr>
        <w:jc w:val="both"/>
        <w:rPr/>
      </w:pPr>
      <w:r>
        <w:rPr>
          <w:rFonts w:cs="Arial" w:ascii="Arial" w:hAnsi="Arial"/>
          <w:sz w:val="20"/>
          <w:szCs w:val="20"/>
        </w:rPr>
        <w:t xml:space="preserve">d’une Augmentation Générale (AG) de 2,01% pour l’ensemble des Toyota Members ; </w:t>
      </w:r>
    </w:p>
    <w:p>
      <w:pPr>
        <w:pStyle w:val="Normal"/>
        <w:numPr>
          <w:ilvl w:val="0"/>
          <w:numId w:val="11"/>
        </w:numPr>
        <w:jc w:val="both"/>
        <w:rPr>
          <w:rFonts w:ascii="Arial" w:hAnsi="Arial" w:cs="Arial"/>
          <w:sz w:val="20"/>
          <w:szCs w:val="20"/>
        </w:rPr>
      </w:pPr>
      <w:r>
        <w:rPr>
          <w:rFonts w:cs="Arial" w:ascii="Arial" w:hAnsi="Arial"/>
          <w:sz w:val="20"/>
          <w:szCs w:val="20"/>
        </w:rPr>
        <w:t xml:space="preserve">de l’Avenant n° 4 à l’Accord pour l’avenir de TMMF (versement d’une avance sur les primes de reconnaissance des efforts et de flexibilité, transformation des primes de reconnaissance des efforts et de flexibilité ainsi que de la prime exceptionnelle par jours travaillés entre le 27 et 30 décembre en Prime de Partage de Valeur (PPV)). </w:t>
      </w:r>
    </w:p>
    <w:p>
      <w:pPr>
        <w:pStyle w:val="Normal"/>
        <w:numPr>
          <w:ilvl w:val="0"/>
          <w:numId w:val="4"/>
        </w:numPr>
        <w:jc w:val="both"/>
        <w:rPr>
          <w:rFonts w:ascii="Arial" w:hAnsi="Arial" w:cs="Arial"/>
          <w:sz w:val="20"/>
          <w:szCs w:val="20"/>
        </w:rPr>
      </w:pPr>
      <w:r>
        <w:rPr>
          <w:rFonts w:cs="Arial" w:ascii="Arial" w:hAnsi="Arial"/>
          <w:sz w:val="20"/>
          <w:szCs w:val="20"/>
        </w:rPr>
        <w:t>Le contexte propre à TMMF (Yaris au top du classement de la voiture la plus produite en France en 2021, 10 ans de production de la Yaris hybride et production de la millionième voiture hybride, lancement du programme « volontaires Paris 2024 » dans le cadre des Jeux Olympiques 2024, développement des compétences des Toyota Members, lancement d’un nouveau « campus maintenance », résultats financiers).</w:t>
      </w:r>
    </w:p>
    <w:p>
      <w:pPr>
        <w:pStyle w:val="Normal"/>
        <w:tabs>
          <w:tab w:val="left" w:pos="1464" w:leader="none"/>
        </w:tabs>
        <w:jc w:val="both"/>
        <w:rPr>
          <w:rFonts w:ascii="Arial" w:hAnsi="Arial" w:cs="Arial"/>
          <w:sz w:val="20"/>
          <w:szCs w:val="20"/>
        </w:rPr>
      </w:pPr>
      <w:r>
        <w:rPr>
          <w:rFonts w:cs="Arial" w:ascii="Arial" w:hAnsi="Arial"/>
          <w:sz w:val="20"/>
          <w:szCs w:val="20"/>
        </w:rPr>
      </w:r>
    </w:p>
    <w:p>
      <w:pPr>
        <w:pStyle w:val="Normal"/>
        <w:numPr>
          <w:ilvl w:val="0"/>
          <w:numId w:val="4"/>
        </w:numPr>
        <w:jc w:val="both"/>
        <w:rPr>
          <w:rFonts w:ascii="Arial" w:hAnsi="Arial" w:cs="Arial"/>
          <w:sz w:val="20"/>
          <w:szCs w:val="20"/>
        </w:rPr>
      </w:pPr>
      <w:r>
        <w:rPr>
          <w:rFonts w:cs="Arial" w:ascii="Arial" w:hAnsi="Arial"/>
          <w:sz w:val="20"/>
          <w:szCs w:val="20"/>
        </w:rPr>
        <w:t xml:space="preserve">Un état des lieux de la rémunération globale perçue par les Toyota Members en 2022. </w:t>
      </w:r>
    </w:p>
    <w:p>
      <w:pPr>
        <w:pStyle w:val="Normal"/>
        <w:ind w:left="1080" w:hanging="0"/>
        <w:jc w:val="both"/>
        <w:rPr>
          <w:rFonts w:ascii="Arial" w:hAnsi="Arial" w:cs="Arial"/>
          <w:b/>
          <w:b/>
          <w:sz w:val="20"/>
          <w:szCs w:val="20"/>
        </w:rPr>
      </w:pPr>
      <w:r>
        <w:rPr>
          <w:rFonts w:cs="Arial" w:ascii="Arial" w:hAnsi="Arial"/>
          <w:b/>
          <w:sz w:val="20"/>
          <w:szCs w:val="20"/>
        </w:rPr>
      </w:r>
    </w:p>
    <w:p>
      <w:pPr>
        <w:pStyle w:val="Normal"/>
        <w:ind w:left="1080" w:hanging="0"/>
        <w:jc w:val="both"/>
        <w:rPr>
          <w:rFonts w:ascii="Arial" w:hAnsi="Arial" w:cs="Arial"/>
          <w:b/>
          <w:b/>
          <w:sz w:val="20"/>
          <w:szCs w:val="20"/>
        </w:rPr>
      </w:pPr>
      <w:r>
        <w:rPr>
          <w:rFonts w:cs="Arial" w:ascii="Arial" w:hAnsi="Arial"/>
          <w:b/>
          <w:sz w:val="20"/>
          <w:szCs w:val="20"/>
        </w:rPr>
      </w:r>
    </w:p>
    <w:p>
      <w:pPr>
        <w:pStyle w:val="Normal"/>
        <w:numPr>
          <w:ilvl w:val="0"/>
          <w:numId w:val="10"/>
        </w:numPr>
        <w:tabs>
          <w:tab w:val="left" w:pos="360" w:leader="none"/>
        </w:tabs>
        <w:ind w:left="1080" w:hanging="1080"/>
        <w:jc w:val="both"/>
        <w:rPr/>
      </w:pPr>
      <w:r>
        <w:rPr>
          <w:rFonts w:cs="Arial" w:ascii="Arial" w:hAnsi="Arial"/>
          <w:b/>
          <w:sz w:val="20"/>
          <w:szCs w:val="20"/>
          <w:u w:val="single"/>
        </w:rPr>
        <w:t xml:space="preserve">Au cours de la réunion du 24 novembre 2022 </w:t>
      </w:r>
      <w:r>
        <w:rPr>
          <w:rFonts w:cs="Arial" w:ascii="Arial" w:hAnsi="Arial"/>
          <w:b/>
          <w:sz w:val="20"/>
          <w:szCs w:val="20"/>
        </w:rPr>
        <w:t>:</w:t>
      </w:r>
    </w:p>
    <w:p>
      <w:pPr>
        <w:pStyle w:val="Normal"/>
        <w:jc w:val="both"/>
        <w:rPr>
          <w:rFonts w:ascii="Arial" w:hAnsi="Arial" w:cs="Arial"/>
          <w:b/>
          <w:b/>
          <w:sz w:val="20"/>
          <w:szCs w:val="20"/>
        </w:rPr>
      </w:pPr>
      <w:r>
        <w:rPr>
          <w:rFonts w:cs="Arial" w:ascii="Arial" w:hAnsi="Arial"/>
          <w:b/>
          <w:sz w:val="20"/>
          <w:szCs w:val="20"/>
        </w:rPr>
      </w:r>
    </w:p>
    <w:p>
      <w:pPr>
        <w:pStyle w:val="Normal"/>
        <w:jc w:val="both"/>
        <w:rPr/>
      </w:pPr>
      <w:r>
        <w:rPr>
          <w:rFonts w:cs="Arial" w:ascii="Arial" w:hAnsi="Arial"/>
          <w:sz w:val="20"/>
          <w:szCs w:val="20"/>
        </w:rPr>
        <w:t xml:space="preserve">Les Organisations Syndicales Représentatives ont partagé dans le détail, lors d’une réunion dédiée, leurs revendications pour l’année 2023 avec la Direction de TMMF. </w:t>
      </w:r>
    </w:p>
    <w:p>
      <w:pPr>
        <w:pStyle w:val="Normal"/>
        <w:jc w:val="both"/>
        <w:rPr>
          <w:rFonts w:ascii="Arial" w:hAnsi="Arial" w:cs="Arial"/>
          <w:sz w:val="20"/>
          <w:szCs w:val="20"/>
        </w:rPr>
      </w:pPr>
      <w:r>
        <w:rPr>
          <w:rFonts w:cs="Arial" w:ascii="Arial" w:hAnsi="Arial"/>
          <w:sz w:val="20"/>
          <w:szCs w:val="20"/>
        </w:rPr>
      </w:r>
    </w:p>
    <w:p>
      <w:pPr>
        <w:pStyle w:val="Normal"/>
        <w:ind w:left="1080" w:hanging="0"/>
        <w:jc w:val="both"/>
        <w:rPr>
          <w:rFonts w:ascii="Arial" w:hAnsi="Arial" w:cs="Arial"/>
          <w:b/>
          <w:b/>
          <w:sz w:val="20"/>
          <w:szCs w:val="20"/>
        </w:rPr>
      </w:pPr>
      <w:r>
        <w:rPr>
          <w:rFonts w:cs="Arial" w:ascii="Arial" w:hAnsi="Arial"/>
          <w:b/>
          <w:sz w:val="20"/>
          <w:szCs w:val="20"/>
        </w:rPr>
      </w:r>
    </w:p>
    <w:p>
      <w:pPr>
        <w:pStyle w:val="Normal"/>
        <w:numPr>
          <w:ilvl w:val="0"/>
          <w:numId w:val="10"/>
        </w:numPr>
        <w:tabs>
          <w:tab w:val="left" w:pos="360" w:leader="none"/>
        </w:tabs>
        <w:ind w:left="1080" w:hanging="1080"/>
        <w:jc w:val="both"/>
        <w:rPr/>
      </w:pPr>
      <w:r>
        <w:rPr>
          <w:rFonts w:cs="Arial" w:ascii="Arial" w:hAnsi="Arial"/>
          <w:b/>
          <w:sz w:val="20"/>
          <w:szCs w:val="20"/>
          <w:u w:val="single"/>
        </w:rPr>
        <w:t>Au cours de la réunion du 1</w:t>
      </w:r>
      <w:r>
        <w:rPr>
          <w:rFonts w:cs="Arial" w:ascii="Arial" w:hAnsi="Arial"/>
          <w:b/>
          <w:sz w:val="20"/>
          <w:szCs w:val="20"/>
          <w:u w:val="single"/>
          <w:vertAlign w:val="superscript"/>
        </w:rPr>
        <w:t>er</w:t>
      </w:r>
      <w:r>
        <w:rPr>
          <w:rFonts w:cs="Arial" w:ascii="Arial" w:hAnsi="Arial"/>
          <w:b/>
          <w:sz w:val="20"/>
          <w:szCs w:val="20"/>
          <w:u w:val="single"/>
        </w:rPr>
        <w:t xml:space="preserve"> décembre 2022, la Direction de TMMF</w:t>
      </w:r>
      <w:r>
        <w:rPr>
          <w:rFonts w:cs="Arial" w:ascii="Arial" w:hAnsi="Arial"/>
          <w:b/>
          <w:sz w:val="20"/>
          <w:szCs w:val="20"/>
        </w:rPr>
        <w:t> :</w:t>
      </w:r>
    </w:p>
    <w:p>
      <w:pPr>
        <w:pStyle w:val="Normal"/>
        <w:jc w:val="both"/>
        <w:rPr>
          <w:rFonts w:ascii="Arial" w:hAnsi="Arial" w:cs="Arial"/>
          <w:b/>
          <w:b/>
          <w:sz w:val="20"/>
          <w:szCs w:val="20"/>
        </w:rPr>
      </w:pPr>
      <w:r>
        <w:rPr>
          <w:rFonts w:cs="Arial" w:ascii="Arial" w:hAnsi="Arial"/>
          <w:b/>
          <w:sz w:val="20"/>
          <w:szCs w:val="20"/>
        </w:rPr>
      </w:r>
    </w:p>
    <w:p>
      <w:pPr>
        <w:pStyle w:val="Normal"/>
        <w:numPr>
          <w:ilvl w:val="0"/>
          <w:numId w:val="4"/>
        </w:numPr>
        <w:jc w:val="both"/>
        <w:rPr/>
      </w:pPr>
      <w:r>
        <w:rPr>
          <w:rFonts w:cs="Arial" w:ascii="Arial" w:hAnsi="Arial"/>
          <w:sz w:val="20"/>
          <w:szCs w:val="20"/>
        </w:rPr>
        <w:t>A rappelé le contexte à la fois externe et interne à TMMF ainsi que les contre-mesures mises en œuvre, tel que présenté lors de la 1</w:t>
      </w:r>
      <w:r>
        <w:rPr>
          <w:rFonts w:cs="Arial" w:ascii="Arial" w:hAnsi="Arial"/>
          <w:sz w:val="20"/>
          <w:szCs w:val="20"/>
          <w:vertAlign w:val="superscript"/>
        </w:rPr>
        <w:t>ère</w:t>
      </w:r>
      <w:r>
        <w:rPr>
          <w:rFonts w:cs="Arial" w:ascii="Arial" w:hAnsi="Arial"/>
          <w:sz w:val="20"/>
          <w:szCs w:val="20"/>
        </w:rPr>
        <w:t xml:space="preserve"> réunion du 17 novembre 2022 ; </w:t>
      </w:r>
    </w:p>
    <w:p>
      <w:pPr>
        <w:pStyle w:val="Normal"/>
        <w:ind w:left="1068" w:hanging="0"/>
        <w:jc w:val="both"/>
        <w:rPr>
          <w:rFonts w:ascii="Arial" w:hAnsi="Arial" w:cs="Arial"/>
          <w:sz w:val="20"/>
          <w:szCs w:val="20"/>
        </w:rPr>
      </w:pPr>
      <w:r>
        <w:rPr>
          <w:rFonts w:cs="Arial" w:ascii="Arial" w:hAnsi="Arial"/>
          <w:sz w:val="20"/>
          <w:szCs w:val="20"/>
        </w:rPr>
      </w:r>
    </w:p>
    <w:p>
      <w:pPr>
        <w:pStyle w:val="Normal"/>
        <w:numPr>
          <w:ilvl w:val="0"/>
          <w:numId w:val="4"/>
        </w:numPr>
        <w:jc w:val="both"/>
        <w:rPr/>
      </w:pPr>
      <w:r>
        <w:rPr>
          <w:rFonts w:cs="Arial" w:ascii="Arial" w:hAnsi="Arial"/>
          <w:sz w:val="20"/>
          <w:szCs w:val="20"/>
        </w:rPr>
        <w:t xml:space="preserve">A proposé l’avancement du calendrier de mise en œuvre de la politique salariale pour l’année 2023 : </w:t>
      </w:r>
    </w:p>
    <w:p>
      <w:pPr>
        <w:pStyle w:val="Normal"/>
        <w:jc w:val="both"/>
        <w:rPr>
          <w:rFonts w:ascii="Arial" w:hAnsi="Arial" w:cs="Arial"/>
          <w:sz w:val="20"/>
          <w:szCs w:val="20"/>
        </w:rPr>
      </w:pPr>
      <w:r>
        <w:rPr>
          <w:rFonts w:cs="Arial" w:ascii="Arial" w:hAnsi="Arial"/>
          <w:sz w:val="20"/>
          <w:szCs w:val="20"/>
        </w:rPr>
      </w:r>
    </w:p>
    <w:p>
      <w:pPr>
        <w:pStyle w:val="Normal"/>
        <w:jc w:val="center"/>
        <w:rPr>
          <w:rFonts w:ascii="Arial" w:hAnsi="Arial" w:cs="Arial"/>
          <w:sz w:val="20"/>
          <w:szCs w:val="20"/>
        </w:rPr>
      </w:pPr>
      <w:r>
        <w:rPr>
          <w:lang w:val="en-GB" w:eastAsia="en-GB"/>
        </w:rPr>
        <w:drawing>
          <wp:inline distT="0" distB="0" distL="0" distR="0">
            <wp:extent cx="5757545" cy="120840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rcRect l="-2" t="-12" r="-2" b="-12"/>
                    <a:stretch>
                      <a:fillRect/>
                    </a:stretch>
                  </pic:blipFill>
                  <pic:spPr bwMode="auto">
                    <a:xfrm>
                      <a:off x="0" y="0"/>
                      <a:ext cx="5757545" cy="1208405"/>
                    </a:xfrm>
                    <a:prstGeom prst="rect">
                      <a:avLst/>
                    </a:prstGeom>
                  </pic:spPr>
                </pic:pic>
              </a:graphicData>
            </a:graphic>
          </wp:inline>
        </w:drawing>
      </w:r>
    </w:p>
    <w:p>
      <w:pPr>
        <w:pStyle w:val="Normal"/>
        <w:jc w:val="both"/>
        <w:rPr>
          <w:rFonts w:ascii="Arial" w:hAnsi="Arial" w:cs="Arial"/>
          <w:sz w:val="20"/>
          <w:szCs w:val="20"/>
        </w:rPr>
      </w:pPr>
      <w:r>
        <w:rPr>
          <w:rFonts w:cs="Arial" w:ascii="Arial" w:hAnsi="Arial"/>
          <w:sz w:val="20"/>
          <w:szCs w:val="20"/>
        </w:rPr>
      </w:r>
    </w:p>
    <w:p>
      <w:pPr>
        <w:pStyle w:val="Normal"/>
        <w:numPr>
          <w:ilvl w:val="0"/>
          <w:numId w:val="4"/>
        </w:numPr>
        <w:jc w:val="both"/>
        <w:rPr/>
      </w:pPr>
      <w:r>
        <w:rPr>
          <w:rFonts w:cs="Arial" w:ascii="Arial" w:hAnsi="Arial"/>
          <w:sz w:val="20"/>
          <w:szCs w:val="20"/>
        </w:rPr>
        <w:t xml:space="preserve">Dans le contexte actuel exceptionnel, et notamment compte tenu du taux d’inflation sur l’année glissante qui s’élève à 6,2 % au mois d’octobre 2022, la Direction de TMMF a ensuite émis une première proposition de politique salariale pour 2023 prévoyant : </w:t>
      </w:r>
    </w:p>
    <w:p>
      <w:pPr>
        <w:pStyle w:val="Normal"/>
        <w:ind w:left="1068" w:hanging="0"/>
        <w:jc w:val="both"/>
        <w:rPr>
          <w:rFonts w:ascii="Arial" w:hAnsi="Arial" w:cs="Arial"/>
          <w:sz w:val="20"/>
          <w:szCs w:val="20"/>
        </w:rPr>
      </w:pPr>
      <w:r>
        <w:rPr>
          <w:rFonts w:cs="Arial" w:ascii="Arial" w:hAnsi="Arial"/>
          <w:sz w:val="20"/>
          <w:szCs w:val="20"/>
        </w:rPr>
      </w:r>
    </w:p>
    <w:p>
      <w:pPr>
        <w:pStyle w:val="Normal"/>
        <w:numPr>
          <w:ilvl w:val="0"/>
          <w:numId w:val="12"/>
        </w:numPr>
        <w:jc w:val="both"/>
        <w:rPr/>
      </w:pPr>
      <w:r>
        <w:rPr>
          <w:rFonts w:cs="Arial" w:ascii="Arial" w:hAnsi="Arial"/>
          <w:sz w:val="20"/>
          <w:szCs w:val="20"/>
        </w:rPr>
        <w:t>un </w:t>
      </w:r>
      <w:r>
        <w:rPr>
          <w:rFonts w:cs="Arial" w:ascii="Arial" w:hAnsi="Arial"/>
          <w:b/>
          <w:sz w:val="20"/>
          <w:szCs w:val="20"/>
        </w:rPr>
        <w:t>budget exceptionnel de 2,6 %</w:t>
      </w:r>
      <w:r>
        <w:rPr>
          <w:rFonts w:cs="Arial" w:ascii="Arial" w:hAnsi="Arial"/>
          <w:sz w:val="20"/>
          <w:szCs w:val="20"/>
        </w:rPr>
        <w:t xml:space="preserve"> de la masse salariale </w:t>
      </w:r>
      <w:r>
        <w:rPr>
          <w:rFonts w:cs="Arial" w:ascii="Arial" w:hAnsi="Arial"/>
          <w:b/>
          <w:sz w:val="20"/>
          <w:szCs w:val="20"/>
        </w:rPr>
        <w:t>dédié à l’Augmentation Générale (AG)</w:t>
      </w:r>
      <w:r>
        <w:rPr>
          <w:rFonts w:cs="Arial" w:ascii="Arial" w:hAnsi="Arial"/>
          <w:sz w:val="20"/>
          <w:szCs w:val="20"/>
        </w:rPr>
        <w:t xml:space="preserve"> pour les Toyota Members en heures (Team Members (TM) et Team Leaders (TL) de production et de maintenance, Assistants, Administrateurs) ; </w:t>
      </w:r>
    </w:p>
    <w:p>
      <w:pPr>
        <w:pStyle w:val="Normal"/>
        <w:numPr>
          <w:ilvl w:val="0"/>
          <w:numId w:val="12"/>
        </w:numPr>
        <w:jc w:val="both"/>
        <w:rPr>
          <w:rFonts w:ascii="Arial" w:hAnsi="Arial" w:cs="Arial"/>
          <w:sz w:val="20"/>
          <w:szCs w:val="20"/>
        </w:rPr>
      </w:pPr>
      <w:r>
        <w:rPr>
          <w:rFonts w:cs="Arial" w:ascii="Arial" w:hAnsi="Arial"/>
          <w:b/>
          <w:sz w:val="20"/>
          <w:szCs w:val="20"/>
        </w:rPr>
        <w:t>l’intégration de l’équivalent de l’AG dans l’enveloppe de l’Augmentation Individuelle (AI)</w:t>
      </w:r>
      <w:r>
        <w:rPr>
          <w:rFonts w:cs="Arial" w:ascii="Arial" w:hAnsi="Arial"/>
          <w:sz w:val="20"/>
          <w:szCs w:val="20"/>
        </w:rPr>
        <w:t xml:space="preserve"> pour les populations en jours (Group Leaders (GL), Spécialistes, Assistants Managers (AM)) ; </w:t>
      </w:r>
    </w:p>
    <w:p>
      <w:pPr>
        <w:pStyle w:val="Normal"/>
        <w:numPr>
          <w:ilvl w:val="0"/>
          <w:numId w:val="12"/>
        </w:numPr>
        <w:jc w:val="both"/>
        <w:rPr>
          <w:rFonts w:ascii="Arial" w:hAnsi="Arial" w:cs="Arial"/>
          <w:sz w:val="20"/>
          <w:szCs w:val="20"/>
        </w:rPr>
      </w:pPr>
      <w:r>
        <w:rPr>
          <w:rFonts w:cs="Arial" w:ascii="Arial" w:hAnsi="Arial"/>
          <w:b/>
          <w:sz w:val="20"/>
          <w:szCs w:val="20"/>
        </w:rPr>
        <w:t xml:space="preserve">un budget de 0,4 % </w:t>
      </w:r>
      <w:r>
        <w:rPr>
          <w:rFonts w:cs="Arial" w:ascii="Arial" w:hAnsi="Arial"/>
          <w:sz w:val="20"/>
          <w:szCs w:val="20"/>
        </w:rPr>
        <w:t>de la masse salariale attribué pour les</w:t>
      </w:r>
      <w:r>
        <w:rPr>
          <w:rFonts w:cs="Arial" w:ascii="Arial" w:hAnsi="Arial"/>
          <w:b/>
          <w:sz w:val="20"/>
          <w:szCs w:val="20"/>
        </w:rPr>
        <w:t xml:space="preserve"> mesures conventionnelles. </w:t>
      </w:r>
    </w:p>
    <w:p>
      <w:pPr>
        <w:pStyle w:val="Normal"/>
        <w:ind w:left="1788" w:hanging="0"/>
        <w:jc w:val="both"/>
        <w:rPr>
          <w:rFonts w:ascii="Arial" w:hAnsi="Arial" w:cs="Arial"/>
          <w:sz w:val="20"/>
          <w:szCs w:val="20"/>
        </w:rPr>
      </w:pPr>
      <w:r>
        <w:rPr>
          <w:rFonts w:cs="Arial" w:ascii="Arial" w:hAnsi="Arial"/>
          <w:sz w:val="20"/>
          <w:szCs w:val="20"/>
        </w:rPr>
      </w:r>
    </w:p>
    <w:p>
      <w:pPr>
        <w:pStyle w:val="Normal"/>
        <w:ind w:left="1068" w:hanging="0"/>
        <w:jc w:val="both"/>
        <w:rPr/>
      </w:pPr>
      <w:r>
        <w:rPr>
          <w:rFonts w:cs="Arial" w:ascii="Arial" w:hAnsi="Arial"/>
          <w:sz w:val="20"/>
          <w:szCs w:val="20"/>
        </w:rPr>
        <w:t xml:space="preserve">Soit, au total, un budget de 3% d’augmentation de la masse salariale pour l’ensemble des Toyota Members : </w:t>
      </w:r>
    </w:p>
    <w:p>
      <w:pPr>
        <w:pStyle w:val="Normal"/>
        <w:jc w:val="both"/>
        <w:rPr>
          <w:rFonts w:ascii="Arial" w:hAnsi="Arial" w:cs="Arial"/>
          <w:sz w:val="20"/>
          <w:szCs w:val="20"/>
        </w:rPr>
      </w:pPr>
      <w:r>
        <w:rPr>
          <w:rFonts w:cs="Arial" w:ascii="Arial" w:hAnsi="Arial"/>
          <w:sz w:val="20"/>
          <w:szCs w:val="20"/>
        </w:rPr>
      </w:r>
    </w:p>
    <w:p>
      <w:pPr>
        <w:pStyle w:val="Normal"/>
        <w:jc w:val="center"/>
        <w:rPr>
          <w:lang w:val="en-GB" w:eastAsia="en-GB"/>
        </w:rPr>
      </w:pPr>
      <w:r>
        <w:rPr>
          <w:lang w:val="en-GB" w:eastAsia="en-GB"/>
        </w:rPr>
        <w:drawing>
          <wp:inline distT="0" distB="0" distL="0" distR="0">
            <wp:extent cx="4317365" cy="130238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2" t="-8" r="-2" b="-8"/>
                    <a:stretch>
                      <a:fillRect/>
                    </a:stretch>
                  </pic:blipFill>
                  <pic:spPr bwMode="auto">
                    <a:xfrm>
                      <a:off x="0" y="0"/>
                      <a:ext cx="4317365" cy="1302385"/>
                    </a:xfrm>
                    <a:prstGeom prst="rect">
                      <a:avLst/>
                    </a:prstGeom>
                  </pic:spPr>
                </pic:pic>
              </a:graphicData>
            </a:graphic>
          </wp:inline>
        </w:drawing>
      </w:r>
    </w:p>
    <w:p>
      <w:pPr>
        <w:pStyle w:val="Normal"/>
        <w:jc w:val="center"/>
        <w:rPr>
          <w:rFonts w:ascii="Arial" w:hAnsi="Arial" w:cs="Arial"/>
          <w:sz w:val="20"/>
          <w:szCs w:val="20"/>
          <w:lang w:val="en-GB" w:eastAsia="en-GB"/>
        </w:rPr>
      </w:pPr>
      <w:r>
        <w:rPr>
          <w:rFonts w:cs="Arial" w:ascii="Arial" w:hAnsi="Arial"/>
          <w:sz w:val="20"/>
          <w:szCs w:val="20"/>
          <w:lang w:val="en-GB" w:eastAsia="en-GB"/>
        </w:rPr>
      </w:r>
    </w:p>
    <w:p>
      <w:pPr>
        <w:pStyle w:val="Normal"/>
        <w:ind w:left="708" w:hanging="0"/>
        <w:jc w:val="both"/>
        <w:rPr>
          <w:rFonts w:ascii="Arial" w:hAnsi="Arial" w:cs="Arial"/>
          <w:sz w:val="20"/>
          <w:szCs w:val="20"/>
        </w:rPr>
      </w:pPr>
      <w:r>
        <w:rPr>
          <w:rFonts w:cs="Arial" w:ascii="Arial" w:hAnsi="Arial"/>
          <w:sz w:val="20"/>
          <w:szCs w:val="20"/>
        </w:rPr>
        <w:t>Par ailleurs, la Direction de TMMF a annoncé la revalorisation du salaire d’entrée d’un Team member production au 1</w:t>
      </w:r>
      <w:r>
        <w:rPr>
          <w:rFonts w:cs="Arial" w:ascii="Arial" w:hAnsi="Arial"/>
          <w:sz w:val="20"/>
          <w:szCs w:val="20"/>
          <w:vertAlign w:val="superscript"/>
        </w:rPr>
        <w:t>er</w:t>
      </w:r>
      <w:r>
        <w:rPr>
          <w:rFonts w:cs="Arial" w:ascii="Arial" w:hAnsi="Arial"/>
          <w:sz w:val="20"/>
          <w:szCs w:val="20"/>
        </w:rPr>
        <w:t xml:space="preserve"> janvier 2023 à hauteur de 1 750,65 € bruts (hors temps de pause). </w:t>
      </w:r>
    </w:p>
    <w:p>
      <w:pPr>
        <w:pStyle w:val="Normal"/>
        <w:ind w:left="708" w:hanging="0"/>
        <w:jc w:val="both"/>
        <w:rPr>
          <w:rFonts w:ascii="Arial" w:hAnsi="Arial" w:cs="Arial"/>
          <w:sz w:val="20"/>
          <w:szCs w:val="20"/>
        </w:rPr>
      </w:pPr>
      <w:r>
        <w:rPr>
          <w:rFonts w:cs="Arial" w:ascii="Arial" w:hAnsi="Arial"/>
          <w:sz w:val="20"/>
          <w:szCs w:val="20"/>
        </w:rPr>
      </w:r>
    </w:p>
    <w:p>
      <w:pPr>
        <w:pStyle w:val="Normal"/>
        <w:ind w:left="708" w:hanging="0"/>
        <w:jc w:val="both"/>
        <w:rPr>
          <w:rFonts w:ascii="Arial" w:hAnsi="Arial" w:cs="Arial"/>
          <w:sz w:val="20"/>
          <w:szCs w:val="20"/>
        </w:rPr>
      </w:pPr>
      <w:r>
        <w:rPr>
          <w:rFonts w:cs="Arial" w:ascii="Arial" w:hAnsi="Arial"/>
          <w:sz w:val="20"/>
          <w:szCs w:val="20"/>
        </w:rPr>
      </w:r>
    </w:p>
    <w:p>
      <w:pPr>
        <w:pStyle w:val="Normal"/>
        <w:ind w:left="708" w:hanging="0"/>
        <w:rPr>
          <w:lang w:val="en-GB" w:eastAsia="en-GB"/>
        </w:rPr>
      </w:pPr>
      <w:r>
        <w:rPr>
          <w:lang w:val="en-GB" w:eastAsia="en-GB"/>
        </w:rPr>
        <w:drawing>
          <wp:inline distT="0" distB="0" distL="0" distR="0">
            <wp:extent cx="5755005" cy="7931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3" t="-22" r="-3" b="-22"/>
                    <a:stretch>
                      <a:fillRect/>
                    </a:stretch>
                  </pic:blipFill>
                  <pic:spPr bwMode="auto">
                    <a:xfrm>
                      <a:off x="0" y="0"/>
                      <a:ext cx="5755005" cy="793115"/>
                    </a:xfrm>
                    <a:prstGeom prst="rect">
                      <a:avLst/>
                    </a:prstGeom>
                  </pic:spPr>
                </pic:pic>
              </a:graphicData>
            </a:graphic>
          </wp:inline>
        </w:drawing>
      </w:r>
    </w:p>
    <w:p>
      <w:pPr>
        <w:pStyle w:val="Normal"/>
        <w:jc w:val="both"/>
        <w:rPr>
          <w:rFonts w:ascii="Arial" w:hAnsi="Arial" w:cs="Arial"/>
          <w:sz w:val="20"/>
          <w:szCs w:val="20"/>
          <w:lang w:val="en-GB" w:eastAsia="en-GB"/>
        </w:rPr>
      </w:pPr>
      <w:r>
        <w:rPr>
          <w:rFonts w:cs="Arial" w:ascii="Arial" w:hAnsi="Arial"/>
          <w:sz w:val="20"/>
          <w:szCs w:val="20"/>
          <w:lang w:val="en-GB" w:eastAsia="en-GB"/>
        </w:rPr>
      </w:r>
    </w:p>
    <w:p>
      <w:pPr>
        <w:pStyle w:val="Normal"/>
        <w:jc w:val="both"/>
        <w:rPr>
          <w:rFonts w:ascii="Arial" w:hAnsi="Arial" w:cs="Arial"/>
          <w:sz w:val="20"/>
          <w:szCs w:val="20"/>
        </w:rPr>
      </w:pPr>
      <w:r>
        <w:rPr>
          <w:rFonts w:cs="Arial" w:ascii="Arial" w:hAnsi="Arial"/>
          <w:sz w:val="20"/>
          <w:szCs w:val="20"/>
        </w:rPr>
      </w:r>
    </w:p>
    <w:p>
      <w:pPr>
        <w:pStyle w:val="Normal"/>
        <w:numPr>
          <w:ilvl w:val="0"/>
          <w:numId w:val="4"/>
        </w:numPr>
        <w:jc w:val="both"/>
        <w:rPr>
          <w:rFonts w:ascii="Arial" w:hAnsi="Arial" w:cs="Arial"/>
          <w:sz w:val="20"/>
          <w:szCs w:val="20"/>
        </w:rPr>
      </w:pPr>
      <w:r>
        <w:rPr>
          <w:rFonts w:cs="Arial" w:ascii="Arial" w:hAnsi="Arial"/>
          <w:sz w:val="20"/>
          <w:szCs w:val="20"/>
        </w:rPr>
        <w:t>La Direction de TMMF a également proposé aux Organisations Syndicales signataires la</w:t>
      </w:r>
      <w:r>
        <w:rPr>
          <w:rFonts w:cs="Arial" w:ascii="Arial" w:hAnsi="Arial"/>
          <w:b/>
          <w:sz w:val="20"/>
          <w:szCs w:val="20"/>
        </w:rPr>
        <w:t xml:space="preserve"> possibilité de demander l’ouverture de discussions en vue d’anticiper les NAO de fin 2023 en fonction d’évènements liés à l’hyperinflation</w:t>
      </w:r>
      <w:r>
        <w:rPr>
          <w:rFonts w:cs="Arial" w:ascii="Arial" w:hAnsi="Arial"/>
          <w:sz w:val="20"/>
          <w:szCs w:val="20"/>
        </w:rPr>
        <w:t xml:space="preserve">.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numPr>
          <w:ilvl w:val="0"/>
          <w:numId w:val="10"/>
        </w:numPr>
        <w:jc w:val="both"/>
        <w:rPr/>
      </w:pPr>
      <w:r>
        <w:rPr>
          <w:rFonts w:cs="Arial" w:ascii="Arial" w:hAnsi="Arial"/>
          <w:b/>
          <w:sz w:val="20"/>
          <w:szCs w:val="20"/>
          <w:u w:val="single"/>
        </w:rPr>
        <w:t xml:space="preserve">Au cours de la réunion du 9 décembre 2022, la Direction de TMMF a : </w:t>
      </w:r>
    </w:p>
    <w:p>
      <w:pPr>
        <w:pStyle w:val="Normal"/>
        <w:tabs>
          <w:tab w:val="left" w:pos="1260" w:leader="none"/>
        </w:tabs>
        <w:jc w:val="both"/>
        <w:rPr>
          <w:rFonts w:ascii="Arial" w:hAnsi="Arial" w:cs="Arial"/>
          <w:b/>
          <w:b/>
          <w:sz w:val="20"/>
          <w:szCs w:val="20"/>
          <w:u w:val="single"/>
        </w:rPr>
      </w:pPr>
      <w:r>
        <w:rPr>
          <w:rFonts w:cs="Arial" w:ascii="Arial" w:hAnsi="Arial"/>
          <w:b/>
          <w:sz w:val="20"/>
          <w:szCs w:val="20"/>
          <w:u w:val="single"/>
        </w:rPr>
      </w:r>
    </w:p>
    <w:p>
      <w:pPr>
        <w:pStyle w:val="Normal"/>
        <w:numPr>
          <w:ilvl w:val="0"/>
          <w:numId w:val="4"/>
        </w:numPr>
        <w:tabs>
          <w:tab w:val="left" w:pos="1260" w:leader="none"/>
        </w:tabs>
        <w:jc w:val="both"/>
        <w:rPr>
          <w:rFonts w:ascii="Arial" w:hAnsi="Arial" w:cs="Arial"/>
          <w:sz w:val="20"/>
          <w:szCs w:val="20"/>
        </w:rPr>
      </w:pPr>
      <w:r>
        <w:rPr>
          <w:rFonts w:cs="Arial" w:ascii="Arial" w:hAnsi="Arial"/>
          <w:sz w:val="20"/>
          <w:szCs w:val="20"/>
        </w:rPr>
        <w:t>Rappelé le contexte à la fois externe et interne à TMMF, tel que présenté lors de la 1</w:t>
      </w:r>
      <w:r>
        <w:rPr>
          <w:rFonts w:cs="Arial" w:ascii="Arial" w:hAnsi="Arial"/>
          <w:sz w:val="20"/>
          <w:szCs w:val="20"/>
          <w:vertAlign w:val="superscript"/>
        </w:rPr>
        <w:t>ère</w:t>
      </w:r>
      <w:r>
        <w:rPr>
          <w:rFonts w:cs="Arial" w:ascii="Arial" w:hAnsi="Arial"/>
          <w:sz w:val="20"/>
          <w:szCs w:val="20"/>
        </w:rPr>
        <w:t> réunion du 17 novembre 2022, ainsi que les mesures proposées lors de la 3</w:t>
      </w:r>
      <w:r>
        <w:rPr>
          <w:rFonts w:cs="Arial" w:ascii="Arial" w:hAnsi="Arial"/>
          <w:sz w:val="20"/>
          <w:szCs w:val="20"/>
          <w:vertAlign w:val="superscript"/>
        </w:rPr>
        <w:t>ème</w:t>
      </w:r>
      <w:r>
        <w:rPr>
          <w:rFonts w:cs="Arial" w:ascii="Arial" w:hAnsi="Arial"/>
          <w:sz w:val="20"/>
          <w:szCs w:val="20"/>
        </w:rPr>
        <w:t> réunion du 1</w:t>
      </w:r>
      <w:r>
        <w:rPr>
          <w:rFonts w:cs="Arial" w:ascii="Arial" w:hAnsi="Arial"/>
          <w:sz w:val="20"/>
          <w:szCs w:val="20"/>
          <w:vertAlign w:val="superscript"/>
        </w:rPr>
        <w:t>er</w:t>
      </w:r>
      <w:r>
        <w:rPr>
          <w:rFonts w:cs="Arial" w:ascii="Arial" w:hAnsi="Arial"/>
          <w:sz w:val="20"/>
          <w:szCs w:val="20"/>
        </w:rPr>
        <w:t xml:space="preserve"> décembre 2022 ; </w:t>
      </w:r>
    </w:p>
    <w:p>
      <w:pPr>
        <w:pStyle w:val="Normal"/>
        <w:tabs>
          <w:tab w:val="left" w:pos="1260" w:leader="none"/>
        </w:tabs>
        <w:ind w:left="1068" w:hanging="0"/>
        <w:jc w:val="both"/>
        <w:rPr>
          <w:rFonts w:ascii="Arial" w:hAnsi="Arial" w:cs="Arial"/>
          <w:sz w:val="20"/>
          <w:szCs w:val="20"/>
        </w:rPr>
      </w:pPr>
      <w:r>
        <w:rPr>
          <w:rFonts w:cs="Arial" w:ascii="Arial" w:hAnsi="Arial"/>
          <w:sz w:val="20"/>
          <w:szCs w:val="20"/>
        </w:rPr>
      </w:r>
    </w:p>
    <w:p>
      <w:pPr>
        <w:pStyle w:val="Normal"/>
        <w:numPr>
          <w:ilvl w:val="0"/>
          <w:numId w:val="4"/>
        </w:numPr>
        <w:tabs>
          <w:tab w:val="left" w:pos="1260" w:leader="none"/>
        </w:tabs>
        <w:jc w:val="both"/>
        <w:rPr>
          <w:rFonts w:ascii="Arial" w:hAnsi="Arial" w:cs="Arial"/>
          <w:sz w:val="20"/>
          <w:szCs w:val="20"/>
        </w:rPr>
      </w:pPr>
      <w:r>
        <w:rPr>
          <w:rFonts w:cs="Arial" w:ascii="Arial" w:hAnsi="Arial"/>
          <w:sz w:val="20"/>
          <w:szCs w:val="20"/>
        </w:rPr>
        <w:t>Apporté des précisions sur sa proposition d’ingérer une clause d’anticipation dans l’Accord ;</w:t>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numPr>
          <w:ilvl w:val="0"/>
          <w:numId w:val="4"/>
        </w:numPr>
        <w:tabs>
          <w:tab w:val="left" w:pos="1260" w:leader="none"/>
        </w:tabs>
        <w:jc w:val="both"/>
        <w:rPr/>
      </w:pPr>
      <w:r>
        <w:rPr>
          <w:rFonts w:cs="Arial" w:ascii="Arial" w:hAnsi="Arial"/>
          <w:sz w:val="20"/>
          <w:szCs w:val="20"/>
        </w:rPr>
        <w:t xml:space="preserve">Présenté de nouvelles propositions pour la politique salariale 2023, en complément de celles déjà annoncées : </w:t>
      </w:r>
    </w:p>
    <w:p>
      <w:pPr>
        <w:pStyle w:val="Normal"/>
        <w:tabs>
          <w:tab w:val="left" w:pos="1260" w:leader="none"/>
        </w:tabs>
        <w:ind w:left="1068" w:hanging="0"/>
        <w:jc w:val="both"/>
        <w:rPr>
          <w:rFonts w:ascii="Arial" w:hAnsi="Arial" w:cs="Arial"/>
          <w:sz w:val="20"/>
          <w:szCs w:val="20"/>
        </w:rPr>
      </w:pPr>
      <w:r>
        <w:rPr>
          <w:rFonts w:cs="Arial" w:ascii="Arial" w:hAnsi="Arial"/>
          <w:sz w:val="20"/>
          <w:szCs w:val="20"/>
        </w:rPr>
      </w:r>
    </w:p>
    <w:p>
      <w:pPr>
        <w:pStyle w:val="Normal"/>
        <w:numPr>
          <w:ilvl w:val="0"/>
          <w:numId w:val="1"/>
        </w:numPr>
        <w:tabs>
          <w:tab w:val="left" w:pos="1260" w:leader="none"/>
        </w:tabs>
        <w:jc w:val="both"/>
        <w:rPr>
          <w:rFonts w:ascii="Arial" w:hAnsi="Arial" w:cs="Arial"/>
          <w:sz w:val="20"/>
          <w:szCs w:val="20"/>
        </w:rPr>
      </w:pPr>
      <w:r>
        <w:rPr>
          <w:rFonts w:cs="Arial" w:ascii="Arial" w:hAnsi="Arial"/>
          <w:sz w:val="20"/>
          <w:szCs w:val="20"/>
        </w:rPr>
        <w:t xml:space="preserve">Un </w:t>
      </w:r>
      <w:r>
        <w:rPr>
          <w:rFonts w:cs="Arial" w:ascii="Arial" w:hAnsi="Arial"/>
          <w:b/>
          <w:sz w:val="20"/>
          <w:szCs w:val="20"/>
        </w:rPr>
        <w:t>budget spécifique exceptionnel</w:t>
      </w:r>
      <w:r>
        <w:rPr>
          <w:rFonts w:cs="Arial" w:ascii="Arial" w:hAnsi="Arial"/>
          <w:sz w:val="20"/>
          <w:szCs w:val="20"/>
        </w:rPr>
        <w:t xml:space="preserve"> (hors Augmentation Individuelle) </w:t>
      </w:r>
      <w:r>
        <w:rPr>
          <w:rFonts w:cs="Arial" w:ascii="Arial" w:hAnsi="Arial"/>
          <w:b/>
          <w:sz w:val="20"/>
          <w:szCs w:val="20"/>
        </w:rPr>
        <w:t>dédié aux évolutions et promotions</w:t>
      </w:r>
      <w:r>
        <w:rPr>
          <w:rFonts w:cs="Arial" w:ascii="Arial" w:hAnsi="Arial"/>
          <w:sz w:val="20"/>
          <w:szCs w:val="20"/>
        </w:rPr>
        <w:t xml:space="preserve"> qui s’élèverait à </w:t>
      </w:r>
      <w:r>
        <w:rPr>
          <w:rFonts w:cs="Arial" w:ascii="Arial" w:hAnsi="Arial"/>
          <w:b/>
          <w:sz w:val="20"/>
          <w:szCs w:val="20"/>
        </w:rPr>
        <w:t>0,6%</w:t>
      </w:r>
      <w:r>
        <w:rPr>
          <w:rFonts w:cs="Arial" w:ascii="Arial" w:hAnsi="Arial"/>
          <w:sz w:val="20"/>
          <w:szCs w:val="20"/>
        </w:rPr>
        <w:t xml:space="preserve"> de la masse salariale (budget historique : 0,4% de la masse salariale) se traduisant par un retour au standard avec </w:t>
      </w:r>
      <w:r>
        <w:rPr>
          <w:rFonts w:cs="Arial" w:ascii="Arial" w:hAnsi="Arial"/>
          <w:b/>
          <w:sz w:val="20"/>
          <w:szCs w:val="20"/>
        </w:rPr>
        <w:t>4%</w:t>
      </w:r>
      <w:r>
        <w:rPr>
          <w:rFonts w:cs="Arial" w:ascii="Arial" w:hAnsi="Arial"/>
          <w:sz w:val="20"/>
          <w:szCs w:val="20"/>
        </w:rPr>
        <w:t xml:space="preserve"> d’augmentation en cas d’évolution et </w:t>
      </w:r>
      <w:r>
        <w:rPr>
          <w:rFonts w:cs="Arial" w:ascii="Arial" w:hAnsi="Arial"/>
          <w:b/>
          <w:sz w:val="20"/>
          <w:szCs w:val="20"/>
        </w:rPr>
        <w:t>5%</w:t>
      </w:r>
      <w:r>
        <w:rPr>
          <w:rFonts w:cs="Arial" w:ascii="Arial" w:hAnsi="Arial"/>
          <w:sz w:val="20"/>
          <w:szCs w:val="20"/>
        </w:rPr>
        <w:t xml:space="preserve"> d’augmentation minimum en cas de promotion ; </w:t>
      </w:r>
    </w:p>
    <w:p>
      <w:pPr>
        <w:pStyle w:val="Normal"/>
        <w:numPr>
          <w:ilvl w:val="0"/>
          <w:numId w:val="1"/>
        </w:numPr>
        <w:tabs>
          <w:tab w:val="left" w:pos="1260" w:leader="none"/>
        </w:tabs>
        <w:jc w:val="both"/>
        <w:rPr/>
      </w:pPr>
      <w:r>
        <w:rPr>
          <w:rFonts w:cs="Arial" w:ascii="Arial" w:hAnsi="Arial"/>
          <w:sz w:val="20"/>
          <w:szCs w:val="20"/>
        </w:rPr>
        <w:t xml:space="preserve">Un </w:t>
      </w:r>
      <w:r>
        <w:rPr>
          <w:rFonts w:cs="Arial" w:ascii="Arial" w:hAnsi="Arial"/>
          <w:b/>
          <w:sz w:val="20"/>
          <w:szCs w:val="20"/>
        </w:rPr>
        <w:t>budget dédié à l’Augmentation Individuelle (AI)</w:t>
      </w:r>
      <w:r>
        <w:rPr>
          <w:rFonts w:cs="Arial" w:ascii="Arial" w:hAnsi="Arial"/>
          <w:sz w:val="20"/>
          <w:szCs w:val="20"/>
        </w:rPr>
        <w:t xml:space="preserve"> qui s’élèverait à hauteur de : </w:t>
      </w:r>
    </w:p>
    <w:p>
      <w:pPr>
        <w:pStyle w:val="Normal"/>
        <w:numPr>
          <w:ilvl w:val="0"/>
          <w:numId w:val="7"/>
        </w:numPr>
        <w:tabs>
          <w:tab w:val="left" w:pos="1260" w:leader="none"/>
        </w:tabs>
        <w:jc w:val="both"/>
        <w:rPr/>
      </w:pPr>
      <w:r>
        <w:rPr>
          <w:rFonts w:cs="Arial" w:ascii="Arial" w:hAnsi="Arial"/>
          <w:b/>
          <w:sz w:val="20"/>
          <w:szCs w:val="20"/>
        </w:rPr>
        <w:t>1%</w:t>
      </w:r>
      <w:r>
        <w:rPr>
          <w:rFonts w:cs="Arial" w:ascii="Arial" w:hAnsi="Arial"/>
          <w:sz w:val="20"/>
          <w:szCs w:val="20"/>
        </w:rPr>
        <w:t xml:space="preserve"> de la masse salariale pour les populations en heures (Team Members (TM) et Team Leaders (TL) de production et de maintenance, Assistants, Administrateurs) ; </w:t>
      </w:r>
    </w:p>
    <w:p>
      <w:pPr>
        <w:pStyle w:val="Normal"/>
        <w:numPr>
          <w:ilvl w:val="0"/>
          <w:numId w:val="7"/>
        </w:numPr>
        <w:tabs>
          <w:tab w:val="left" w:pos="1260" w:leader="none"/>
        </w:tabs>
        <w:jc w:val="both"/>
        <w:rPr/>
      </w:pPr>
      <w:r>
        <w:rPr>
          <w:rFonts w:cs="Arial" w:ascii="Arial" w:hAnsi="Arial"/>
          <w:b/>
          <w:sz w:val="20"/>
          <w:szCs w:val="20"/>
        </w:rPr>
        <w:t>3,6%</w:t>
      </w:r>
      <w:r>
        <w:rPr>
          <w:rFonts w:cs="Arial" w:ascii="Arial" w:hAnsi="Arial"/>
          <w:sz w:val="20"/>
          <w:szCs w:val="20"/>
        </w:rPr>
        <w:t xml:space="preserve"> de la masse salariale (budget de l’AG intégré) pour les GL non-cadres ; </w:t>
      </w:r>
    </w:p>
    <w:p>
      <w:pPr>
        <w:pStyle w:val="Normal"/>
        <w:numPr>
          <w:ilvl w:val="0"/>
          <w:numId w:val="7"/>
        </w:numPr>
        <w:tabs>
          <w:tab w:val="left" w:pos="1260" w:leader="none"/>
        </w:tabs>
        <w:jc w:val="both"/>
        <w:rPr>
          <w:rFonts w:ascii="Arial" w:hAnsi="Arial" w:cs="Arial"/>
          <w:sz w:val="20"/>
          <w:szCs w:val="20"/>
        </w:rPr>
      </w:pPr>
      <w:r>
        <w:rPr>
          <w:rFonts w:cs="Arial" w:ascii="Arial" w:hAnsi="Arial"/>
          <w:b/>
          <w:sz w:val="20"/>
          <w:szCs w:val="20"/>
        </w:rPr>
        <w:t>4%</w:t>
      </w:r>
      <w:r>
        <w:rPr>
          <w:rFonts w:cs="Arial" w:ascii="Arial" w:hAnsi="Arial"/>
          <w:sz w:val="20"/>
          <w:szCs w:val="20"/>
        </w:rPr>
        <w:t xml:space="preserve"> pour les populations cadres (budgets de l’AG et du conventionnel intégrés).</w:t>
      </w:r>
    </w:p>
    <w:p>
      <w:pPr>
        <w:pStyle w:val="Normal"/>
        <w:tabs>
          <w:tab w:val="left" w:pos="1260" w:leader="none"/>
        </w:tabs>
        <w:ind w:left="1788" w:hanging="0"/>
        <w:jc w:val="both"/>
        <w:rPr>
          <w:rFonts w:ascii="Arial" w:hAnsi="Arial" w:cs="Arial"/>
          <w:sz w:val="20"/>
          <w:szCs w:val="20"/>
        </w:rPr>
      </w:pPr>
      <w:r>
        <w:rPr>
          <w:rFonts w:cs="Arial" w:ascii="Arial" w:hAnsi="Arial"/>
          <w:sz w:val="20"/>
          <w:szCs w:val="20"/>
        </w:rPr>
      </w:r>
    </w:p>
    <w:p>
      <w:pPr>
        <w:pStyle w:val="Normal"/>
        <w:tabs>
          <w:tab w:val="left" w:pos="1260" w:leader="none"/>
        </w:tabs>
        <w:ind w:left="1788" w:hanging="0"/>
        <w:jc w:val="both"/>
        <w:rPr>
          <w:rFonts w:ascii="Arial" w:hAnsi="Arial" w:cs="Arial"/>
          <w:sz w:val="20"/>
          <w:szCs w:val="20"/>
        </w:rPr>
      </w:pPr>
      <w:r>
        <w:rPr>
          <w:rFonts w:cs="Arial" w:ascii="Arial" w:hAnsi="Arial"/>
          <w:sz w:val="20"/>
          <w:szCs w:val="20"/>
        </w:rPr>
      </w:r>
    </w:p>
    <w:p>
      <w:pPr>
        <w:pStyle w:val="Normal"/>
        <w:ind w:left="1068" w:hanging="0"/>
        <w:jc w:val="both"/>
        <w:rPr>
          <w:rFonts w:ascii="Arial" w:hAnsi="Arial" w:cs="Arial"/>
          <w:sz w:val="20"/>
          <w:szCs w:val="20"/>
        </w:rPr>
      </w:pPr>
      <w:r>
        <w:rPr>
          <w:rFonts w:cs="Arial" w:ascii="Arial" w:hAnsi="Arial"/>
          <w:sz w:val="20"/>
          <w:szCs w:val="20"/>
        </w:rPr>
        <w:t xml:space="preserve">Soit, au total, un budget de 4,6% d’augmentation de la masse salariale pour l’ensemble des Toyota Members : </w:t>
      </w:r>
    </w:p>
    <w:p>
      <w:pPr>
        <w:pStyle w:val="Normal"/>
        <w:tabs>
          <w:tab w:val="left" w:pos="1260" w:leader="none"/>
        </w:tabs>
        <w:ind w:left="1068" w:hanging="0"/>
        <w:jc w:val="both"/>
        <w:rPr>
          <w:rFonts w:ascii="Arial" w:hAnsi="Arial" w:cs="Arial"/>
          <w:sz w:val="20"/>
          <w:szCs w:val="20"/>
        </w:rPr>
      </w:pPr>
      <w:r>
        <w:rPr>
          <w:rFonts w:cs="Arial" w:ascii="Arial" w:hAnsi="Arial"/>
          <w:sz w:val="20"/>
          <w:szCs w:val="20"/>
        </w:rPr>
      </w:r>
    </w:p>
    <w:p>
      <w:pPr>
        <w:pStyle w:val="Normal"/>
        <w:tabs>
          <w:tab w:val="left" w:pos="1260" w:leader="none"/>
        </w:tabs>
        <w:jc w:val="center"/>
        <w:rPr>
          <w:rFonts w:ascii="Arial" w:hAnsi="Arial" w:cs="Arial"/>
          <w:sz w:val="20"/>
          <w:szCs w:val="20"/>
        </w:rPr>
      </w:pPr>
      <w:r>
        <w:rPr>
          <w:rFonts w:eastAsia="Times New Roman"/>
          <w:lang w:val="en-GB" w:eastAsia="en-GB"/>
        </w:rPr>
        <w:t xml:space="preserve">                  </w:t>
      </w:r>
      <w:r>
        <w:rPr>
          <w:lang w:val="en-GB" w:eastAsia="en-GB"/>
        </w:rPr>
        <w:drawing>
          <wp:inline distT="0" distB="0" distL="0" distR="0">
            <wp:extent cx="4241800" cy="145986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4" t="-14" r="-4" b="-14"/>
                    <a:stretch>
                      <a:fillRect/>
                    </a:stretch>
                  </pic:blipFill>
                  <pic:spPr bwMode="auto">
                    <a:xfrm>
                      <a:off x="0" y="0"/>
                      <a:ext cx="4241800" cy="1459865"/>
                    </a:xfrm>
                    <a:prstGeom prst="rect">
                      <a:avLst/>
                    </a:prstGeom>
                  </pic:spPr>
                </pic:pic>
              </a:graphicData>
            </a:graphic>
          </wp:inline>
        </w:drawing>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numPr>
          <w:ilvl w:val="0"/>
          <w:numId w:val="9"/>
        </w:numPr>
        <w:tabs>
          <w:tab w:val="left" w:pos="1260" w:leader="none"/>
        </w:tabs>
        <w:jc w:val="both"/>
        <w:rPr>
          <w:rFonts w:ascii="Arial" w:hAnsi="Arial" w:cs="Arial"/>
          <w:sz w:val="20"/>
          <w:szCs w:val="20"/>
        </w:rPr>
      </w:pPr>
      <w:r>
        <w:rPr>
          <w:rFonts w:cs="Arial" w:ascii="Arial" w:hAnsi="Arial"/>
          <w:sz w:val="20"/>
          <w:szCs w:val="20"/>
        </w:rPr>
        <w:t xml:space="preserve">Des mesures additionnelles : </w:t>
      </w:r>
    </w:p>
    <w:p>
      <w:pPr>
        <w:pStyle w:val="Normal"/>
        <w:tabs>
          <w:tab w:val="left" w:pos="1260" w:leader="none"/>
        </w:tabs>
        <w:ind w:left="1776" w:hanging="0"/>
        <w:jc w:val="both"/>
        <w:rPr>
          <w:rFonts w:ascii="Arial" w:hAnsi="Arial" w:cs="Arial"/>
          <w:sz w:val="20"/>
          <w:szCs w:val="20"/>
        </w:rPr>
      </w:pPr>
      <w:r>
        <w:rPr>
          <w:rFonts w:cs="Arial" w:ascii="Arial" w:hAnsi="Arial"/>
          <w:sz w:val="20"/>
          <w:szCs w:val="20"/>
        </w:rPr>
      </w:r>
    </w:p>
    <w:p>
      <w:pPr>
        <w:pStyle w:val="Normal"/>
        <w:numPr>
          <w:ilvl w:val="0"/>
          <w:numId w:val="3"/>
        </w:numPr>
        <w:tabs>
          <w:tab w:val="left" w:pos="1260" w:leader="none"/>
        </w:tabs>
        <w:jc w:val="both"/>
        <w:rPr>
          <w:rFonts w:ascii="Arial" w:hAnsi="Arial" w:cs="Arial"/>
          <w:sz w:val="20"/>
          <w:szCs w:val="20"/>
        </w:rPr>
      </w:pPr>
      <w:r>
        <w:rPr>
          <w:rFonts w:cs="Arial" w:ascii="Arial" w:hAnsi="Arial"/>
          <w:sz w:val="20"/>
          <w:szCs w:val="20"/>
        </w:rPr>
        <w:t xml:space="preserve">Un </w:t>
      </w:r>
      <w:r>
        <w:rPr>
          <w:rFonts w:cs="Arial" w:ascii="Arial" w:hAnsi="Arial"/>
          <w:b/>
          <w:sz w:val="20"/>
          <w:szCs w:val="20"/>
        </w:rPr>
        <w:t>budget spécifique de</w:t>
      </w:r>
      <w:r>
        <w:rPr>
          <w:rFonts w:cs="Arial" w:ascii="Arial" w:hAnsi="Arial"/>
          <w:sz w:val="20"/>
          <w:szCs w:val="20"/>
        </w:rPr>
        <w:t xml:space="preserve"> </w:t>
      </w:r>
      <w:r>
        <w:rPr>
          <w:rFonts w:cs="Arial" w:ascii="Arial" w:hAnsi="Arial"/>
          <w:b/>
          <w:sz w:val="20"/>
          <w:szCs w:val="20"/>
        </w:rPr>
        <w:t>0,26%</w:t>
      </w:r>
      <w:r>
        <w:rPr>
          <w:rFonts w:cs="Arial" w:ascii="Arial" w:hAnsi="Arial"/>
          <w:sz w:val="20"/>
          <w:szCs w:val="20"/>
        </w:rPr>
        <w:t xml:space="preserve"> de la masse salariale des Team Leaders Production (TLP) pour la </w:t>
      </w:r>
      <w:r>
        <w:rPr>
          <w:rFonts w:cs="Arial" w:ascii="Arial" w:hAnsi="Arial"/>
          <w:b/>
          <w:sz w:val="20"/>
          <w:szCs w:val="20"/>
        </w:rPr>
        <w:t>création d’un salaire d’entrée pour les TLP afin de reconnaître et de valoriser les spécificités de leurs fonctions</w:t>
      </w:r>
      <w:r>
        <w:rPr>
          <w:rFonts w:cs="Arial" w:ascii="Arial" w:hAnsi="Arial"/>
          <w:sz w:val="20"/>
          <w:szCs w:val="20"/>
        </w:rPr>
        <w:t xml:space="preserve"> qui serait appliqué selon les modalités suivantes : </w:t>
      </w:r>
    </w:p>
    <w:p>
      <w:pPr>
        <w:pStyle w:val="Normal"/>
        <w:tabs>
          <w:tab w:val="left" w:pos="1260" w:leader="none"/>
        </w:tabs>
        <w:ind w:left="2484" w:hanging="0"/>
        <w:jc w:val="both"/>
        <w:rPr>
          <w:rFonts w:ascii="Arial" w:hAnsi="Arial" w:cs="Arial"/>
          <w:sz w:val="20"/>
          <w:szCs w:val="20"/>
        </w:rPr>
      </w:pPr>
      <w:r>
        <w:rPr>
          <w:rFonts w:cs="Arial" w:ascii="Arial" w:hAnsi="Arial"/>
          <w:sz w:val="20"/>
          <w:szCs w:val="20"/>
          <w:u w:val="single"/>
        </w:rPr>
        <w:t>Date d’application</w:t>
      </w:r>
      <w:r>
        <w:rPr>
          <w:rFonts w:cs="Arial" w:ascii="Arial" w:hAnsi="Arial"/>
          <w:sz w:val="20"/>
          <w:szCs w:val="20"/>
        </w:rPr>
        <w:t> : au 1</w:t>
      </w:r>
      <w:r>
        <w:rPr>
          <w:rFonts w:cs="Arial" w:ascii="Arial" w:hAnsi="Arial"/>
          <w:sz w:val="20"/>
          <w:szCs w:val="20"/>
          <w:vertAlign w:val="superscript"/>
        </w:rPr>
        <w:t>er</w:t>
      </w:r>
      <w:r>
        <w:rPr>
          <w:rFonts w:cs="Arial" w:ascii="Arial" w:hAnsi="Arial"/>
          <w:sz w:val="20"/>
          <w:szCs w:val="20"/>
        </w:rPr>
        <w:t xml:space="preserve"> janvier 2023, après application de la politique salariale (AG+AI) ;</w:t>
      </w:r>
    </w:p>
    <w:p>
      <w:pPr>
        <w:pStyle w:val="Normal"/>
        <w:tabs>
          <w:tab w:val="left" w:pos="1260" w:leader="none"/>
        </w:tabs>
        <w:ind w:left="2508" w:hanging="0"/>
        <w:jc w:val="both"/>
        <w:rPr>
          <w:rFonts w:ascii="Arial" w:hAnsi="Arial" w:cs="Arial"/>
          <w:sz w:val="20"/>
          <w:szCs w:val="20"/>
        </w:rPr>
      </w:pPr>
      <w:r>
        <w:rPr>
          <w:rFonts w:cs="Arial" w:ascii="Arial" w:hAnsi="Arial"/>
          <w:sz w:val="20"/>
          <w:szCs w:val="20"/>
          <w:u w:val="single"/>
        </w:rPr>
        <w:t>Montant</w:t>
      </w:r>
      <w:r>
        <w:rPr>
          <w:rFonts w:cs="Arial" w:ascii="Arial" w:hAnsi="Arial"/>
          <w:sz w:val="20"/>
          <w:szCs w:val="20"/>
        </w:rPr>
        <w:t xml:space="preserve"> : 1 980 € bruts hors temps de pause (2 102 € bruts avec temps de pause). </w:t>
      </w:r>
    </w:p>
    <w:p>
      <w:pPr>
        <w:pStyle w:val="Normal"/>
        <w:tabs>
          <w:tab w:val="left" w:pos="1260" w:leader="none"/>
        </w:tabs>
        <w:ind w:left="2508" w:hanging="0"/>
        <w:jc w:val="both"/>
        <w:rPr>
          <w:rFonts w:ascii="Arial" w:hAnsi="Arial" w:cs="Arial"/>
          <w:sz w:val="20"/>
          <w:szCs w:val="20"/>
        </w:rPr>
      </w:pPr>
      <w:r>
        <w:rPr>
          <w:rFonts w:cs="Arial" w:ascii="Arial" w:hAnsi="Arial"/>
          <w:sz w:val="20"/>
          <w:szCs w:val="20"/>
          <w:u w:val="single"/>
        </w:rPr>
        <w:t>Impact </w:t>
      </w:r>
      <w:r>
        <w:rPr>
          <w:rFonts w:cs="Arial" w:ascii="Arial" w:hAnsi="Arial"/>
          <w:sz w:val="20"/>
          <w:szCs w:val="20"/>
        </w:rPr>
        <w:t>: cette mesure concernera 124 TL, soit plus de 16% des TL (23% parmi le grade TLP).</w:t>
      </w:r>
    </w:p>
    <w:p>
      <w:pPr>
        <w:pStyle w:val="Normal"/>
        <w:tabs>
          <w:tab w:val="left" w:pos="1260" w:leader="none"/>
        </w:tabs>
        <w:ind w:left="2508" w:hanging="0"/>
        <w:jc w:val="both"/>
        <w:rPr>
          <w:rFonts w:ascii="Arial" w:hAnsi="Arial" w:cs="Arial"/>
          <w:sz w:val="20"/>
          <w:szCs w:val="20"/>
        </w:rPr>
      </w:pPr>
      <w:r>
        <w:rPr>
          <w:rFonts w:cs="Arial" w:ascii="Arial" w:hAnsi="Arial"/>
          <w:sz w:val="20"/>
          <w:szCs w:val="20"/>
        </w:rPr>
      </w:r>
    </w:p>
    <w:p>
      <w:pPr>
        <w:pStyle w:val="Normal"/>
        <w:tabs>
          <w:tab w:val="left" w:pos="1260" w:leader="none"/>
        </w:tabs>
        <w:ind w:left="2508" w:hanging="0"/>
        <w:jc w:val="both"/>
        <w:rPr>
          <w:rFonts w:ascii="Arial" w:hAnsi="Arial" w:cs="Arial"/>
          <w:sz w:val="20"/>
          <w:szCs w:val="20"/>
        </w:rPr>
      </w:pPr>
      <w:r>
        <w:rPr>
          <w:rFonts w:cs="Arial" w:ascii="Arial" w:hAnsi="Arial"/>
          <w:sz w:val="20"/>
          <w:szCs w:val="20"/>
        </w:rPr>
      </w:r>
    </w:p>
    <w:p>
      <w:pPr>
        <w:pStyle w:val="Normal"/>
        <w:ind w:left="1416" w:hanging="0"/>
        <w:jc w:val="both"/>
        <w:rPr/>
      </w:pPr>
      <w:r>
        <w:rPr>
          <w:rFonts w:cs="Arial" w:ascii="Arial" w:hAnsi="Arial"/>
          <w:sz w:val="20"/>
          <w:szCs w:val="20"/>
        </w:rPr>
        <w:t>Soit, au total, un budget exceptionnel de 4,86% d’augmentation de la masse salariale pour les TLP :</w:t>
      </w:r>
    </w:p>
    <w:p>
      <w:pPr>
        <w:pStyle w:val="Normal"/>
        <w:ind w:left="1416" w:hanging="0"/>
        <w:jc w:val="both"/>
        <w:rPr>
          <w:rFonts w:ascii="Arial" w:hAnsi="Arial" w:eastAsia="Arial" w:cs="Arial"/>
          <w:sz w:val="20"/>
          <w:szCs w:val="20"/>
        </w:rPr>
      </w:pPr>
      <w:r>
        <w:rPr>
          <w:rFonts w:eastAsia="Arial" w:cs="Arial" w:ascii="Arial" w:hAnsi="Arial"/>
          <w:sz w:val="20"/>
          <w:szCs w:val="20"/>
        </w:rPr>
        <w:t xml:space="preserve"> </w:t>
      </w:r>
    </w:p>
    <w:p>
      <w:pPr>
        <w:pStyle w:val="Normal"/>
        <w:ind w:left="1416" w:hanging="0"/>
        <w:jc w:val="center"/>
        <w:rPr>
          <w:rFonts w:ascii="Arial" w:hAnsi="Arial" w:cs="Arial"/>
          <w:sz w:val="20"/>
          <w:szCs w:val="20"/>
        </w:rPr>
      </w:pPr>
      <w:r>
        <w:rPr>
          <w:lang w:val="en-GB" w:eastAsia="en-GB"/>
        </w:rPr>
        <w:drawing>
          <wp:inline distT="0" distB="0" distL="0" distR="0">
            <wp:extent cx="4880610" cy="64325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3" t="-23" r="-3" b="-23"/>
                    <a:stretch>
                      <a:fillRect/>
                    </a:stretch>
                  </pic:blipFill>
                  <pic:spPr bwMode="auto">
                    <a:xfrm>
                      <a:off x="0" y="0"/>
                      <a:ext cx="4880610" cy="643255"/>
                    </a:xfrm>
                    <a:prstGeom prst="rect">
                      <a:avLst/>
                    </a:prstGeom>
                  </pic:spPr>
                </pic:pic>
              </a:graphicData>
            </a:graphic>
          </wp:inline>
        </w:drawing>
      </w:r>
    </w:p>
    <w:p>
      <w:pPr>
        <w:pStyle w:val="Normal"/>
        <w:tabs>
          <w:tab w:val="left" w:pos="1260" w:leader="none"/>
        </w:tabs>
        <w:ind w:left="2508" w:hanging="0"/>
        <w:jc w:val="both"/>
        <w:rPr>
          <w:rFonts w:ascii="Arial" w:hAnsi="Arial" w:cs="Arial"/>
          <w:sz w:val="20"/>
          <w:szCs w:val="20"/>
        </w:rPr>
      </w:pPr>
      <w:r>
        <w:rPr>
          <w:rFonts w:cs="Arial" w:ascii="Arial" w:hAnsi="Arial"/>
          <w:sz w:val="20"/>
          <w:szCs w:val="20"/>
        </w:rPr>
      </w:r>
    </w:p>
    <w:p>
      <w:pPr>
        <w:pStyle w:val="Normal"/>
        <w:tabs>
          <w:tab w:val="left" w:pos="1260" w:leader="none"/>
        </w:tabs>
        <w:ind w:left="2508" w:hanging="0"/>
        <w:jc w:val="both"/>
        <w:rPr>
          <w:rFonts w:ascii="Arial" w:hAnsi="Arial" w:cs="Arial"/>
          <w:sz w:val="20"/>
          <w:szCs w:val="20"/>
        </w:rPr>
      </w:pPr>
      <w:r>
        <w:rPr>
          <w:rFonts w:cs="Arial" w:ascii="Arial" w:hAnsi="Arial"/>
          <w:sz w:val="20"/>
          <w:szCs w:val="20"/>
        </w:rPr>
      </w:r>
    </w:p>
    <w:p>
      <w:pPr>
        <w:pStyle w:val="Normal"/>
        <w:tabs>
          <w:tab w:val="left" w:pos="1260" w:leader="none"/>
        </w:tabs>
        <w:ind w:left="2508" w:hanging="0"/>
        <w:jc w:val="both"/>
        <w:rPr>
          <w:rFonts w:ascii="Arial" w:hAnsi="Arial" w:cs="Arial"/>
          <w:sz w:val="20"/>
          <w:szCs w:val="20"/>
        </w:rPr>
      </w:pPr>
      <w:r>
        <w:rPr>
          <w:rFonts w:cs="Arial" w:ascii="Arial" w:hAnsi="Arial"/>
          <w:sz w:val="20"/>
          <w:szCs w:val="20"/>
        </w:rPr>
      </w:r>
    </w:p>
    <w:p>
      <w:pPr>
        <w:pStyle w:val="Normal"/>
        <w:numPr>
          <w:ilvl w:val="0"/>
          <w:numId w:val="3"/>
        </w:numPr>
        <w:tabs>
          <w:tab w:val="left" w:pos="1260" w:leader="none"/>
        </w:tabs>
        <w:jc w:val="both"/>
        <w:rPr>
          <w:rFonts w:ascii="Arial" w:hAnsi="Arial" w:cs="Arial"/>
          <w:sz w:val="20"/>
          <w:szCs w:val="20"/>
        </w:rPr>
      </w:pPr>
      <w:r>
        <w:rPr>
          <w:rFonts w:cs="Arial" w:ascii="Arial" w:hAnsi="Arial"/>
          <w:sz w:val="20"/>
          <w:szCs w:val="20"/>
        </w:rPr>
        <w:t xml:space="preserve">Un </w:t>
      </w:r>
      <w:r>
        <w:rPr>
          <w:rFonts w:cs="Arial" w:ascii="Arial" w:hAnsi="Arial"/>
          <w:b/>
          <w:sz w:val="20"/>
          <w:szCs w:val="20"/>
        </w:rPr>
        <w:t>budget spécifique de 2,8%</w:t>
      </w:r>
      <w:r>
        <w:rPr>
          <w:rFonts w:cs="Arial" w:ascii="Arial" w:hAnsi="Arial"/>
          <w:sz w:val="20"/>
          <w:szCs w:val="20"/>
        </w:rPr>
        <w:t xml:space="preserve"> de la masse salariale des Group Leaders (GL) attribué afin de </w:t>
      </w:r>
      <w:r>
        <w:rPr>
          <w:rFonts w:cs="Arial" w:ascii="Arial" w:hAnsi="Arial"/>
          <w:b/>
          <w:sz w:val="20"/>
          <w:szCs w:val="20"/>
        </w:rPr>
        <w:t>reconnaître les missions des GL en positionnant les GL non-cadres en tant que cadres</w:t>
      </w:r>
      <w:r>
        <w:rPr>
          <w:rFonts w:cs="Arial" w:ascii="Arial" w:hAnsi="Arial"/>
          <w:sz w:val="20"/>
          <w:szCs w:val="20"/>
        </w:rPr>
        <w:t xml:space="preserve">. </w:t>
      </w:r>
    </w:p>
    <w:p>
      <w:pPr>
        <w:pStyle w:val="Normal"/>
        <w:tabs>
          <w:tab w:val="left" w:pos="1260" w:leader="none"/>
        </w:tabs>
        <w:ind w:left="2484" w:hanging="0"/>
        <w:jc w:val="both"/>
        <w:rPr>
          <w:rFonts w:ascii="Arial" w:hAnsi="Arial" w:cs="Arial"/>
          <w:sz w:val="20"/>
          <w:szCs w:val="20"/>
        </w:rPr>
      </w:pPr>
      <w:r>
        <w:rPr>
          <w:rFonts w:cs="Arial" w:ascii="Arial" w:hAnsi="Arial"/>
          <w:sz w:val="20"/>
          <w:szCs w:val="20"/>
          <w:u w:val="single"/>
        </w:rPr>
        <w:t>Date d’application</w:t>
      </w:r>
      <w:r>
        <w:rPr>
          <w:rFonts w:cs="Arial" w:ascii="Arial" w:hAnsi="Arial"/>
          <w:sz w:val="20"/>
          <w:szCs w:val="20"/>
        </w:rPr>
        <w:t xml:space="preserve"> : ce positionnement sera progressif afin de permettre la mise en œuvre de mesures spécifiques de formation et d’accompagnement, notamment en termes de gestion de carrière (formation, A/C, présentation d’un A3, etc.). </w:t>
      </w:r>
    </w:p>
    <w:p>
      <w:pPr>
        <w:pStyle w:val="Normal"/>
        <w:tabs>
          <w:tab w:val="left" w:pos="1260" w:leader="none"/>
        </w:tabs>
        <w:ind w:left="2484" w:hanging="0"/>
        <w:jc w:val="both"/>
        <w:rPr/>
      </w:pPr>
      <w:r>
        <w:rPr>
          <w:rFonts w:cs="Arial" w:ascii="Arial" w:hAnsi="Arial"/>
          <w:sz w:val="20"/>
          <w:szCs w:val="20"/>
          <w:u w:val="single"/>
        </w:rPr>
        <w:t>Impact </w:t>
      </w:r>
      <w:r>
        <w:rPr>
          <w:rFonts w:cs="Arial" w:ascii="Arial" w:hAnsi="Arial"/>
          <w:sz w:val="20"/>
          <w:szCs w:val="20"/>
        </w:rPr>
        <w:t xml:space="preserve">: cette mesure concernera 63 GL et 17 acting as GL non-cadres en cas de validation. </w:t>
      </w:r>
    </w:p>
    <w:p>
      <w:pPr>
        <w:pStyle w:val="Normal"/>
        <w:tabs>
          <w:tab w:val="left" w:pos="1260" w:leader="none"/>
        </w:tabs>
        <w:ind w:left="2484" w:hanging="0"/>
        <w:jc w:val="both"/>
        <w:rPr>
          <w:rFonts w:ascii="Arial" w:hAnsi="Arial" w:cs="Arial"/>
          <w:sz w:val="20"/>
          <w:szCs w:val="20"/>
        </w:rPr>
      </w:pPr>
      <w:r>
        <w:rPr>
          <w:rFonts w:cs="Arial" w:ascii="Arial" w:hAnsi="Arial"/>
          <w:sz w:val="20"/>
          <w:szCs w:val="20"/>
        </w:rPr>
      </w:r>
    </w:p>
    <w:p>
      <w:pPr>
        <w:pStyle w:val="Normal"/>
        <w:tabs>
          <w:tab w:val="left" w:pos="1260" w:leader="none"/>
        </w:tabs>
        <w:ind w:left="2484" w:hanging="0"/>
        <w:jc w:val="both"/>
        <w:rPr>
          <w:rFonts w:ascii="Arial" w:hAnsi="Arial" w:cs="Arial"/>
          <w:sz w:val="20"/>
          <w:szCs w:val="20"/>
        </w:rPr>
      </w:pPr>
      <w:r>
        <w:rPr>
          <w:rFonts w:cs="Arial" w:ascii="Arial" w:hAnsi="Arial"/>
          <w:sz w:val="20"/>
          <w:szCs w:val="20"/>
        </w:rPr>
      </w:r>
    </w:p>
    <w:p>
      <w:pPr>
        <w:pStyle w:val="Normal"/>
        <w:ind w:left="1416" w:hanging="0"/>
        <w:jc w:val="both"/>
        <w:rPr>
          <w:rFonts w:ascii="Arial" w:hAnsi="Arial" w:cs="Arial"/>
          <w:sz w:val="20"/>
          <w:szCs w:val="20"/>
        </w:rPr>
      </w:pPr>
      <w:r>
        <w:rPr>
          <w:rFonts w:cs="Arial" w:ascii="Arial" w:hAnsi="Arial"/>
          <w:sz w:val="20"/>
          <w:szCs w:val="20"/>
        </w:rPr>
        <w:t xml:space="preserve">Soit, au total, un budget exceptionnel de 7,4% d’augmentation de la masse salariale pour les GL non-cadres : </w:t>
      </w:r>
    </w:p>
    <w:p>
      <w:pPr>
        <w:pStyle w:val="Normal"/>
        <w:ind w:left="1416" w:hanging="0"/>
        <w:jc w:val="both"/>
        <w:rPr>
          <w:rFonts w:ascii="Arial" w:hAnsi="Arial" w:cs="Arial"/>
          <w:sz w:val="20"/>
          <w:szCs w:val="20"/>
        </w:rPr>
      </w:pPr>
      <w:r>
        <w:rPr>
          <w:rFonts w:cs="Arial" w:ascii="Arial" w:hAnsi="Arial"/>
          <w:sz w:val="20"/>
          <w:szCs w:val="20"/>
        </w:rPr>
      </w:r>
    </w:p>
    <w:p>
      <w:pPr>
        <w:pStyle w:val="Paragraphedeliste"/>
        <w:jc w:val="right"/>
        <w:rPr>
          <w:rFonts w:ascii="Arial" w:hAnsi="Arial" w:cs="Arial"/>
          <w:sz w:val="20"/>
          <w:szCs w:val="20"/>
        </w:rPr>
      </w:pPr>
      <w:r>
        <w:rPr>
          <w:lang w:val="en-GB" w:eastAsia="en-GB"/>
        </w:rPr>
        <w:drawing>
          <wp:inline distT="0" distB="0" distL="0" distR="0">
            <wp:extent cx="4841875" cy="63690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3" t="-23" r="-3" b="-23"/>
                    <a:stretch>
                      <a:fillRect/>
                    </a:stretch>
                  </pic:blipFill>
                  <pic:spPr bwMode="auto">
                    <a:xfrm>
                      <a:off x="0" y="0"/>
                      <a:ext cx="4841875" cy="636905"/>
                    </a:xfrm>
                    <a:prstGeom prst="rect">
                      <a:avLst/>
                    </a:prstGeom>
                  </pic:spPr>
                </pic:pic>
              </a:graphicData>
            </a:graphic>
          </wp:inline>
        </w:drawing>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numPr>
          <w:ilvl w:val="0"/>
          <w:numId w:val="4"/>
        </w:numPr>
        <w:tabs>
          <w:tab w:val="left" w:pos="1260" w:leader="none"/>
        </w:tabs>
        <w:jc w:val="both"/>
        <w:rPr>
          <w:rFonts w:ascii="Arial" w:hAnsi="Arial" w:cs="Arial"/>
          <w:sz w:val="20"/>
          <w:szCs w:val="20"/>
        </w:rPr>
      </w:pPr>
      <w:r>
        <w:rPr>
          <w:rFonts w:cs="Arial" w:ascii="Arial" w:hAnsi="Arial"/>
          <w:sz w:val="20"/>
          <w:szCs w:val="20"/>
        </w:rPr>
        <w:t>Partagé avec les organisations syndicales les KPI du bonus des cadres à fin novembre 2022 ;</w:t>
      </w:r>
    </w:p>
    <w:p>
      <w:pPr>
        <w:pStyle w:val="Normal"/>
        <w:tabs>
          <w:tab w:val="left" w:pos="1260" w:leader="none"/>
        </w:tabs>
        <w:ind w:left="1068" w:hanging="0"/>
        <w:jc w:val="both"/>
        <w:rPr>
          <w:rFonts w:ascii="Arial" w:hAnsi="Arial" w:cs="Arial"/>
          <w:sz w:val="20"/>
          <w:szCs w:val="20"/>
        </w:rPr>
      </w:pPr>
      <w:r>
        <w:rPr>
          <w:rFonts w:cs="Arial" w:ascii="Arial" w:hAnsi="Arial"/>
          <w:sz w:val="20"/>
          <w:szCs w:val="20"/>
        </w:rPr>
      </w:r>
    </w:p>
    <w:p>
      <w:pPr>
        <w:pStyle w:val="Normal"/>
        <w:numPr>
          <w:ilvl w:val="0"/>
          <w:numId w:val="4"/>
        </w:numPr>
        <w:tabs>
          <w:tab w:val="left" w:pos="1260" w:leader="none"/>
        </w:tabs>
        <w:jc w:val="both"/>
        <w:rPr>
          <w:rFonts w:ascii="Arial" w:hAnsi="Arial" w:cs="Arial"/>
          <w:sz w:val="20"/>
          <w:szCs w:val="20"/>
        </w:rPr>
      </w:pPr>
      <w:r>
        <w:rPr>
          <w:rFonts w:cs="Arial" w:ascii="Arial" w:hAnsi="Arial"/>
          <w:sz w:val="20"/>
          <w:szCs w:val="20"/>
        </w:rPr>
        <w:t>Conformément à l’engagement pris d’effectuer un benchmark tous les 2 ans afin de vérifier le positionnement salarial des Team Members de TMMF par rapport aux salariés occupant les mêmes fonctions dans d’autres entreprises, la Direction de TMMF a confirmé qu’un benchmark sera effectué en 2023 (avec les données 2022) ;</w:t>
      </w:r>
    </w:p>
    <w:p>
      <w:pPr>
        <w:pStyle w:val="Paragraphedeliste"/>
        <w:rPr>
          <w:rFonts w:ascii="Arial" w:hAnsi="Arial" w:cs="Arial"/>
          <w:sz w:val="20"/>
          <w:szCs w:val="20"/>
        </w:rPr>
      </w:pPr>
      <w:r>
        <w:rPr>
          <w:rFonts w:cs="Arial" w:ascii="Arial" w:hAnsi="Arial"/>
          <w:sz w:val="20"/>
          <w:szCs w:val="20"/>
        </w:rPr>
      </w:r>
    </w:p>
    <w:p>
      <w:pPr>
        <w:pStyle w:val="Normal"/>
        <w:numPr>
          <w:ilvl w:val="0"/>
          <w:numId w:val="4"/>
        </w:numPr>
        <w:tabs>
          <w:tab w:val="left" w:pos="1260" w:leader="none"/>
        </w:tabs>
        <w:jc w:val="both"/>
        <w:rPr>
          <w:rFonts w:ascii="Arial" w:hAnsi="Arial" w:cs="Arial"/>
          <w:sz w:val="20"/>
          <w:szCs w:val="20"/>
        </w:rPr>
      </w:pPr>
      <w:r>
        <w:rPr>
          <w:rFonts w:cs="Arial" w:ascii="Arial" w:hAnsi="Arial"/>
          <w:sz w:val="20"/>
          <w:szCs w:val="20"/>
        </w:rPr>
        <w:t xml:space="preserve">A précisé qu’un Bilan Social Individuel (BSI) complet sera effectué en 2023 (avec les données 2022 et les historiques) pour toutes les populations, en complément du BSI simplifié délivré en novembre 2022 (avec les données 2022) pour toutes les populations. </w:t>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numPr>
          <w:ilvl w:val="0"/>
          <w:numId w:val="10"/>
        </w:numPr>
        <w:jc w:val="both"/>
        <w:rPr>
          <w:rFonts w:ascii="Arial" w:hAnsi="Arial" w:cs="Arial"/>
          <w:b/>
          <w:b/>
          <w:sz w:val="20"/>
          <w:szCs w:val="20"/>
          <w:u w:val="single"/>
        </w:rPr>
      </w:pPr>
      <w:r>
        <w:rPr>
          <w:rFonts w:cs="Arial" w:ascii="Arial" w:hAnsi="Arial"/>
          <w:b/>
          <w:sz w:val="20"/>
          <w:szCs w:val="20"/>
          <w:u w:val="single"/>
        </w:rPr>
        <w:t xml:space="preserve">Au cours de la réunion du 15 décembre 2022, la Direction de TMMF a : </w:t>
      </w:r>
    </w:p>
    <w:p>
      <w:pPr>
        <w:pStyle w:val="Normal"/>
        <w:tabs>
          <w:tab w:val="left" w:pos="1260" w:leader="none"/>
        </w:tabs>
        <w:jc w:val="both"/>
        <w:rPr>
          <w:rFonts w:ascii="Arial" w:hAnsi="Arial" w:cs="Arial"/>
          <w:b/>
          <w:b/>
          <w:sz w:val="20"/>
          <w:szCs w:val="20"/>
          <w:u w:val="single"/>
        </w:rPr>
      </w:pPr>
      <w:r>
        <w:rPr>
          <w:rFonts w:cs="Arial" w:ascii="Arial" w:hAnsi="Arial"/>
          <w:b/>
          <w:sz w:val="20"/>
          <w:szCs w:val="20"/>
          <w:u w:val="single"/>
        </w:rPr>
      </w:r>
    </w:p>
    <w:p>
      <w:pPr>
        <w:pStyle w:val="Normal"/>
        <w:numPr>
          <w:ilvl w:val="0"/>
          <w:numId w:val="4"/>
        </w:numPr>
        <w:tabs>
          <w:tab w:val="left" w:pos="1260" w:leader="none"/>
        </w:tabs>
        <w:jc w:val="both"/>
        <w:rPr/>
      </w:pPr>
      <w:r>
        <w:rPr>
          <w:rFonts w:cs="Arial" w:ascii="Arial" w:hAnsi="Arial"/>
          <w:sz w:val="20"/>
          <w:szCs w:val="20"/>
        </w:rPr>
        <w:t>Rappelé le contexte à la fois externe et interne à TMMF, tel que présenté lors de la 1</w:t>
      </w:r>
      <w:r>
        <w:rPr>
          <w:rFonts w:cs="Arial" w:ascii="Arial" w:hAnsi="Arial"/>
          <w:sz w:val="20"/>
          <w:szCs w:val="20"/>
          <w:vertAlign w:val="superscript"/>
        </w:rPr>
        <w:t>ère</w:t>
      </w:r>
      <w:r>
        <w:rPr>
          <w:rFonts w:cs="Arial" w:ascii="Arial" w:hAnsi="Arial"/>
          <w:sz w:val="20"/>
          <w:szCs w:val="20"/>
        </w:rPr>
        <w:t> réunion du 17 novembre 2022, ainsi que les mesures proposées lors de la 3</w:t>
      </w:r>
      <w:r>
        <w:rPr>
          <w:rFonts w:cs="Arial" w:ascii="Arial" w:hAnsi="Arial"/>
          <w:sz w:val="20"/>
          <w:szCs w:val="20"/>
          <w:vertAlign w:val="superscript"/>
        </w:rPr>
        <w:t>ème</w:t>
      </w:r>
      <w:r>
        <w:rPr>
          <w:rFonts w:cs="Arial" w:ascii="Arial" w:hAnsi="Arial"/>
          <w:sz w:val="20"/>
          <w:szCs w:val="20"/>
        </w:rPr>
        <w:t> réunion du 1</w:t>
      </w:r>
      <w:r>
        <w:rPr>
          <w:rFonts w:cs="Arial" w:ascii="Arial" w:hAnsi="Arial"/>
          <w:sz w:val="20"/>
          <w:szCs w:val="20"/>
          <w:vertAlign w:val="superscript"/>
        </w:rPr>
        <w:t>er</w:t>
      </w:r>
      <w:r>
        <w:rPr>
          <w:rFonts w:cs="Arial" w:ascii="Arial" w:hAnsi="Arial"/>
          <w:sz w:val="20"/>
          <w:szCs w:val="20"/>
        </w:rPr>
        <w:t xml:space="preserve"> décembre 2022 et la 4</w:t>
      </w:r>
      <w:r>
        <w:rPr>
          <w:rFonts w:cs="Arial" w:ascii="Arial" w:hAnsi="Arial"/>
          <w:sz w:val="20"/>
          <w:szCs w:val="20"/>
          <w:vertAlign w:val="superscript"/>
        </w:rPr>
        <w:t>ème</w:t>
      </w:r>
      <w:r>
        <w:rPr>
          <w:rFonts w:cs="Arial" w:ascii="Arial" w:hAnsi="Arial"/>
          <w:sz w:val="20"/>
          <w:szCs w:val="20"/>
        </w:rPr>
        <w:t xml:space="preserve"> réunion du 9 décembre 2022 ; </w:t>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numPr>
          <w:ilvl w:val="0"/>
          <w:numId w:val="4"/>
        </w:numPr>
        <w:tabs>
          <w:tab w:val="left" w:pos="1260" w:leader="none"/>
        </w:tabs>
        <w:jc w:val="both"/>
        <w:rPr/>
      </w:pPr>
      <w:r>
        <w:rPr>
          <w:rFonts w:cs="Arial" w:ascii="Arial" w:hAnsi="Arial"/>
          <w:sz w:val="20"/>
          <w:szCs w:val="20"/>
        </w:rPr>
        <w:t>Proposé de pérenniser la majoration à hauteur de 0,25 RTT (au lieu de 0,2 RTT) attribuée depuis le 1</w:t>
      </w:r>
      <w:r>
        <w:rPr>
          <w:rFonts w:cs="Arial" w:ascii="Arial" w:hAnsi="Arial"/>
          <w:sz w:val="20"/>
          <w:szCs w:val="20"/>
          <w:vertAlign w:val="superscript"/>
        </w:rPr>
        <w:t>er</w:t>
      </w:r>
      <w:r>
        <w:rPr>
          <w:rFonts w:cs="Arial" w:ascii="Arial" w:hAnsi="Arial"/>
          <w:sz w:val="20"/>
          <w:szCs w:val="20"/>
        </w:rPr>
        <w:t xml:space="preserve"> janvier 2019 aux Toyota Members en forfait-jours pour chaque samedi ou dimanche travaillé ; </w:t>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numPr>
          <w:ilvl w:val="0"/>
          <w:numId w:val="4"/>
        </w:numPr>
        <w:tabs>
          <w:tab w:val="left" w:pos="1260" w:leader="none"/>
        </w:tabs>
        <w:jc w:val="both"/>
        <w:rPr/>
      </w:pPr>
      <w:r>
        <w:rPr>
          <w:rFonts w:cs="Arial" w:ascii="Arial" w:hAnsi="Arial"/>
          <w:sz w:val="20"/>
          <w:szCs w:val="20"/>
        </w:rPr>
        <w:t xml:space="preserve">Proposé, outre l’intégration d’une clause d’anticipation des NAO de fin 2023, la mise en place d’une Commission de suivi trimestrielle permettant d’aborder la mise en œuvre des mesures du présent Accord avec les Organisations syndicales signataires, la première étant prévue début avril 2023 ;  </w:t>
      </w:r>
    </w:p>
    <w:p>
      <w:pPr>
        <w:pStyle w:val="Paragraphedeliste"/>
        <w:rPr>
          <w:rFonts w:ascii="Arial" w:hAnsi="Arial" w:cs="Arial"/>
          <w:sz w:val="20"/>
          <w:szCs w:val="20"/>
        </w:rPr>
      </w:pPr>
      <w:r>
        <w:rPr>
          <w:rFonts w:cs="Arial" w:ascii="Arial" w:hAnsi="Arial"/>
          <w:sz w:val="20"/>
          <w:szCs w:val="20"/>
        </w:rPr>
      </w:r>
    </w:p>
    <w:p>
      <w:pPr>
        <w:pStyle w:val="Normal"/>
        <w:numPr>
          <w:ilvl w:val="0"/>
          <w:numId w:val="4"/>
        </w:numPr>
        <w:tabs>
          <w:tab w:val="left" w:pos="1260" w:leader="none"/>
        </w:tabs>
        <w:jc w:val="both"/>
        <w:rPr>
          <w:rFonts w:ascii="Arial" w:hAnsi="Arial" w:cs="Arial"/>
          <w:sz w:val="20"/>
          <w:szCs w:val="20"/>
        </w:rPr>
      </w:pPr>
      <w:r>
        <w:rPr>
          <w:rFonts w:cs="Arial" w:ascii="Arial" w:hAnsi="Arial"/>
          <w:sz w:val="20"/>
          <w:szCs w:val="20"/>
        </w:rPr>
        <w:t>Présenté le projet de calendrier de travail pour 2023 soumis à la consultation du CSE lors de la réunion du 19 décembre 2022. Par ailleurs, la Direction de TMMF a précisé que les modalités de récupération des heures du compteur HZC et la qualification des séances supplémentaires planifiées en 2023 seront abordées à l’occasion d’une Commission de suivi de l’Accord pour l’Avenir de TMMF ;</w:t>
      </w:r>
    </w:p>
    <w:p>
      <w:pPr>
        <w:pStyle w:val="Paragraphedeliste"/>
        <w:rPr>
          <w:rFonts w:ascii="Arial" w:hAnsi="Arial" w:cs="Arial"/>
          <w:sz w:val="20"/>
          <w:szCs w:val="20"/>
        </w:rPr>
      </w:pPr>
      <w:r>
        <w:rPr>
          <w:rFonts w:cs="Arial" w:ascii="Arial" w:hAnsi="Arial"/>
          <w:sz w:val="20"/>
          <w:szCs w:val="20"/>
        </w:rPr>
      </w:r>
    </w:p>
    <w:p>
      <w:pPr>
        <w:pStyle w:val="Normal"/>
        <w:numPr>
          <w:ilvl w:val="0"/>
          <w:numId w:val="4"/>
        </w:numPr>
        <w:tabs>
          <w:tab w:val="left" w:pos="1260" w:leader="none"/>
        </w:tabs>
        <w:jc w:val="both"/>
        <w:rPr>
          <w:rFonts w:ascii="Arial" w:hAnsi="Arial" w:cs="Arial"/>
          <w:sz w:val="20"/>
          <w:szCs w:val="20"/>
        </w:rPr>
      </w:pPr>
      <w:r>
        <w:rPr>
          <w:rFonts w:cs="Arial" w:ascii="Arial" w:hAnsi="Arial"/>
          <w:sz w:val="20"/>
          <w:szCs w:val="20"/>
        </w:rPr>
        <w:t xml:space="preserve">Présenté le calendrier social simplifié pour l’année 2023 afin d’aborder 4 axes de travail identifiés : </w:t>
      </w:r>
    </w:p>
    <w:p>
      <w:pPr>
        <w:pStyle w:val="Normal"/>
        <w:tabs>
          <w:tab w:val="left" w:pos="1260" w:leader="none"/>
        </w:tabs>
        <w:jc w:val="both"/>
        <w:rPr>
          <w:rFonts w:ascii="Arial" w:hAnsi="Arial" w:cs="Arial"/>
          <w:sz w:val="20"/>
          <w:szCs w:val="20"/>
        </w:rPr>
      </w:pPr>
      <w:r>
        <w:rPr>
          <w:lang w:val="en-GB" w:eastAsia="en-GB"/>
        </w:rPr>
        <w:drawing>
          <wp:inline distT="0" distB="0" distL="0" distR="0">
            <wp:extent cx="5760720" cy="307530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3" t="-7" r="-3" b="-7"/>
                    <a:stretch>
                      <a:fillRect/>
                    </a:stretch>
                  </pic:blipFill>
                  <pic:spPr bwMode="auto">
                    <a:xfrm>
                      <a:off x="0" y="0"/>
                      <a:ext cx="5760720" cy="3075305"/>
                    </a:xfrm>
                    <a:prstGeom prst="rect">
                      <a:avLst/>
                    </a:prstGeom>
                  </pic:spPr>
                </pic:pic>
              </a:graphicData>
            </a:graphic>
          </wp:inline>
        </w:drawing>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t xml:space="preserve">Ces propositions ont fait l’objet de négociations et ont abouti à la conclusion du présent Accord. </w:t>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highlight w:val="yellow"/>
        </w:rPr>
      </w:pPr>
      <w:r>
        <w:rPr>
          <w:rFonts w:cs="Arial" w:ascii="Arial" w:hAnsi="Arial"/>
          <w:sz w:val="20"/>
          <w:szCs w:val="20"/>
          <w:highlight w:val="yellow"/>
        </w:rPr>
      </w:r>
    </w:p>
    <w:p>
      <w:pPr>
        <w:pStyle w:val="Normal"/>
        <w:tabs>
          <w:tab w:val="left" w:pos="1260" w:leader="none"/>
        </w:tabs>
        <w:jc w:val="both"/>
        <w:rPr>
          <w:rFonts w:ascii="Arial" w:hAnsi="Arial" w:cs="Arial"/>
          <w:sz w:val="20"/>
          <w:szCs w:val="20"/>
          <w:highlight w:val="yellow"/>
        </w:rPr>
      </w:pPr>
      <w:r>
        <w:rPr>
          <w:rFonts w:cs="Arial" w:ascii="Arial" w:hAnsi="Arial"/>
          <w:sz w:val="20"/>
          <w:szCs w:val="20"/>
          <w:highlight w:val="yellow"/>
        </w:rPr>
      </w:r>
    </w:p>
    <w:p>
      <w:pPr>
        <w:pStyle w:val="Normal"/>
        <w:tabs>
          <w:tab w:val="left" w:pos="1260" w:leader="none"/>
        </w:tabs>
        <w:jc w:val="both"/>
        <w:rPr>
          <w:rFonts w:ascii="Arial" w:hAnsi="Arial" w:cs="Arial"/>
          <w:sz w:val="20"/>
          <w:szCs w:val="20"/>
          <w:highlight w:val="yellow"/>
        </w:rPr>
      </w:pPr>
      <w:r>
        <w:rPr>
          <w:rFonts w:cs="Arial" w:ascii="Arial" w:hAnsi="Arial"/>
          <w:sz w:val="20"/>
          <w:szCs w:val="20"/>
          <w:highlight w:val="yellow"/>
        </w:rPr>
      </w:r>
    </w:p>
    <w:p>
      <w:pPr>
        <w:pStyle w:val="Normal"/>
        <w:tabs>
          <w:tab w:val="left" w:pos="1260" w:leader="none"/>
        </w:tabs>
        <w:jc w:val="both"/>
        <w:rPr>
          <w:rFonts w:ascii="Arial" w:hAnsi="Arial" w:cs="Arial"/>
          <w:sz w:val="20"/>
          <w:szCs w:val="20"/>
          <w:highlight w:val="yellow"/>
        </w:rPr>
      </w:pPr>
      <w:r>
        <w:rPr>
          <w:rFonts w:cs="Arial" w:ascii="Arial" w:hAnsi="Arial"/>
          <w:sz w:val="20"/>
          <w:szCs w:val="20"/>
          <w:highlight w:val="yellow"/>
        </w:rPr>
      </w:r>
    </w:p>
    <w:p>
      <w:pPr>
        <w:pStyle w:val="Normal"/>
        <w:tabs>
          <w:tab w:val="left" w:pos="1260" w:leader="none"/>
        </w:tabs>
        <w:jc w:val="both"/>
        <w:rPr>
          <w:rFonts w:ascii="Arial" w:hAnsi="Arial" w:cs="Arial"/>
          <w:sz w:val="20"/>
          <w:szCs w:val="20"/>
          <w:highlight w:val="yellow"/>
        </w:rPr>
      </w:pPr>
      <w:r>
        <w:rPr>
          <w:rFonts w:cs="Arial" w:ascii="Arial" w:hAnsi="Arial"/>
          <w:sz w:val="20"/>
          <w:szCs w:val="20"/>
          <w:highlight w:val="yellow"/>
        </w:rPr>
      </w:r>
    </w:p>
    <w:p>
      <w:pPr>
        <w:pStyle w:val="Normal"/>
        <w:tabs>
          <w:tab w:val="left" w:pos="1260" w:leader="none"/>
        </w:tabs>
        <w:jc w:val="both"/>
        <w:rPr>
          <w:rFonts w:ascii="Arial" w:hAnsi="Arial" w:cs="Arial"/>
          <w:sz w:val="20"/>
          <w:szCs w:val="20"/>
          <w:highlight w:val="yellow"/>
        </w:rPr>
      </w:pPr>
      <w:r>
        <w:rPr>
          <w:rFonts w:cs="Arial" w:ascii="Arial" w:hAnsi="Arial"/>
          <w:sz w:val="20"/>
          <w:szCs w:val="20"/>
          <w:highlight w:val="yellow"/>
        </w:rPr>
      </w:r>
    </w:p>
    <w:p>
      <w:pPr>
        <w:pStyle w:val="Normal"/>
        <w:tabs>
          <w:tab w:val="left" w:pos="1260" w:leader="none"/>
        </w:tabs>
        <w:jc w:val="both"/>
        <w:rPr>
          <w:rFonts w:ascii="Arial" w:hAnsi="Arial" w:cs="Arial"/>
          <w:sz w:val="20"/>
          <w:szCs w:val="20"/>
          <w:highlight w:val="yellow"/>
        </w:rPr>
      </w:pPr>
      <w:r>
        <w:rPr>
          <w:rFonts w:cs="Arial" w:ascii="Arial" w:hAnsi="Arial"/>
          <w:sz w:val="20"/>
          <w:szCs w:val="20"/>
          <w:highlight w:val="yellow"/>
        </w:rPr>
      </w:r>
    </w:p>
    <w:p>
      <w:pPr>
        <w:pStyle w:val="Normal"/>
        <w:tabs>
          <w:tab w:val="left" w:pos="1260" w:leader="none"/>
        </w:tabs>
        <w:jc w:val="both"/>
        <w:rPr>
          <w:rFonts w:ascii="Arial" w:hAnsi="Arial" w:cs="Arial"/>
          <w:sz w:val="20"/>
          <w:szCs w:val="20"/>
          <w:highlight w:val="yellow"/>
        </w:rPr>
      </w:pPr>
      <w:r>
        <w:rPr>
          <w:rFonts w:cs="Arial" w:ascii="Arial" w:hAnsi="Arial"/>
          <w:sz w:val="20"/>
          <w:szCs w:val="20"/>
          <w:highlight w:val="yellow"/>
        </w:rPr>
      </w:r>
    </w:p>
    <w:p>
      <w:pPr>
        <w:pStyle w:val="Normal"/>
        <w:tabs>
          <w:tab w:val="left" w:pos="1260" w:leader="none"/>
        </w:tabs>
        <w:jc w:val="both"/>
        <w:rPr>
          <w:rFonts w:ascii="Arial" w:hAnsi="Arial" w:cs="Arial"/>
          <w:sz w:val="20"/>
          <w:szCs w:val="20"/>
          <w:highlight w:val="yellow"/>
        </w:rPr>
      </w:pPr>
      <w:r>
        <w:rPr>
          <w:rFonts w:cs="Arial" w:ascii="Arial" w:hAnsi="Arial"/>
          <w:sz w:val="20"/>
          <w:szCs w:val="20"/>
          <w:highlight w:val="yellow"/>
        </w:rPr>
      </w:r>
    </w:p>
    <w:p>
      <w:pPr>
        <w:pStyle w:val="Normal"/>
        <w:tabs>
          <w:tab w:val="left" w:pos="1260" w:leader="none"/>
        </w:tabs>
        <w:jc w:val="both"/>
        <w:rPr>
          <w:rFonts w:ascii="Arial" w:hAnsi="Arial" w:cs="Arial"/>
          <w:sz w:val="20"/>
          <w:szCs w:val="20"/>
          <w:highlight w:val="yellow"/>
        </w:rPr>
      </w:pPr>
      <w:r>
        <w:rPr>
          <w:rFonts w:cs="Arial" w:ascii="Arial" w:hAnsi="Arial"/>
          <w:sz w:val="20"/>
          <w:szCs w:val="20"/>
          <w:highlight w:val="yellow"/>
        </w:rPr>
      </w:r>
    </w:p>
    <w:p>
      <w:pPr>
        <w:pStyle w:val="Normal"/>
        <w:tabs>
          <w:tab w:val="left" w:pos="1260" w:leader="none"/>
        </w:tabs>
        <w:jc w:val="both"/>
        <w:rPr>
          <w:rFonts w:ascii="Arial" w:hAnsi="Arial" w:cs="Arial"/>
          <w:sz w:val="20"/>
          <w:szCs w:val="20"/>
          <w:highlight w:val="yellow"/>
        </w:rPr>
      </w:pPr>
      <w:r>
        <w:rPr>
          <w:rFonts w:cs="Arial" w:ascii="Arial" w:hAnsi="Arial"/>
          <w:sz w:val="20"/>
          <w:szCs w:val="20"/>
          <w:highlight w:val="yellow"/>
        </w:rPr>
      </w:r>
    </w:p>
    <w:p>
      <w:pPr>
        <w:pStyle w:val="Normal"/>
        <w:tabs>
          <w:tab w:val="left" w:pos="1260" w:leader="none"/>
        </w:tabs>
        <w:jc w:val="both"/>
        <w:rPr>
          <w:rFonts w:ascii="Arial" w:hAnsi="Arial" w:cs="Arial"/>
          <w:sz w:val="20"/>
          <w:szCs w:val="20"/>
          <w:highlight w:val="yellow"/>
        </w:rPr>
      </w:pPr>
      <w:r>
        <w:rPr>
          <w:rFonts w:cs="Arial" w:ascii="Arial" w:hAnsi="Arial"/>
          <w:sz w:val="20"/>
          <w:szCs w:val="20"/>
          <w:highlight w:val="yellow"/>
        </w:rPr>
      </w:r>
    </w:p>
    <w:p>
      <w:pPr>
        <w:pStyle w:val="Normal"/>
        <w:jc w:val="both"/>
        <w:rPr/>
      </w:pPr>
      <w:r>
        <w:rPr>
          <w:rFonts w:cs="Arial" w:ascii="Arial" w:hAnsi="Arial"/>
          <w:b/>
          <w:sz w:val="20"/>
          <w:szCs w:val="20"/>
          <w:u w:val="single"/>
        </w:rPr>
        <w:t>Article 1</w:t>
      </w:r>
      <w:r>
        <w:rPr>
          <w:rFonts w:cs="Arial" w:ascii="Arial" w:hAnsi="Arial"/>
          <w:b/>
          <w:sz w:val="20"/>
          <w:szCs w:val="20"/>
          <w:u w:val="single"/>
          <w:vertAlign w:val="superscript"/>
        </w:rPr>
        <w:t> </w:t>
      </w:r>
      <w:r>
        <w:rPr>
          <w:rFonts w:cs="Arial" w:ascii="Arial" w:hAnsi="Arial"/>
          <w:b/>
          <w:sz w:val="20"/>
          <w:szCs w:val="20"/>
          <w:u w:val="single"/>
        </w:rPr>
        <w:t>: Champ d’application de l’Accord</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sz w:val="20"/>
          <w:szCs w:val="20"/>
        </w:rPr>
      </w:pPr>
      <w:r>
        <w:rPr>
          <w:rFonts w:cs="Arial" w:ascii="Arial" w:hAnsi="Arial"/>
          <w:sz w:val="20"/>
          <w:szCs w:val="20"/>
        </w:rPr>
        <w:t>Le présent accord s’applique à l’ensemble du personnel ayant un contrat de travail avec TMMF, sous réserve des dispositions particulières à chaque mesure.</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 xml:space="preserve">Seules les dispositions relatives aux mesures générales s’appliquent au personnel en contrat à durée déterminée. </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Il porte sur les éléments de rémunération pour l’année 2023.</w:t>
      </w:r>
    </w:p>
    <w:p>
      <w:pPr>
        <w:pStyle w:val="Normal"/>
        <w:jc w:val="both"/>
        <w:rPr>
          <w:rFonts w:ascii="Arial" w:hAnsi="Arial" w:cs="Arial"/>
          <w:sz w:val="20"/>
          <w:szCs w:val="20"/>
          <w:highlight w:val="yellow"/>
        </w:rPr>
      </w:pPr>
      <w:r>
        <w:rPr>
          <w:rFonts w:cs="Arial" w:ascii="Arial" w:hAnsi="Arial"/>
          <w:sz w:val="20"/>
          <w:szCs w:val="20"/>
          <w:highlight w:val="yellow"/>
        </w:rPr>
      </w:r>
    </w:p>
    <w:p>
      <w:pPr>
        <w:pStyle w:val="Normal"/>
        <w:jc w:val="both"/>
        <w:rPr>
          <w:rFonts w:ascii="Arial" w:hAnsi="Arial" w:cs="Arial"/>
          <w:sz w:val="20"/>
          <w:szCs w:val="20"/>
          <w:highlight w:val="yellow"/>
        </w:rPr>
      </w:pPr>
      <w:r>
        <w:rPr>
          <w:rFonts w:cs="Arial" w:ascii="Arial" w:hAnsi="Arial"/>
          <w:sz w:val="20"/>
          <w:szCs w:val="20"/>
          <w:highlight w:val="yellow"/>
        </w:rPr>
      </w:r>
    </w:p>
    <w:p>
      <w:pPr>
        <w:pStyle w:val="Normal"/>
        <w:jc w:val="both"/>
        <w:rPr/>
      </w:pPr>
      <w:r>
        <w:rPr>
          <w:rFonts w:cs="Arial" w:ascii="Arial" w:hAnsi="Arial"/>
          <w:b/>
          <w:sz w:val="20"/>
          <w:szCs w:val="20"/>
          <w:u w:val="single"/>
        </w:rPr>
        <w:t>Article 2</w:t>
      </w:r>
      <w:r>
        <w:rPr>
          <w:rFonts w:cs="Arial" w:ascii="Arial" w:hAnsi="Arial"/>
          <w:b/>
          <w:sz w:val="20"/>
          <w:szCs w:val="20"/>
          <w:u w:val="single"/>
          <w:vertAlign w:val="superscript"/>
        </w:rPr>
        <w:t> </w:t>
      </w:r>
      <w:r>
        <w:rPr>
          <w:rFonts w:cs="Arial" w:ascii="Arial" w:hAnsi="Arial"/>
          <w:b/>
          <w:sz w:val="20"/>
          <w:szCs w:val="20"/>
          <w:u w:val="single"/>
        </w:rPr>
        <w:t>: Dispositions salariales</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sz w:val="20"/>
          <w:szCs w:val="20"/>
        </w:rPr>
      </w:pPr>
      <w:r>
        <w:rPr>
          <w:rFonts w:cs="Arial" w:ascii="Arial" w:hAnsi="Arial"/>
          <w:sz w:val="20"/>
          <w:szCs w:val="20"/>
        </w:rPr>
        <w:t xml:space="preserve">Le budget total des mesures collectives, individuelles, et spécifiques sera de : </w:t>
      </w:r>
    </w:p>
    <w:p>
      <w:pPr>
        <w:pStyle w:val="Normal"/>
        <w:jc w:val="both"/>
        <w:rPr>
          <w:rFonts w:ascii="Arial" w:hAnsi="Arial" w:cs="Arial"/>
          <w:sz w:val="20"/>
          <w:szCs w:val="20"/>
        </w:rPr>
      </w:pPr>
      <w:r>
        <w:rPr>
          <w:rFonts w:cs="Arial" w:ascii="Arial" w:hAnsi="Arial"/>
          <w:sz w:val="20"/>
          <w:szCs w:val="20"/>
        </w:rPr>
      </w:r>
    </w:p>
    <w:p>
      <w:pPr>
        <w:pStyle w:val="Normal"/>
        <w:numPr>
          <w:ilvl w:val="0"/>
          <w:numId w:val="2"/>
        </w:numPr>
        <w:jc w:val="both"/>
        <w:rPr>
          <w:rFonts w:ascii="Arial" w:hAnsi="Arial" w:cs="Arial"/>
          <w:b/>
          <w:b/>
          <w:sz w:val="20"/>
          <w:szCs w:val="20"/>
        </w:rPr>
      </w:pPr>
      <w:r>
        <w:rPr>
          <w:rFonts w:cs="Arial" w:ascii="Arial" w:hAnsi="Arial"/>
          <w:b/>
          <w:sz w:val="20"/>
          <w:szCs w:val="20"/>
        </w:rPr>
        <w:t>4,6%</w:t>
      </w:r>
      <w:r>
        <w:rPr>
          <w:rFonts w:cs="Arial" w:ascii="Arial" w:hAnsi="Arial"/>
          <w:sz w:val="20"/>
          <w:szCs w:val="20"/>
        </w:rPr>
        <w:t xml:space="preserve"> de la masse salariale pour les </w:t>
      </w:r>
      <w:r>
        <w:rPr>
          <w:rFonts w:cs="Arial" w:ascii="Arial" w:hAnsi="Arial"/>
          <w:b/>
          <w:sz w:val="20"/>
          <w:szCs w:val="20"/>
        </w:rPr>
        <w:t xml:space="preserve">Team Members Production (TMP), Agents de Maintenance, Team Members Maintenance (TMM) et Team Leaders Maintenance (TLM), Assistant(e)s et Administrateur(trice)s, et les populations en jours </w:t>
      </w:r>
      <w:r>
        <w:rPr>
          <w:rFonts w:cs="Arial" w:ascii="Arial" w:hAnsi="Arial"/>
          <w:sz w:val="20"/>
          <w:szCs w:val="20"/>
        </w:rPr>
        <w:t>(Group Leaders (GL), Spécialistes, Assistants Managers (AM))</w:t>
      </w:r>
      <w:r>
        <w:rPr>
          <w:rFonts w:cs="Arial" w:ascii="Arial" w:hAnsi="Arial"/>
          <w:b/>
          <w:sz w:val="20"/>
          <w:szCs w:val="20"/>
        </w:rPr>
        <w:t xml:space="preserve"> ; </w:t>
      </w:r>
    </w:p>
    <w:p>
      <w:pPr>
        <w:pStyle w:val="Normal"/>
        <w:numPr>
          <w:ilvl w:val="0"/>
          <w:numId w:val="2"/>
        </w:numPr>
        <w:jc w:val="both"/>
        <w:rPr>
          <w:rFonts w:ascii="Arial" w:hAnsi="Arial" w:cs="Arial"/>
          <w:b/>
          <w:b/>
          <w:sz w:val="20"/>
          <w:szCs w:val="20"/>
        </w:rPr>
      </w:pPr>
      <w:r>
        <w:rPr>
          <w:rFonts w:cs="Arial" w:ascii="Arial" w:hAnsi="Arial"/>
          <w:b/>
          <w:sz w:val="20"/>
          <w:szCs w:val="20"/>
        </w:rPr>
        <w:t xml:space="preserve">4,86% </w:t>
      </w:r>
      <w:r>
        <w:rPr>
          <w:rFonts w:cs="Arial" w:ascii="Arial" w:hAnsi="Arial"/>
          <w:sz w:val="20"/>
          <w:szCs w:val="20"/>
        </w:rPr>
        <w:t>de la masse salariale pour</w:t>
      </w:r>
      <w:r>
        <w:rPr>
          <w:rFonts w:cs="Arial" w:ascii="Arial" w:hAnsi="Arial"/>
          <w:b/>
          <w:sz w:val="20"/>
          <w:szCs w:val="20"/>
        </w:rPr>
        <w:t xml:space="preserve"> </w:t>
      </w:r>
      <w:r>
        <w:rPr>
          <w:rFonts w:cs="Arial" w:ascii="Arial" w:hAnsi="Arial"/>
          <w:sz w:val="20"/>
          <w:szCs w:val="20"/>
        </w:rPr>
        <w:t>les</w:t>
      </w:r>
      <w:r>
        <w:rPr>
          <w:rFonts w:cs="Arial" w:ascii="Arial" w:hAnsi="Arial"/>
          <w:b/>
          <w:sz w:val="20"/>
          <w:szCs w:val="20"/>
        </w:rPr>
        <w:t xml:space="preserve"> Team Leaders Production (TLP) </w:t>
      </w:r>
      <w:r>
        <w:rPr>
          <w:rFonts w:cs="Arial" w:ascii="Arial" w:hAnsi="Arial"/>
          <w:sz w:val="20"/>
          <w:szCs w:val="20"/>
        </w:rPr>
        <w:t>;</w:t>
      </w:r>
    </w:p>
    <w:p>
      <w:pPr>
        <w:pStyle w:val="Normal"/>
        <w:numPr>
          <w:ilvl w:val="0"/>
          <w:numId w:val="2"/>
        </w:numPr>
        <w:jc w:val="both"/>
        <w:rPr>
          <w:rFonts w:ascii="Arial" w:hAnsi="Arial" w:cs="Arial"/>
          <w:b/>
          <w:b/>
          <w:sz w:val="20"/>
          <w:szCs w:val="20"/>
        </w:rPr>
      </w:pPr>
      <w:r>
        <w:rPr>
          <w:rFonts w:cs="Arial" w:ascii="Arial" w:hAnsi="Arial"/>
          <w:b/>
          <w:sz w:val="20"/>
          <w:szCs w:val="20"/>
        </w:rPr>
        <w:t xml:space="preserve">7,4% </w:t>
      </w:r>
      <w:r>
        <w:rPr>
          <w:rFonts w:cs="Arial" w:ascii="Arial" w:hAnsi="Arial"/>
          <w:sz w:val="20"/>
          <w:szCs w:val="20"/>
        </w:rPr>
        <w:t>de la masse salariale pour les</w:t>
      </w:r>
      <w:r>
        <w:rPr>
          <w:rFonts w:cs="Arial" w:ascii="Arial" w:hAnsi="Arial"/>
          <w:b/>
          <w:sz w:val="20"/>
          <w:szCs w:val="20"/>
        </w:rPr>
        <w:t xml:space="preserve"> Group Leaders (GL) non-cadres</w:t>
      </w:r>
      <w:r>
        <w:rPr>
          <w:rFonts w:cs="Arial" w:ascii="Arial" w:hAnsi="Arial"/>
          <w:sz w:val="20"/>
          <w:szCs w:val="20"/>
        </w:rPr>
        <w:t>.</w:t>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b/>
          <w:b/>
          <w:sz w:val="20"/>
          <w:szCs w:val="20"/>
        </w:rPr>
      </w:pPr>
      <w:r>
        <w:rPr>
          <w:rFonts w:cs="Arial" w:ascii="Arial" w:hAnsi="Arial"/>
          <w:b/>
          <w:sz w:val="20"/>
          <w:szCs w:val="20"/>
        </w:rPr>
      </w:r>
    </w:p>
    <w:p>
      <w:pPr>
        <w:pStyle w:val="Normal"/>
        <w:numPr>
          <w:ilvl w:val="1"/>
          <w:numId w:val="8"/>
        </w:numPr>
        <w:jc w:val="both"/>
        <w:rPr>
          <w:rFonts w:ascii="Arial" w:hAnsi="Arial" w:cs="Arial"/>
          <w:b/>
          <w:b/>
          <w:sz w:val="20"/>
          <w:szCs w:val="20"/>
          <w:u w:val="single"/>
        </w:rPr>
      </w:pPr>
      <w:r>
        <w:rPr>
          <w:rFonts w:cs="Arial" w:ascii="Arial" w:hAnsi="Arial"/>
          <w:b/>
          <w:sz w:val="20"/>
          <w:szCs w:val="20"/>
          <w:u w:val="single"/>
        </w:rPr>
        <w:t>Toyota Members en heures</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sz w:val="20"/>
          <w:szCs w:val="20"/>
        </w:rPr>
      </w:pPr>
      <w:r>
        <w:rPr>
          <w:rFonts w:cs="Arial" w:ascii="Arial" w:hAnsi="Arial"/>
          <w:sz w:val="20"/>
          <w:szCs w:val="20"/>
        </w:rPr>
        <w:t xml:space="preserve">Le budget global 2023 alloué sera de : </w:t>
      </w:r>
    </w:p>
    <w:p>
      <w:pPr>
        <w:pStyle w:val="Normal"/>
        <w:jc w:val="both"/>
        <w:rPr>
          <w:rFonts w:ascii="Arial" w:hAnsi="Arial" w:cs="Arial"/>
          <w:sz w:val="20"/>
          <w:szCs w:val="20"/>
        </w:rPr>
      </w:pPr>
      <w:r>
        <w:rPr>
          <w:rFonts w:cs="Arial" w:ascii="Arial" w:hAnsi="Arial"/>
          <w:sz w:val="20"/>
          <w:szCs w:val="20"/>
        </w:rPr>
      </w:r>
    </w:p>
    <w:p>
      <w:pPr>
        <w:pStyle w:val="Normal"/>
        <w:numPr>
          <w:ilvl w:val="0"/>
          <w:numId w:val="5"/>
        </w:numPr>
        <w:jc w:val="both"/>
        <w:rPr>
          <w:rFonts w:ascii="Arial" w:hAnsi="Arial" w:cs="Arial"/>
          <w:sz w:val="20"/>
          <w:szCs w:val="20"/>
        </w:rPr>
      </w:pPr>
      <w:r>
        <w:rPr>
          <w:rFonts w:cs="Arial" w:ascii="Arial" w:hAnsi="Arial"/>
          <w:b/>
          <w:sz w:val="20"/>
          <w:szCs w:val="20"/>
        </w:rPr>
        <w:t>4,6%</w:t>
      </w:r>
      <w:r>
        <w:rPr>
          <w:rFonts w:cs="Arial" w:ascii="Arial" w:hAnsi="Arial"/>
          <w:sz w:val="20"/>
          <w:szCs w:val="20"/>
        </w:rPr>
        <w:t xml:space="preserve"> de la masse salariale pour les </w:t>
      </w:r>
      <w:r>
        <w:rPr>
          <w:rFonts w:cs="Arial" w:ascii="Arial" w:hAnsi="Arial"/>
          <w:b/>
          <w:sz w:val="20"/>
          <w:szCs w:val="20"/>
        </w:rPr>
        <w:t xml:space="preserve">Team Members Production (TMP), Agents de Maintenance, Team Members Maintenance (TMM) et Team Leaders Maintenance (TLM), Assistant(e)s et Administrateur(trice)s ; </w:t>
      </w:r>
    </w:p>
    <w:p>
      <w:pPr>
        <w:pStyle w:val="Normal"/>
        <w:numPr>
          <w:ilvl w:val="0"/>
          <w:numId w:val="6"/>
        </w:numPr>
        <w:jc w:val="both"/>
        <w:rPr/>
      </w:pPr>
      <w:r>
        <w:rPr>
          <w:rFonts w:cs="Arial" w:ascii="Arial" w:hAnsi="Arial"/>
          <w:b/>
          <w:sz w:val="20"/>
          <w:szCs w:val="20"/>
        </w:rPr>
        <w:t xml:space="preserve">4,86% </w:t>
      </w:r>
      <w:r>
        <w:rPr>
          <w:rFonts w:cs="Arial" w:ascii="Arial" w:hAnsi="Arial"/>
          <w:sz w:val="20"/>
          <w:szCs w:val="20"/>
        </w:rPr>
        <w:t>de la masse salariale pour</w:t>
      </w:r>
      <w:r>
        <w:rPr>
          <w:rFonts w:cs="Arial" w:ascii="Arial" w:hAnsi="Arial"/>
          <w:b/>
          <w:sz w:val="20"/>
          <w:szCs w:val="20"/>
        </w:rPr>
        <w:t xml:space="preserve"> </w:t>
      </w:r>
      <w:r>
        <w:rPr>
          <w:rFonts w:cs="Arial" w:ascii="Arial" w:hAnsi="Arial"/>
          <w:sz w:val="20"/>
          <w:szCs w:val="20"/>
        </w:rPr>
        <w:t>les</w:t>
      </w:r>
      <w:r>
        <w:rPr>
          <w:rFonts w:cs="Arial" w:ascii="Arial" w:hAnsi="Arial"/>
          <w:b/>
          <w:sz w:val="20"/>
          <w:szCs w:val="20"/>
        </w:rPr>
        <w:t xml:space="preserve"> Team Leaders Production (TLP).</w:t>
      </w:r>
    </w:p>
    <w:p>
      <w:pPr>
        <w:pStyle w:val="Normal"/>
        <w:ind w:left="360" w:hanging="0"/>
        <w:jc w:val="both"/>
        <w:rPr>
          <w:rFonts w:ascii="Arial" w:hAnsi="Arial" w:cs="Arial"/>
          <w:b/>
          <w:b/>
          <w:sz w:val="20"/>
          <w:szCs w:val="20"/>
          <w:highlight w:val="yellow"/>
        </w:rPr>
      </w:pPr>
      <w:r>
        <w:rPr>
          <w:rFonts w:cs="Arial" w:ascii="Arial" w:hAnsi="Arial"/>
          <w:b/>
          <w:sz w:val="20"/>
          <w:szCs w:val="20"/>
          <w:highlight w:val="yellow"/>
        </w:rPr>
      </w:r>
    </w:p>
    <w:p>
      <w:pPr>
        <w:pStyle w:val="Normal"/>
        <w:ind w:left="360" w:hanging="0"/>
        <w:jc w:val="both"/>
        <w:rPr>
          <w:rFonts w:ascii="Arial" w:hAnsi="Arial" w:cs="Arial"/>
          <w:sz w:val="20"/>
          <w:szCs w:val="20"/>
          <w:highlight w:val="yellow"/>
        </w:rPr>
      </w:pPr>
      <w:r>
        <w:rPr>
          <w:rFonts w:cs="Arial" w:ascii="Arial" w:hAnsi="Arial"/>
          <w:sz w:val="20"/>
          <w:szCs w:val="20"/>
          <w:highlight w:val="yellow"/>
        </w:rPr>
      </w:r>
    </w:p>
    <w:p>
      <w:pPr>
        <w:pStyle w:val="Normal"/>
        <w:ind w:left="708" w:firstLine="708"/>
        <w:jc w:val="both"/>
        <w:rPr>
          <w:rFonts w:ascii="Arial" w:hAnsi="Arial" w:cs="Arial"/>
          <w:b/>
          <w:b/>
          <w:sz w:val="20"/>
          <w:szCs w:val="20"/>
          <w:u w:val="single"/>
        </w:rPr>
      </w:pPr>
      <w:r>
        <w:rPr>
          <w:rFonts w:cs="Arial" w:ascii="Arial" w:hAnsi="Arial"/>
          <w:b/>
          <w:sz w:val="20"/>
          <w:szCs w:val="20"/>
          <w:u w:val="single"/>
        </w:rPr>
        <w:t>2.1.1 Mesures collectives</w:t>
      </w:r>
    </w:p>
    <w:p>
      <w:pPr>
        <w:pStyle w:val="Normal"/>
        <w:jc w:val="both"/>
        <w:rPr>
          <w:rFonts w:ascii="Arial" w:hAnsi="Arial" w:cs="Arial"/>
          <w:b/>
          <w:b/>
          <w:sz w:val="20"/>
          <w:szCs w:val="20"/>
          <w:highlight w:val="yellow"/>
          <w:u w:val="single"/>
        </w:rPr>
      </w:pPr>
      <w:r>
        <w:rPr>
          <w:rFonts w:cs="Arial" w:ascii="Arial" w:hAnsi="Arial"/>
          <w:b/>
          <w:sz w:val="20"/>
          <w:szCs w:val="20"/>
          <w:highlight w:val="yellow"/>
          <w:u w:val="single"/>
        </w:rPr>
      </w:r>
    </w:p>
    <w:p>
      <w:pPr>
        <w:pStyle w:val="Normal"/>
        <w:jc w:val="both"/>
        <w:rPr/>
      </w:pPr>
      <w:r>
        <w:rPr>
          <w:rFonts w:cs="Arial" w:ascii="Arial" w:hAnsi="Arial"/>
          <w:sz w:val="20"/>
          <w:szCs w:val="20"/>
        </w:rPr>
        <w:t xml:space="preserve">Le budget global des mesures collectives sera de </w:t>
      </w:r>
      <w:r>
        <w:rPr>
          <w:rFonts w:cs="Arial" w:ascii="Arial" w:hAnsi="Arial"/>
          <w:b/>
          <w:sz w:val="20"/>
          <w:szCs w:val="20"/>
        </w:rPr>
        <w:t>3%</w:t>
      </w:r>
      <w:r>
        <w:rPr>
          <w:rFonts w:cs="Arial" w:ascii="Arial" w:hAnsi="Arial"/>
          <w:sz w:val="20"/>
          <w:szCs w:val="20"/>
        </w:rPr>
        <w:t xml:space="preserve"> de la masse salariale. </w:t>
      </w:r>
    </w:p>
    <w:p>
      <w:pPr>
        <w:pStyle w:val="Normal"/>
        <w:jc w:val="both"/>
        <w:rPr>
          <w:rFonts w:ascii="Arial" w:hAnsi="Arial" w:cs="Arial"/>
          <w:b/>
          <w:b/>
          <w:sz w:val="20"/>
          <w:szCs w:val="20"/>
        </w:rPr>
      </w:pPr>
      <w:r>
        <w:rPr>
          <w:rFonts w:cs="Arial" w:ascii="Arial" w:hAnsi="Arial"/>
          <w:b/>
          <w:sz w:val="20"/>
          <w:szCs w:val="20"/>
        </w:rPr>
      </w:r>
    </w:p>
    <w:p>
      <w:pPr>
        <w:pStyle w:val="Normal"/>
        <w:numPr>
          <w:ilvl w:val="0"/>
          <w:numId w:val="14"/>
        </w:numPr>
        <w:jc w:val="both"/>
        <w:rPr>
          <w:rFonts w:ascii="Arial" w:hAnsi="Arial" w:cs="Arial"/>
          <w:b/>
          <w:b/>
          <w:sz w:val="20"/>
          <w:szCs w:val="20"/>
          <w:u w:val="single"/>
        </w:rPr>
      </w:pPr>
      <w:r>
        <w:rPr>
          <w:rFonts w:cs="Arial" w:ascii="Arial" w:hAnsi="Arial"/>
          <w:b/>
          <w:sz w:val="20"/>
          <w:szCs w:val="20"/>
          <w:u w:val="single"/>
        </w:rPr>
        <w:t xml:space="preserve">Augmentation générale du salaire de base </w:t>
      </w:r>
    </w:p>
    <w:p>
      <w:pPr>
        <w:pStyle w:val="Normal"/>
        <w:ind w:left="1776" w:hanging="0"/>
        <w:jc w:val="both"/>
        <w:rPr>
          <w:rFonts w:ascii="Arial" w:hAnsi="Arial" w:cs="Arial"/>
          <w:b/>
          <w:b/>
          <w:sz w:val="20"/>
          <w:szCs w:val="20"/>
          <w:highlight w:val="yellow"/>
          <w:u w:val="single"/>
        </w:rPr>
      </w:pPr>
      <w:r>
        <w:rPr>
          <w:rFonts w:cs="Arial" w:ascii="Arial" w:hAnsi="Arial"/>
          <w:b/>
          <w:sz w:val="20"/>
          <w:szCs w:val="20"/>
          <w:highlight w:val="yellow"/>
          <w:u w:val="single"/>
        </w:rPr>
      </w:r>
    </w:p>
    <w:p>
      <w:pPr>
        <w:pStyle w:val="Normal"/>
        <w:jc w:val="both"/>
        <w:rPr>
          <w:rFonts w:ascii="Arial" w:hAnsi="Arial" w:cs="Arial"/>
          <w:sz w:val="20"/>
          <w:szCs w:val="20"/>
        </w:rPr>
      </w:pPr>
      <w:r>
        <w:rPr>
          <w:rFonts w:cs="Arial" w:ascii="Arial" w:hAnsi="Arial"/>
          <w:sz w:val="20"/>
          <w:szCs w:val="20"/>
        </w:rPr>
        <w:t xml:space="preserve">Le salaire d’entrée d’un Team Members Production est revalorisé à hauteur de 1 750,65 € bruts à compter de janvier 2023.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sz w:val="20"/>
          <w:szCs w:val="20"/>
        </w:rPr>
      </w:pPr>
      <w:r>
        <w:rPr>
          <w:rFonts w:cs="Arial" w:ascii="Arial" w:hAnsi="Arial"/>
          <w:sz w:val="20"/>
          <w:szCs w:val="20"/>
        </w:rPr>
        <w:t xml:space="preserve">Le budget global de l’Augmentation générale sera de </w:t>
      </w:r>
      <w:r>
        <w:rPr>
          <w:rFonts w:cs="Arial" w:ascii="Arial" w:hAnsi="Arial"/>
          <w:b/>
          <w:sz w:val="20"/>
          <w:szCs w:val="20"/>
        </w:rPr>
        <w:t xml:space="preserve">2,6% </w:t>
      </w:r>
      <w:r>
        <w:rPr>
          <w:rFonts w:cs="Arial" w:ascii="Arial" w:hAnsi="Arial"/>
          <w:sz w:val="20"/>
          <w:szCs w:val="20"/>
        </w:rPr>
        <w:t>de la masse salariale.</w:t>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sz w:val="20"/>
          <w:szCs w:val="20"/>
        </w:rPr>
      </w:pPr>
      <w:r>
        <w:rPr>
          <w:rFonts w:cs="Arial" w:ascii="Arial" w:hAnsi="Arial"/>
          <w:sz w:val="20"/>
          <w:szCs w:val="20"/>
        </w:rPr>
        <w:t xml:space="preserve">Le salaire servant de référence est le salaire de base (temps de pause inclus) de </w:t>
      </w:r>
      <w:r>
        <w:rPr>
          <w:rFonts w:cs="Arial" w:ascii="Arial" w:hAnsi="Arial"/>
          <w:sz w:val="20"/>
          <w:szCs w:val="20"/>
          <w:u w:val="single"/>
        </w:rPr>
        <w:t>décembre 2022</w:t>
      </w:r>
      <w:r>
        <w:rPr>
          <w:rFonts w:cs="Arial" w:ascii="Arial" w:hAnsi="Arial"/>
          <w:sz w:val="20"/>
          <w:szCs w:val="20"/>
        </w:rPr>
        <w:t xml:space="preserve"> pour l’ensemble des populations, excepté pour les Team Members Production pour lesquels le salaire de référence est le salaire de base (temps de pause inclus) de </w:t>
      </w:r>
      <w:r>
        <w:rPr>
          <w:rFonts w:cs="Arial" w:ascii="Arial" w:hAnsi="Arial"/>
          <w:sz w:val="20"/>
          <w:szCs w:val="20"/>
          <w:u w:val="single"/>
        </w:rPr>
        <w:t>janvier 2023</w:t>
      </w:r>
      <w:r>
        <w:rPr>
          <w:rFonts w:cs="Arial" w:ascii="Arial" w:hAnsi="Arial"/>
          <w:sz w:val="20"/>
          <w:szCs w:val="20"/>
        </w:rPr>
        <w:t xml:space="preserve">.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L’Augmentation générale sera exceptionnellement appliquée </w:t>
      </w:r>
      <w:r>
        <w:rPr>
          <w:rFonts w:cs="Arial" w:ascii="Arial" w:hAnsi="Arial"/>
          <w:sz w:val="20"/>
          <w:szCs w:val="20"/>
          <w:u w:val="single"/>
        </w:rPr>
        <w:t>à effet au 1</w:t>
      </w:r>
      <w:r>
        <w:rPr>
          <w:rFonts w:cs="Arial" w:ascii="Arial" w:hAnsi="Arial"/>
          <w:sz w:val="20"/>
          <w:szCs w:val="20"/>
          <w:u w:val="single"/>
          <w:vertAlign w:val="superscript"/>
        </w:rPr>
        <w:t>er</w:t>
      </w:r>
      <w:r>
        <w:rPr>
          <w:rFonts w:cs="Arial" w:ascii="Arial" w:hAnsi="Arial"/>
          <w:sz w:val="20"/>
          <w:szCs w:val="20"/>
          <w:u w:val="single"/>
        </w:rPr>
        <w:t xml:space="preserve"> janvier 2023</w:t>
      </w:r>
      <w:r>
        <w:rPr>
          <w:rFonts w:cs="Arial" w:ascii="Arial" w:hAnsi="Arial"/>
          <w:sz w:val="20"/>
          <w:szCs w:val="20"/>
        </w:rPr>
        <w:t xml:space="preserve"> pour l’ensemble des populations (au lieu d’avril pour les Members de maintenance en heures, les Assistant(e)s et les Administrateur(trice)s). </w:t>
      </w:r>
    </w:p>
    <w:p>
      <w:pPr>
        <w:pStyle w:val="Normal"/>
        <w:jc w:val="both"/>
        <w:rPr>
          <w:rFonts w:ascii="Arial" w:hAnsi="Arial" w:cs="Arial"/>
          <w:sz w:val="20"/>
          <w:szCs w:val="20"/>
          <w:u w:val="single"/>
        </w:rPr>
      </w:pPr>
      <w:r>
        <w:rPr>
          <w:rFonts w:cs="Arial" w:ascii="Arial" w:hAnsi="Arial"/>
          <w:sz w:val="20"/>
          <w:szCs w:val="20"/>
          <w:u w:val="single"/>
        </w:rPr>
      </w:r>
    </w:p>
    <w:p>
      <w:pPr>
        <w:pStyle w:val="Normal"/>
        <w:numPr>
          <w:ilvl w:val="0"/>
          <w:numId w:val="14"/>
        </w:numPr>
        <w:jc w:val="both"/>
        <w:rPr>
          <w:rFonts w:ascii="Arial" w:hAnsi="Arial" w:cs="Arial"/>
          <w:b/>
          <w:b/>
          <w:sz w:val="20"/>
          <w:szCs w:val="20"/>
          <w:u w:val="single"/>
        </w:rPr>
      </w:pPr>
      <w:r>
        <w:rPr>
          <w:rFonts w:cs="Arial" w:ascii="Arial" w:hAnsi="Arial"/>
          <w:b/>
          <w:sz w:val="20"/>
          <w:szCs w:val="20"/>
          <w:u w:val="single"/>
        </w:rPr>
        <w:t>Augmentation conventionnelle</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sz w:val="20"/>
          <w:szCs w:val="20"/>
        </w:rPr>
      </w:pPr>
      <w:r>
        <w:rPr>
          <w:rFonts w:cs="Arial" w:ascii="Arial" w:hAnsi="Arial"/>
          <w:sz w:val="20"/>
          <w:szCs w:val="20"/>
        </w:rPr>
        <w:t xml:space="preserve">Le budget global de l’Augmentation conventionnelle sera de </w:t>
      </w:r>
      <w:r>
        <w:rPr>
          <w:rFonts w:cs="Arial" w:ascii="Arial" w:hAnsi="Arial"/>
          <w:b/>
          <w:sz w:val="20"/>
          <w:szCs w:val="20"/>
        </w:rPr>
        <w:t xml:space="preserve">0,4% </w:t>
      </w:r>
      <w:r>
        <w:rPr>
          <w:rFonts w:cs="Arial" w:ascii="Arial" w:hAnsi="Arial"/>
          <w:sz w:val="20"/>
          <w:szCs w:val="20"/>
        </w:rPr>
        <w:t>de la masse salariale.</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ind w:left="708" w:firstLine="708"/>
        <w:jc w:val="both"/>
        <w:rPr>
          <w:rFonts w:ascii="Arial" w:hAnsi="Arial" w:cs="Arial"/>
          <w:b/>
          <w:b/>
          <w:sz w:val="20"/>
          <w:szCs w:val="20"/>
          <w:u w:val="single"/>
        </w:rPr>
      </w:pPr>
      <w:r>
        <w:rPr>
          <w:rFonts w:cs="Arial" w:ascii="Arial" w:hAnsi="Arial"/>
          <w:b/>
          <w:sz w:val="20"/>
          <w:szCs w:val="20"/>
          <w:u w:val="single"/>
        </w:rPr>
        <w:t>2.1.2 Mesures individuelles</w:t>
      </w:r>
    </w:p>
    <w:p>
      <w:pPr>
        <w:pStyle w:val="Normal"/>
        <w:ind w:left="1068" w:hanging="0"/>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sz w:val="20"/>
          <w:szCs w:val="20"/>
        </w:rPr>
      </w:pPr>
      <w:r>
        <w:rPr>
          <w:rFonts w:cs="Arial" w:ascii="Arial" w:hAnsi="Arial"/>
          <w:sz w:val="20"/>
          <w:szCs w:val="20"/>
        </w:rPr>
        <w:t xml:space="preserve">Le budget global d’augmentation des salaires est, au titre des mesures individuelles, de </w:t>
      </w:r>
      <w:r>
        <w:rPr>
          <w:rFonts w:cs="Arial" w:ascii="Arial" w:hAnsi="Arial"/>
          <w:b/>
          <w:sz w:val="20"/>
          <w:szCs w:val="20"/>
        </w:rPr>
        <w:t xml:space="preserve">1,6% </w:t>
      </w:r>
      <w:r>
        <w:rPr>
          <w:rFonts w:cs="Arial" w:ascii="Arial" w:hAnsi="Arial"/>
          <w:sz w:val="20"/>
          <w:szCs w:val="20"/>
        </w:rPr>
        <w:t>de la masse salariale.</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Les mesures individuelles comprennent :</w:t>
      </w:r>
    </w:p>
    <w:p>
      <w:pPr>
        <w:pStyle w:val="Normal"/>
        <w:jc w:val="both"/>
        <w:rPr>
          <w:rFonts w:ascii="Arial" w:hAnsi="Arial" w:cs="Arial"/>
          <w:sz w:val="4"/>
          <w:szCs w:val="20"/>
        </w:rPr>
      </w:pPr>
      <w:r>
        <w:rPr>
          <w:rFonts w:cs="Arial" w:ascii="Arial" w:hAnsi="Arial"/>
          <w:sz w:val="4"/>
          <w:szCs w:val="20"/>
        </w:rPr>
      </w:r>
    </w:p>
    <w:p>
      <w:pPr>
        <w:pStyle w:val="Normal"/>
        <w:numPr>
          <w:ilvl w:val="0"/>
          <w:numId w:val="4"/>
        </w:numPr>
        <w:jc w:val="both"/>
        <w:rPr>
          <w:rFonts w:ascii="Arial" w:hAnsi="Arial" w:cs="Arial"/>
          <w:sz w:val="20"/>
          <w:szCs w:val="20"/>
        </w:rPr>
      </w:pPr>
      <w:r>
        <w:rPr>
          <w:rFonts w:cs="Arial" w:ascii="Arial" w:hAnsi="Arial"/>
          <w:sz w:val="20"/>
          <w:szCs w:val="20"/>
        </w:rPr>
        <w:t xml:space="preserve">le budget des augmentations individuelles en fonction des résultats des entretiens annuels d’évaluation, lequel s’élève à </w:t>
      </w:r>
      <w:r>
        <w:rPr>
          <w:rFonts w:cs="Arial" w:ascii="Arial" w:hAnsi="Arial"/>
          <w:b/>
          <w:sz w:val="20"/>
          <w:szCs w:val="20"/>
        </w:rPr>
        <w:t>1%</w:t>
      </w:r>
      <w:r>
        <w:rPr>
          <w:rFonts w:cs="Arial" w:ascii="Arial" w:hAnsi="Arial"/>
          <w:sz w:val="20"/>
          <w:szCs w:val="20"/>
        </w:rPr>
        <w:t xml:space="preserve"> de la masse salariale ;</w:t>
      </w:r>
    </w:p>
    <w:p>
      <w:pPr>
        <w:pStyle w:val="Normal"/>
        <w:numPr>
          <w:ilvl w:val="0"/>
          <w:numId w:val="4"/>
        </w:numPr>
        <w:jc w:val="both"/>
        <w:rPr>
          <w:rFonts w:ascii="Arial" w:hAnsi="Arial" w:cs="Arial"/>
          <w:sz w:val="20"/>
          <w:szCs w:val="20"/>
        </w:rPr>
      </w:pPr>
      <w:r>
        <w:rPr>
          <w:rFonts w:cs="Arial" w:ascii="Arial" w:hAnsi="Arial"/>
          <w:sz w:val="20"/>
          <w:szCs w:val="20"/>
        </w:rPr>
        <w:t xml:space="preserve">le budget spécifique des évolutions au sein de la classification TMMF et des promotions au sein de TMMF en janvier, avril et juillet, lequel s’élève à </w:t>
      </w:r>
      <w:r>
        <w:rPr>
          <w:rFonts w:cs="Arial" w:ascii="Arial" w:hAnsi="Arial"/>
          <w:b/>
          <w:sz w:val="20"/>
          <w:szCs w:val="20"/>
        </w:rPr>
        <w:t>0,6%</w:t>
      </w:r>
      <w:r>
        <w:rPr>
          <w:rFonts w:cs="Arial" w:ascii="Arial" w:hAnsi="Arial"/>
          <w:sz w:val="20"/>
          <w:szCs w:val="20"/>
        </w:rPr>
        <w:t xml:space="preserve"> de la masse salariale et inclus les 4% d’augmentation en cas d’évolution et 5% d’augmentation minimum en cas de promotion.</w:t>
      </w:r>
      <w:r>
        <w:rPr>
          <w:rFonts w:cs="Arial" w:ascii="Arial" w:hAnsi="Arial"/>
          <w:sz w:val="20"/>
          <w:szCs w:val="20"/>
          <w:highlight w:val="yellow"/>
        </w:rPr>
        <w:t xml:space="preserve"> </w:t>
      </w:r>
    </w:p>
    <w:p>
      <w:pPr>
        <w:pStyle w:val="Normal"/>
        <w:jc w:val="both"/>
        <w:rPr>
          <w:rFonts w:ascii="Arial" w:hAnsi="Arial" w:cs="Arial"/>
          <w:sz w:val="20"/>
          <w:szCs w:val="20"/>
          <w:highlight w:val="yellow"/>
        </w:rPr>
      </w:pPr>
      <w:r>
        <w:rPr>
          <w:rFonts w:cs="Arial" w:ascii="Arial" w:hAnsi="Arial"/>
          <w:sz w:val="20"/>
          <w:szCs w:val="20"/>
          <w:highlight w:val="yellow"/>
        </w:rPr>
      </w:r>
    </w:p>
    <w:p>
      <w:pPr>
        <w:pStyle w:val="Normal"/>
        <w:jc w:val="both"/>
        <w:rPr>
          <w:rFonts w:ascii="Arial" w:hAnsi="Arial" w:cs="Arial"/>
          <w:sz w:val="20"/>
          <w:szCs w:val="20"/>
        </w:rPr>
      </w:pPr>
      <w:r>
        <w:rPr>
          <w:rFonts w:cs="Arial" w:ascii="Arial" w:hAnsi="Arial"/>
          <w:sz w:val="20"/>
          <w:szCs w:val="20"/>
        </w:rPr>
        <w:t>Les mesures individuelles seront appliquées :</w:t>
      </w:r>
    </w:p>
    <w:p>
      <w:pPr>
        <w:pStyle w:val="Normal"/>
        <w:jc w:val="both"/>
        <w:rPr>
          <w:rFonts w:ascii="Arial" w:hAnsi="Arial" w:cs="Arial"/>
          <w:sz w:val="4"/>
          <w:szCs w:val="20"/>
        </w:rPr>
      </w:pPr>
      <w:r>
        <w:rPr>
          <w:rFonts w:cs="Arial" w:ascii="Arial" w:hAnsi="Arial"/>
          <w:sz w:val="4"/>
          <w:szCs w:val="20"/>
        </w:rPr>
      </w:r>
    </w:p>
    <w:p>
      <w:pPr>
        <w:pStyle w:val="Normal"/>
        <w:numPr>
          <w:ilvl w:val="0"/>
          <w:numId w:val="4"/>
        </w:numPr>
        <w:jc w:val="both"/>
        <w:rPr>
          <w:rFonts w:ascii="Arial" w:hAnsi="Arial" w:cs="Arial"/>
          <w:sz w:val="20"/>
          <w:szCs w:val="20"/>
        </w:rPr>
      </w:pPr>
      <w:r>
        <w:rPr>
          <w:rFonts w:cs="Arial" w:ascii="Arial" w:hAnsi="Arial"/>
          <w:sz w:val="20"/>
          <w:szCs w:val="20"/>
          <w:u w:val="single"/>
        </w:rPr>
        <w:t>Augmentations individuelles et Evolutions</w:t>
      </w:r>
      <w:r>
        <w:rPr>
          <w:rFonts w:cs="Arial" w:ascii="Arial" w:hAnsi="Arial"/>
          <w:sz w:val="20"/>
          <w:szCs w:val="20"/>
        </w:rPr>
        <w:t xml:space="preserve"> : </w:t>
      </w:r>
    </w:p>
    <w:p>
      <w:pPr>
        <w:pStyle w:val="Normal"/>
        <w:numPr>
          <w:ilvl w:val="0"/>
          <w:numId w:val="13"/>
        </w:numPr>
        <w:jc w:val="both"/>
        <w:rPr/>
      </w:pPr>
      <w:r>
        <w:rPr>
          <w:rFonts w:cs="Arial" w:ascii="Arial" w:hAnsi="Arial"/>
          <w:sz w:val="20"/>
          <w:szCs w:val="20"/>
        </w:rPr>
        <w:t>A effet au 1</w:t>
      </w:r>
      <w:r>
        <w:rPr>
          <w:rFonts w:cs="Arial" w:ascii="Arial" w:hAnsi="Arial"/>
          <w:sz w:val="20"/>
          <w:szCs w:val="20"/>
          <w:vertAlign w:val="superscript"/>
        </w:rPr>
        <w:t>er</w:t>
      </w:r>
      <w:r>
        <w:rPr>
          <w:rFonts w:cs="Arial" w:ascii="Arial" w:hAnsi="Arial"/>
          <w:sz w:val="20"/>
          <w:szCs w:val="20"/>
        </w:rPr>
        <w:t xml:space="preserve"> janvier 2023, pour les Team Members Production et Team Leaders Production ;</w:t>
      </w:r>
    </w:p>
    <w:p>
      <w:pPr>
        <w:pStyle w:val="Normal"/>
        <w:numPr>
          <w:ilvl w:val="0"/>
          <w:numId w:val="13"/>
        </w:numPr>
        <w:jc w:val="both"/>
        <w:rPr/>
      </w:pPr>
      <w:r>
        <w:rPr>
          <w:rFonts w:cs="Arial" w:ascii="Arial" w:hAnsi="Arial"/>
          <w:sz w:val="20"/>
          <w:szCs w:val="20"/>
        </w:rPr>
        <w:t>A effet au 1</w:t>
      </w:r>
      <w:r>
        <w:rPr>
          <w:rFonts w:cs="Arial" w:ascii="Arial" w:hAnsi="Arial"/>
          <w:sz w:val="20"/>
          <w:szCs w:val="20"/>
          <w:vertAlign w:val="superscript"/>
        </w:rPr>
        <w:t>er</w:t>
      </w:r>
      <w:r>
        <w:rPr>
          <w:rFonts w:cs="Arial" w:ascii="Arial" w:hAnsi="Arial"/>
          <w:sz w:val="20"/>
          <w:szCs w:val="20"/>
        </w:rPr>
        <w:t xml:space="preserve"> avril 2023, pour les Agents de Maintenance, les Team Members Maintenance et Team Leaders Maintenance, les Assistant(e)s, et les Administrateur(trice)s.</w:t>
      </w:r>
    </w:p>
    <w:p>
      <w:pPr>
        <w:pStyle w:val="Normal"/>
        <w:numPr>
          <w:ilvl w:val="0"/>
          <w:numId w:val="4"/>
        </w:numPr>
        <w:jc w:val="both"/>
        <w:rPr/>
      </w:pPr>
      <w:r>
        <w:rPr>
          <w:rFonts w:cs="Arial" w:ascii="Arial" w:hAnsi="Arial"/>
          <w:sz w:val="20"/>
          <w:szCs w:val="20"/>
          <w:u w:val="single"/>
        </w:rPr>
        <w:t>Promotions</w:t>
      </w:r>
      <w:r>
        <w:rPr>
          <w:rFonts w:cs="Arial" w:ascii="Arial" w:hAnsi="Arial"/>
          <w:sz w:val="20"/>
          <w:szCs w:val="20"/>
        </w:rPr>
        <w:t> : à effet au 1</w:t>
      </w:r>
      <w:r>
        <w:rPr>
          <w:rFonts w:cs="Arial" w:ascii="Arial" w:hAnsi="Arial"/>
          <w:sz w:val="20"/>
          <w:szCs w:val="20"/>
          <w:vertAlign w:val="superscript"/>
        </w:rPr>
        <w:t>er</w:t>
      </w:r>
      <w:r>
        <w:rPr>
          <w:rFonts w:cs="Arial" w:ascii="Arial" w:hAnsi="Arial"/>
          <w:sz w:val="20"/>
          <w:szCs w:val="20"/>
        </w:rPr>
        <w:t xml:space="preserve"> janvier 2023 et au 1</w:t>
      </w:r>
      <w:r>
        <w:rPr>
          <w:rFonts w:cs="Arial" w:ascii="Arial" w:hAnsi="Arial"/>
          <w:sz w:val="20"/>
          <w:szCs w:val="20"/>
          <w:vertAlign w:val="superscript"/>
        </w:rPr>
        <w:t>er</w:t>
      </w:r>
      <w:r>
        <w:rPr>
          <w:rFonts w:cs="Arial" w:ascii="Arial" w:hAnsi="Arial"/>
          <w:sz w:val="20"/>
          <w:szCs w:val="20"/>
        </w:rPr>
        <w:t xml:space="preserve"> juillet 2023 pour l’ensemble de la population en heures.</w:t>
      </w:r>
    </w:p>
    <w:p>
      <w:pPr>
        <w:pStyle w:val="Normal"/>
        <w:jc w:val="both"/>
        <w:rPr>
          <w:rFonts w:ascii="Arial" w:hAnsi="Arial" w:cs="Arial"/>
          <w:color w:val="FF0000"/>
          <w:sz w:val="20"/>
          <w:szCs w:val="20"/>
        </w:rPr>
      </w:pPr>
      <w:r>
        <w:rPr>
          <w:rFonts w:cs="Arial" w:ascii="Arial" w:hAnsi="Arial"/>
          <w:color w:val="FF0000"/>
          <w:sz w:val="20"/>
          <w:szCs w:val="20"/>
        </w:rPr>
      </w:r>
    </w:p>
    <w:p>
      <w:pPr>
        <w:pStyle w:val="Normal"/>
        <w:jc w:val="both"/>
        <w:rPr>
          <w:rFonts w:ascii="Arial" w:hAnsi="Arial" w:cs="Arial"/>
          <w:sz w:val="20"/>
          <w:szCs w:val="20"/>
        </w:rPr>
      </w:pPr>
      <w:r>
        <w:rPr>
          <w:rFonts w:cs="Arial" w:ascii="Arial" w:hAnsi="Arial"/>
          <w:sz w:val="20"/>
          <w:szCs w:val="20"/>
        </w:rPr>
        <w:t xml:space="preserve">Le salaire servant de référence est le salaire de base du mois qui précède la mise en œuvre de chaque mesure.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ind w:left="1416" w:hanging="0"/>
        <w:jc w:val="both"/>
        <w:rPr>
          <w:rFonts w:ascii="Arial" w:hAnsi="Arial" w:cs="Arial"/>
          <w:b/>
          <w:b/>
          <w:color w:val="FFFFFF"/>
          <w:sz w:val="20"/>
          <w:szCs w:val="20"/>
          <w:u w:val="single"/>
        </w:rPr>
      </w:pPr>
      <w:r>
        <w:rPr>
          <w:rFonts w:cs="Arial" w:ascii="Arial" w:hAnsi="Arial"/>
          <w:b/>
          <w:sz w:val="20"/>
          <w:szCs w:val="20"/>
          <w:u w:val="single"/>
        </w:rPr>
        <w:t>2.1.3 Mesure spécifique : création d’un salaire d’entrée pour les Team Leaders Production</w:t>
      </w:r>
    </w:p>
    <w:p>
      <w:pPr>
        <w:pStyle w:val="Normal"/>
        <w:jc w:val="both"/>
        <w:rPr>
          <w:rFonts w:ascii="Arial" w:hAnsi="Arial" w:cs="Arial"/>
          <w:b/>
          <w:b/>
          <w:color w:val="FFFFFF"/>
          <w:sz w:val="20"/>
          <w:szCs w:val="20"/>
          <w:highlight w:val="yellow"/>
          <w:u w:val="single"/>
        </w:rPr>
      </w:pPr>
      <w:r>
        <w:rPr>
          <w:rFonts w:cs="Arial" w:ascii="Arial" w:hAnsi="Arial"/>
          <w:b/>
          <w:color w:val="FFFFFF"/>
          <w:sz w:val="20"/>
          <w:szCs w:val="20"/>
          <w:highlight w:val="yellow"/>
          <w:u w:val="single"/>
        </w:rPr>
      </w:r>
    </w:p>
    <w:p>
      <w:pPr>
        <w:pStyle w:val="Normal"/>
        <w:jc w:val="both"/>
        <w:rPr/>
      </w:pPr>
      <w:r>
        <w:rPr>
          <w:rFonts w:cs="Arial" w:ascii="Arial" w:hAnsi="Arial"/>
          <w:sz w:val="20"/>
          <w:szCs w:val="20"/>
        </w:rPr>
        <w:t xml:space="preserve">La Direction de TMMF souhaite reconnaître et valoriser les spécificités de la fonction de Team Leaders Production (TLP) (hors référents et masters).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 xml:space="preserve">Pour cela, un salaire d’entrée est créé à hauteur de 1 980 € bruts, hors temps de pause (soit 2 102 € bruts avec temps de pause).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Ce nouveau salaire d’entrée entrera en vigueur au 1</w:t>
      </w:r>
      <w:r>
        <w:rPr>
          <w:rFonts w:cs="Arial" w:ascii="Arial" w:hAnsi="Arial"/>
          <w:sz w:val="20"/>
          <w:szCs w:val="20"/>
          <w:vertAlign w:val="superscript"/>
        </w:rPr>
        <w:t>er</w:t>
      </w:r>
      <w:r>
        <w:rPr>
          <w:rFonts w:cs="Arial" w:ascii="Arial" w:hAnsi="Arial"/>
          <w:sz w:val="20"/>
          <w:szCs w:val="20"/>
        </w:rPr>
        <w:t xml:space="preserve"> janvier 2023, après application de la politique salariale (Augmentation générale et Augmentations individuelles). </w:t>
      </w:r>
    </w:p>
    <w:p>
      <w:pPr>
        <w:pStyle w:val="Normal"/>
        <w:jc w:val="both"/>
        <w:rPr>
          <w:rFonts w:ascii="Arial" w:hAnsi="Arial" w:cs="Arial"/>
          <w:b/>
          <w:b/>
          <w:color w:val="FFFFFF"/>
          <w:sz w:val="20"/>
          <w:szCs w:val="20"/>
          <w:highlight w:val="yellow"/>
          <w:u w:val="single"/>
        </w:rPr>
      </w:pPr>
      <w:r>
        <w:rPr>
          <w:rFonts w:cs="Arial" w:ascii="Arial" w:hAnsi="Arial"/>
          <w:b/>
          <w:color w:val="FFFFFF"/>
          <w:sz w:val="20"/>
          <w:szCs w:val="20"/>
          <w:highlight w:val="yellow"/>
          <w:u w:val="single"/>
        </w:rPr>
      </w:r>
    </w:p>
    <w:p>
      <w:pPr>
        <w:pStyle w:val="Normal"/>
        <w:jc w:val="both"/>
        <w:rPr>
          <w:rFonts w:ascii="Arial" w:hAnsi="Arial" w:cs="Arial"/>
          <w:b/>
          <w:b/>
          <w:color w:val="FFFFFF"/>
          <w:sz w:val="20"/>
          <w:szCs w:val="20"/>
          <w:highlight w:val="yellow"/>
          <w:u w:val="single"/>
        </w:rPr>
      </w:pPr>
      <w:r>
        <w:rPr>
          <w:rFonts w:cs="Arial" w:ascii="Arial" w:hAnsi="Arial"/>
          <w:b/>
          <w:color w:val="FFFFFF"/>
          <w:sz w:val="20"/>
          <w:szCs w:val="20"/>
          <w:highlight w:val="yellow"/>
          <w:u w:val="single"/>
        </w:rPr>
      </w:r>
    </w:p>
    <w:p>
      <w:pPr>
        <w:pStyle w:val="Normal"/>
        <w:ind w:left="708" w:hanging="0"/>
        <w:jc w:val="both"/>
        <w:rPr>
          <w:rFonts w:ascii="Arial" w:hAnsi="Arial" w:cs="Arial"/>
          <w:b/>
          <w:b/>
          <w:sz w:val="20"/>
          <w:szCs w:val="20"/>
          <w:u w:val="single"/>
        </w:rPr>
      </w:pPr>
      <w:r>
        <w:rPr>
          <w:rFonts w:cs="Arial" w:ascii="Arial" w:hAnsi="Arial"/>
          <w:b/>
          <w:sz w:val="20"/>
          <w:szCs w:val="20"/>
          <w:u w:val="single"/>
        </w:rPr>
        <w:t>2.2 Toyota Members en jours</w:t>
      </w:r>
    </w:p>
    <w:p>
      <w:pPr>
        <w:pStyle w:val="Normal"/>
        <w:jc w:val="both"/>
        <w:rPr>
          <w:rFonts w:ascii="Arial" w:hAnsi="Arial" w:cs="Arial"/>
          <w:b/>
          <w:b/>
          <w:sz w:val="20"/>
          <w:szCs w:val="20"/>
          <w:highlight w:val="yellow"/>
          <w:u w:val="single"/>
        </w:rPr>
      </w:pPr>
      <w:r>
        <w:rPr>
          <w:rFonts w:cs="Arial" w:ascii="Arial" w:hAnsi="Arial"/>
          <w:b/>
          <w:sz w:val="20"/>
          <w:szCs w:val="20"/>
          <w:highlight w:val="yellow"/>
          <w:u w:val="single"/>
        </w:rPr>
      </w:r>
    </w:p>
    <w:p>
      <w:pPr>
        <w:pStyle w:val="Normal"/>
        <w:jc w:val="both"/>
        <w:rPr>
          <w:rFonts w:ascii="Arial" w:hAnsi="Arial" w:cs="Arial"/>
          <w:sz w:val="20"/>
          <w:szCs w:val="20"/>
        </w:rPr>
      </w:pPr>
      <w:r>
        <w:rPr>
          <w:rFonts w:cs="Arial" w:ascii="Arial" w:hAnsi="Arial"/>
          <w:sz w:val="20"/>
          <w:szCs w:val="20"/>
        </w:rPr>
        <w:t xml:space="preserve">Le budget global 2023 alloué sera de : </w:t>
      </w:r>
    </w:p>
    <w:p>
      <w:pPr>
        <w:pStyle w:val="Normal"/>
        <w:numPr>
          <w:ilvl w:val="0"/>
          <w:numId w:val="4"/>
        </w:numPr>
        <w:jc w:val="both"/>
        <w:rPr>
          <w:rFonts w:ascii="Arial" w:hAnsi="Arial" w:cs="Arial"/>
          <w:sz w:val="20"/>
          <w:szCs w:val="20"/>
        </w:rPr>
      </w:pPr>
      <w:r>
        <w:rPr>
          <w:rFonts w:cs="Arial" w:ascii="Arial" w:hAnsi="Arial"/>
          <w:b/>
          <w:sz w:val="20"/>
          <w:szCs w:val="20"/>
        </w:rPr>
        <w:t>7,4%</w:t>
      </w:r>
      <w:r>
        <w:rPr>
          <w:rFonts w:cs="Arial" w:ascii="Arial" w:hAnsi="Arial"/>
          <w:sz w:val="20"/>
          <w:szCs w:val="20"/>
        </w:rPr>
        <w:t xml:space="preserve"> de la masse salariale pour les </w:t>
      </w:r>
      <w:r>
        <w:rPr>
          <w:rFonts w:cs="Arial" w:ascii="Arial" w:hAnsi="Arial"/>
          <w:b/>
          <w:sz w:val="20"/>
          <w:szCs w:val="20"/>
        </w:rPr>
        <w:t>Group Leaders (GL) non-cadres</w:t>
      </w:r>
      <w:r>
        <w:rPr>
          <w:rFonts w:cs="Arial" w:ascii="Arial" w:hAnsi="Arial"/>
          <w:sz w:val="20"/>
          <w:szCs w:val="20"/>
        </w:rPr>
        <w:t> ;</w:t>
      </w:r>
    </w:p>
    <w:p>
      <w:pPr>
        <w:pStyle w:val="Normal"/>
        <w:numPr>
          <w:ilvl w:val="0"/>
          <w:numId w:val="4"/>
        </w:numPr>
        <w:jc w:val="both"/>
        <w:rPr>
          <w:rFonts w:ascii="Arial" w:hAnsi="Arial" w:cs="Arial"/>
          <w:b/>
          <w:b/>
          <w:sz w:val="20"/>
          <w:szCs w:val="20"/>
        </w:rPr>
      </w:pPr>
      <w:r>
        <w:rPr>
          <w:rFonts w:cs="Arial" w:ascii="Arial" w:hAnsi="Arial"/>
          <w:b/>
          <w:sz w:val="20"/>
          <w:szCs w:val="20"/>
        </w:rPr>
        <w:t>4,6%</w:t>
      </w:r>
      <w:r>
        <w:rPr>
          <w:rFonts w:cs="Arial" w:ascii="Arial" w:hAnsi="Arial"/>
          <w:sz w:val="20"/>
          <w:szCs w:val="20"/>
        </w:rPr>
        <w:t xml:space="preserve"> de la masse salariale pour les </w:t>
      </w:r>
      <w:r>
        <w:rPr>
          <w:rFonts w:cs="Arial" w:ascii="Arial" w:hAnsi="Arial"/>
          <w:b/>
          <w:sz w:val="20"/>
          <w:szCs w:val="20"/>
        </w:rPr>
        <w:t>Group Leaders (GL) cadres, Spécialistes, Experts, et Assistant Managers</w:t>
      </w:r>
      <w:r>
        <w:rPr>
          <w:rFonts w:cs="Arial" w:ascii="Arial" w:hAnsi="Arial"/>
          <w:sz w:val="20"/>
          <w:szCs w:val="20"/>
        </w:rPr>
        <w:t>.</w:t>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sz w:val="20"/>
          <w:szCs w:val="20"/>
        </w:rPr>
      </w:pPr>
      <w:r>
        <w:rPr>
          <w:rFonts w:cs="Arial" w:ascii="Arial" w:hAnsi="Arial"/>
          <w:sz w:val="20"/>
          <w:szCs w:val="20"/>
        </w:rPr>
      </w:r>
    </w:p>
    <w:p>
      <w:pPr>
        <w:pStyle w:val="Normal"/>
        <w:ind w:left="708" w:firstLine="708"/>
        <w:jc w:val="both"/>
        <w:rPr>
          <w:rFonts w:ascii="Arial" w:hAnsi="Arial" w:cs="Arial"/>
          <w:b/>
          <w:b/>
          <w:sz w:val="20"/>
          <w:szCs w:val="20"/>
          <w:u w:val="single"/>
        </w:rPr>
      </w:pPr>
      <w:r>
        <w:rPr>
          <w:rFonts w:cs="Arial" w:ascii="Arial" w:hAnsi="Arial"/>
          <w:b/>
          <w:sz w:val="20"/>
          <w:szCs w:val="20"/>
          <w:u w:val="single"/>
        </w:rPr>
        <w:t>2.2.1 Group Leaders non-cadres</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pPr>
      <w:r>
        <w:rPr>
          <w:rFonts w:cs="Arial" w:ascii="Arial" w:hAnsi="Arial"/>
          <w:sz w:val="20"/>
          <w:szCs w:val="20"/>
        </w:rPr>
        <w:t xml:space="preserve">Le budget global 2023 alloué pour les Group Leaders non-cadres sera de </w:t>
      </w:r>
      <w:r>
        <w:rPr>
          <w:rFonts w:cs="Arial" w:ascii="Arial" w:hAnsi="Arial"/>
          <w:b/>
          <w:sz w:val="20"/>
          <w:szCs w:val="20"/>
        </w:rPr>
        <w:t xml:space="preserve">7,4% </w:t>
      </w:r>
      <w:r>
        <w:rPr>
          <w:rFonts w:cs="Arial" w:ascii="Arial" w:hAnsi="Arial"/>
          <w:sz w:val="20"/>
          <w:szCs w:val="20"/>
        </w:rPr>
        <w:t>de la masse salariale</w:t>
      </w:r>
      <w:r>
        <w:rPr>
          <w:rFonts w:cs="Arial" w:ascii="Arial" w:hAnsi="Arial"/>
          <w:b/>
          <w:sz w:val="20"/>
          <w:szCs w:val="20"/>
        </w:rPr>
        <w:t>.</w:t>
      </w:r>
    </w:p>
    <w:p>
      <w:pPr>
        <w:pStyle w:val="Normal"/>
        <w:jc w:val="both"/>
        <w:rPr>
          <w:rFonts w:ascii="Arial" w:hAnsi="Arial" w:cs="Arial"/>
          <w:b/>
          <w:b/>
          <w:sz w:val="20"/>
          <w:szCs w:val="20"/>
          <w:highlight w:val="yellow"/>
        </w:rPr>
      </w:pPr>
      <w:r>
        <w:rPr>
          <w:rFonts w:cs="Arial" w:ascii="Arial" w:hAnsi="Arial"/>
          <w:b/>
          <w:sz w:val="20"/>
          <w:szCs w:val="20"/>
          <w:highlight w:val="yellow"/>
        </w:rPr>
      </w:r>
    </w:p>
    <w:p>
      <w:pPr>
        <w:pStyle w:val="Normal"/>
        <w:jc w:val="both"/>
        <w:rPr>
          <w:rFonts w:ascii="Arial" w:hAnsi="Arial" w:cs="Arial"/>
          <w:sz w:val="20"/>
          <w:szCs w:val="20"/>
        </w:rPr>
      </w:pPr>
      <w:r>
        <w:rPr>
          <w:rFonts w:cs="Arial" w:ascii="Arial" w:hAnsi="Arial"/>
          <w:sz w:val="20"/>
          <w:szCs w:val="20"/>
        </w:rPr>
        <w:t xml:space="preserve">Ce budget comprend : </w:t>
      </w:r>
    </w:p>
    <w:p>
      <w:pPr>
        <w:pStyle w:val="Normal"/>
        <w:numPr>
          <w:ilvl w:val="0"/>
          <w:numId w:val="4"/>
        </w:numPr>
        <w:jc w:val="both"/>
        <w:rPr/>
      </w:pPr>
      <w:r>
        <w:rPr>
          <w:rFonts w:cs="Arial" w:ascii="Arial" w:hAnsi="Arial"/>
          <w:sz w:val="20"/>
          <w:szCs w:val="20"/>
        </w:rPr>
        <w:t xml:space="preserve">L’augmentation conventionnelle à hauteur de </w:t>
      </w:r>
      <w:r>
        <w:rPr>
          <w:rFonts w:cs="Arial" w:ascii="Arial" w:hAnsi="Arial"/>
          <w:b/>
          <w:sz w:val="20"/>
          <w:szCs w:val="20"/>
        </w:rPr>
        <w:t xml:space="preserve">0,4% </w:t>
      </w:r>
      <w:r>
        <w:rPr>
          <w:rFonts w:cs="Arial" w:ascii="Arial" w:hAnsi="Arial"/>
          <w:sz w:val="20"/>
          <w:szCs w:val="20"/>
        </w:rPr>
        <w:t>de la masse salariale ;</w:t>
      </w:r>
    </w:p>
    <w:p>
      <w:pPr>
        <w:pStyle w:val="Normal"/>
        <w:numPr>
          <w:ilvl w:val="0"/>
          <w:numId w:val="4"/>
        </w:numPr>
        <w:jc w:val="both"/>
        <w:rPr>
          <w:rFonts w:ascii="Arial" w:hAnsi="Arial" w:cs="Arial"/>
          <w:sz w:val="20"/>
          <w:szCs w:val="20"/>
        </w:rPr>
      </w:pPr>
      <w:r>
        <w:rPr>
          <w:rFonts w:cs="Arial" w:ascii="Arial" w:hAnsi="Arial"/>
          <w:sz w:val="20"/>
          <w:szCs w:val="20"/>
        </w:rPr>
        <w:t xml:space="preserve">Les augmentations individuelles en fonction des résultats des entretiens annuels d’évaluation à hauteur de </w:t>
      </w:r>
      <w:r>
        <w:rPr>
          <w:rFonts w:cs="Arial" w:ascii="Arial" w:hAnsi="Arial"/>
          <w:b/>
          <w:sz w:val="20"/>
          <w:szCs w:val="20"/>
        </w:rPr>
        <w:t>3,6%</w:t>
      </w:r>
      <w:r>
        <w:rPr>
          <w:rFonts w:cs="Arial" w:ascii="Arial" w:hAnsi="Arial"/>
          <w:sz w:val="20"/>
          <w:szCs w:val="20"/>
        </w:rPr>
        <w:t xml:space="preserve"> de la masse salariale ;</w:t>
      </w:r>
    </w:p>
    <w:p>
      <w:pPr>
        <w:pStyle w:val="Normal"/>
        <w:numPr>
          <w:ilvl w:val="0"/>
          <w:numId w:val="4"/>
        </w:numPr>
        <w:jc w:val="both"/>
        <w:rPr>
          <w:rFonts w:ascii="Arial" w:hAnsi="Arial" w:cs="Arial"/>
          <w:sz w:val="20"/>
          <w:szCs w:val="20"/>
        </w:rPr>
      </w:pPr>
      <w:r>
        <w:rPr>
          <w:rFonts w:cs="Arial" w:ascii="Arial" w:hAnsi="Arial"/>
          <w:sz w:val="20"/>
          <w:szCs w:val="20"/>
        </w:rPr>
        <w:t xml:space="preserve">Les évolutions au sein de la classification TMMF et les promotions au sein de TMMF en janvier, avril et juillet à hauteur de </w:t>
      </w:r>
      <w:r>
        <w:rPr>
          <w:rFonts w:cs="Arial" w:ascii="Arial" w:hAnsi="Arial"/>
          <w:b/>
          <w:sz w:val="20"/>
          <w:szCs w:val="20"/>
        </w:rPr>
        <w:t>0,6%</w:t>
      </w:r>
      <w:r>
        <w:rPr>
          <w:rFonts w:cs="Arial" w:ascii="Arial" w:hAnsi="Arial"/>
          <w:sz w:val="20"/>
          <w:szCs w:val="20"/>
        </w:rPr>
        <w:t xml:space="preserve"> de la masse salariale, incluant les 4% d’augmentation en cas d’évolution et 5% d’augmentation minimum en cas de promotion.</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Ces mesures seront appliquées :</w:t>
      </w:r>
    </w:p>
    <w:p>
      <w:pPr>
        <w:pStyle w:val="Normal"/>
        <w:numPr>
          <w:ilvl w:val="0"/>
          <w:numId w:val="4"/>
        </w:numPr>
        <w:jc w:val="both"/>
        <w:rPr/>
      </w:pPr>
      <w:r>
        <w:rPr>
          <w:rFonts w:cs="Arial" w:ascii="Arial" w:hAnsi="Arial"/>
          <w:sz w:val="20"/>
          <w:szCs w:val="20"/>
          <w:u w:val="single"/>
        </w:rPr>
        <w:t>A effet au 1</w:t>
      </w:r>
      <w:r>
        <w:rPr>
          <w:rFonts w:cs="Arial" w:ascii="Arial" w:hAnsi="Arial"/>
          <w:sz w:val="20"/>
          <w:szCs w:val="20"/>
          <w:u w:val="single"/>
          <w:vertAlign w:val="superscript"/>
        </w:rPr>
        <w:t>er</w:t>
      </w:r>
      <w:r>
        <w:rPr>
          <w:rFonts w:cs="Arial" w:ascii="Arial" w:hAnsi="Arial"/>
          <w:sz w:val="20"/>
          <w:szCs w:val="20"/>
          <w:u w:val="single"/>
        </w:rPr>
        <w:t xml:space="preserve"> janvier 2023</w:t>
      </w:r>
      <w:r>
        <w:rPr>
          <w:rFonts w:cs="Arial" w:ascii="Arial" w:hAnsi="Arial"/>
          <w:sz w:val="20"/>
          <w:szCs w:val="20"/>
        </w:rPr>
        <w:t xml:space="preserve">, pour l’augmentation conventionnelle ; </w:t>
      </w:r>
    </w:p>
    <w:p>
      <w:pPr>
        <w:pStyle w:val="Normal"/>
        <w:numPr>
          <w:ilvl w:val="0"/>
          <w:numId w:val="4"/>
        </w:numPr>
        <w:jc w:val="both"/>
        <w:rPr>
          <w:rFonts w:ascii="Arial" w:hAnsi="Arial" w:cs="Arial"/>
          <w:sz w:val="20"/>
          <w:szCs w:val="20"/>
        </w:rPr>
      </w:pPr>
      <w:r>
        <w:rPr>
          <w:rFonts w:cs="Arial" w:ascii="Arial" w:hAnsi="Arial"/>
          <w:sz w:val="20"/>
          <w:szCs w:val="20"/>
          <w:u w:val="single"/>
        </w:rPr>
        <w:t>A effet au 1</w:t>
      </w:r>
      <w:r>
        <w:rPr>
          <w:rFonts w:cs="Arial" w:ascii="Arial" w:hAnsi="Arial"/>
          <w:sz w:val="20"/>
          <w:szCs w:val="20"/>
          <w:u w:val="single"/>
          <w:vertAlign w:val="superscript"/>
        </w:rPr>
        <w:t>er</w:t>
      </w:r>
      <w:r>
        <w:rPr>
          <w:rFonts w:cs="Arial" w:ascii="Arial" w:hAnsi="Arial"/>
          <w:sz w:val="20"/>
          <w:szCs w:val="20"/>
          <w:u w:val="single"/>
        </w:rPr>
        <w:t xml:space="preserve"> avril 2023,</w:t>
      </w:r>
      <w:r>
        <w:rPr>
          <w:rFonts w:cs="Arial" w:ascii="Arial" w:hAnsi="Arial"/>
          <w:sz w:val="20"/>
          <w:szCs w:val="20"/>
        </w:rPr>
        <w:t xml:space="preserve"> pour les augmentations individuelles et les évolutions ;</w:t>
      </w:r>
    </w:p>
    <w:p>
      <w:pPr>
        <w:pStyle w:val="Normal"/>
        <w:numPr>
          <w:ilvl w:val="0"/>
          <w:numId w:val="4"/>
        </w:numPr>
        <w:jc w:val="both"/>
        <w:rPr/>
      </w:pPr>
      <w:r>
        <w:rPr>
          <w:rFonts w:cs="Arial" w:ascii="Arial" w:hAnsi="Arial"/>
          <w:sz w:val="20"/>
          <w:szCs w:val="20"/>
          <w:u w:val="single"/>
        </w:rPr>
        <w:t>A effet au 1</w:t>
      </w:r>
      <w:r>
        <w:rPr>
          <w:rFonts w:cs="Arial" w:ascii="Arial" w:hAnsi="Arial"/>
          <w:sz w:val="20"/>
          <w:szCs w:val="20"/>
          <w:u w:val="single"/>
          <w:vertAlign w:val="superscript"/>
        </w:rPr>
        <w:t>er</w:t>
      </w:r>
      <w:r>
        <w:rPr>
          <w:rFonts w:cs="Arial" w:ascii="Arial" w:hAnsi="Arial"/>
          <w:sz w:val="20"/>
          <w:szCs w:val="20"/>
          <w:u w:val="single"/>
        </w:rPr>
        <w:t xml:space="preserve"> janvier 2023 et au 1</w:t>
      </w:r>
      <w:r>
        <w:rPr>
          <w:rFonts w:cs="Arial" w:ascii="Arial" w:hAnsi="Arial"/>
          <w:sz w:val="20"/>
          <w:szCs w:val="20"/>
          <w:u w:val="single"/>
          <w:vertAlign w:val="superscript"/>
        </w:rPr>
        <w:t>er</w:t>
      </w:r>
      <w:r>
        <w:rPr>
          <w:rFonts w:cs="Arial" w:ascii="Arial" w:hAnsi="Arial"/>
          <w:sz w:val="20"/>
          <w:szCs w:val="20"/>
          <w:u w:val="single"/>
        </w:rPr>
        <w:t xml:space="preserve"> juillet 2023,</w:t>
      </w:r>
      <w:r>
        <w:rPr>
          <w:rFonts w:cs="Arial" w:ascii="Arial" w:hAnsi="Arial"/>
          <w:sz w:val="20"/>
          <w:szCs w:val="20"/>
        </w:rPr>
        <w:t xml:space="preserve"> pour les promotions. </w:t>
      </w:r>
    </w:p>
    <w:p>
      <w:pPr>
        <w:pStyle w:val="Normal"/>
        <w:ind w:left="1068" w:hanging="0"/>
        <w:jc w:val="both"/>
        <w:rPr>
          <w:rFonts w:ascii="Arial" w:hAnsi="Arial" w:cs="Arial"/>
          <w:sz w:val="20"/>
          <w:szCs w:val="20"/>
        </w:rPr>
      </w:pPr>
      <w:r>
        <w:rPr>
          <w:rFonts w:eastAsia="Arial" w:cs="Arial" w:ascii="Arial" w:hAnsi="Arial"/>
          <w:sz w:val="20"/>
          <w:szCs w:val="20"/>
        </w:rPr>
        <w:t xml:space="preserve"> </w:t>
      </w:r>
    </w:p>
    <w:p>
      <w:pPr>
        <w:pStyle w:val="Normal"/>
        <w:jc w:val="both"/>
        <w:rPr>
          <w:rFonts w:ascii="Arial" w:hAnsi="Arial" w:cs="Arial"/>
          <w:sz w:val="20"/>
          <w:szCs w:val="20"/>
        </w:rPr>
      </w:pPr>
      <w:r>
        <w:rPr>
          <w:rFonts w:cs="Arial" w:ascii="Arial" w:hAnsi="Arial"/>
          <w:sz w:val="20"/>
          <w:szCs w:val="20"/>
        </w:rPr>
        <w:t>Le salaire servant de référence est le forfait du mois qui précède la mise en œuvre de chaque mesure.</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sz w:val="20"/>
          <w:szCs w:val="20"/>
          <w:u w:val="single"/>
        </w:rPr>
      </w:pPr>
      <w:r>
        <w:rPr>
          <w:rFonts w:cs="Arial" w:ascii="Arial" w:hAnsi="Arial"/>
          <w:b/>
          <w:sz w:val="20"/>
          <w:szCs w:val="20"/>
          <w:u w:val="single"/>
        </w:rPr>
        <w:t>Mesure spécifique</w:t>
      </w:r>
      <w:r>
        <w:rPr>
          <w:rFonts w:cs="Arial" w:ascii="Arial" w:hAnsi="Arial"/>
          <w:sz w:val="20"/>
          <w:szCs w:val="20"/>
          <w:u w:val="single"/>
        </w:rPr>
        <w:t xml:space="preserve"> : </w:t>
      </w:r>
      <w:r>
        <w:rPr>
          <w:rFonts w:cs="Arial" w:ascii="Arial" w:hAnsi="Arial"/>
          <w:b/>
          <w:sz w:val="20"/>
          <w:szCs w:val="20"/>
          <w:u w:val="single"/>
        </w:rPr>
        <w:t>positionnement de tous les Group Leaders dans la catégorie des cadres</w:t>
      </w:r>
    </w:p>
    <w:p>
      <w:pPr>
        <w:pStyle w:val="Normal"/>
        <w:jc w:val="both"/>
        <w:rPr>
          <w:rFonts w:ascii="Arial" w:hAnsi="Arial" w:cs="Arial"/>
          <w:color w:val="FF0000"/>
          <w:sz w:val="20"/>
          <w:szCs w:val="20"/>
          <w:highlight w:val="yellow"/>
          <w:u w:val="single"/>
        </w:rPr>
      </w:pPr>
      <w:r>
        <w:rPr>
          <w:rFonts w:cs="Arial" w:ascii="Arial" w:hAnsi="Arial"/>
          <w:color w:val="FF0000"/>
          <w:sz w:val="20"/>
          <w:szCs w:val="20"/>
          <w:highlight w:val="yellow"/>
          <w:u w:val="single"/>
        </w:rPr>
      </w:r>
    </w:p>
    <w:p>
      <w:pPr>
        <w:pStyle w:val="Normal"/>
        <w:jc w:val="both"/>
        <w:rPr/>
      </w:pPr>
      <w:r>
        <w:rPr>
          <w:rFonts w:cs="Arial" w:ascii="Arial" w:hAnsi="Arial"/>
          <w:sz w:val="20"/>
          <w:szCs w:val="20"/>
        </w:rPr>
        <w:t xml:space="preserve">La Direction de TMMF souhaite reconnaître les missions des Group Leaders (GL) en positionnant l’ensemble des GL non-cadres dans la catégorie des cadres d’ici fin 2024. </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 xml:space="preserve">Ce positionnement correspond à la position I et à l’indice 100 de la Convention collective des cadres de la métallurgie. Les Toyota Members nouvellement embauchés en tant que GL seront positionnés en fonction de leur âge et de leur séniorité en application de la Convention collective précitée. </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Dans le cadre de ce nouveau positionnement, les Toyota Members concernés bénéficieront d’un bonus, en lieu et place de leur 13</w:t>
      </w:r>
      <w:r>
        <w:rPr>
          <w:rFonts w:cs="Arial" w:ascii="Arial" w:hAnsi="Arial"/>
          <w:sz w:val="20"/>
          <w:szCs w:val="20"/>
          <w:vertAlign w:val="superscript"/>
        </w:rPr>
        <w:t>ème</w:t>
      </w:r>
      <w:r>
        <w:rPr>
          <w:rFonts w:cs="Arial" w:ascii="Arial" w:hAnsi="Arial"/>
          <w:sz w:val="20"/>
          <w:szCs w:val="20"/>
        </w:rPr>
        <w:t xml:space="preserve"> mois actuel, dont l’enveloppe est le résultat d’indicateurs et est répartie en fonction de l’évaluation de la performance individuelle, indexé sur le salaire.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Ce positionnement sera progressif afin de permettre la mise en œuvre de mesures spécifiques de formation et d’accompagnement, notamment en termes de gestion de carrière (formation, A/C, présentation d’un A3, etc.).</w:t>
      </w:r>
    </w:p>
    <w:p>
      <w:pPr>
        <w:pStyle w:val="Normal"/>
        <w:jc w:val="both"/>
        <w:rPr>
          <w:rFonts w:ascii="Arial" w:hAnsi="Arial" w:cs="Arial"/>
          <w:sz w:val="20"/>
          <w:szCs w:val="20"/>
          <w:highlight w:val="yellow"/>
        </w:rPr>
      </w:pPr>
      <w:r>
        <w:rPr>
          <w:rFonts w:cs="Arial" w:ascii="Arial" w:hAnsi="Arial"/>
          <w:sz w:val="20"/>
          <w:szCs w:val="20"/>
          <w:highlight w:val="yellow"/>
        </w:rPr>
      </w:r>
    </w:p>
    <w:p>
      <w:pPr>
        <w:pStyle w:val="Normal"/>
        <w:jc w:val="both"/>
        <w:rPr>
          <w:rFonts w:ascii="Arial" w:hAnsi="Arial" w:cs="Arial"/>
          <w:sz w:val="20"/>
          <w:szCs w:val="20"/>
          <w:highlight w:val="yellow"/>
        </w:rPr>
      </w:pPr>
      <w:r>
        <w:rPr>
          <w:rFonts w:cs="Arial" w:ascii="Arial" w:hAnsi="Arial"/>
          <w:sz w:val="20"/>
          <w:szCs w:val="20"/>
          <w:highlight w:val="yellow"/>
        </w:rPr>
      </w:r>
    </w:p>
    <w:p>
      <w:pPr>
        <w:pStyle w:val="Normal"/>
        <w:ind w:left="708" w:firstLine="708"/>
        <w:jc w:val="both"/>
        <w:rPr>
          <w:rFonts w:ascii="Arial" w:hAnsi="Arial" w:cs="Arial"/>
          <w:b/>
          <w:b/>
          <w:sz w:val="20"/>
          <w:szCs w:val="20"/>
          <w:highlight w:val="yellow"/>
          <w:u w:val="single"/>
        </w:rPr>
      </w:pPr>
      <w:r>
        <w:rPr>
          <w:rFonts w:cs="Arial" w:ascii="Arial" w:hAnsi="Arial"/>
          <w:b/>
          <w:sz w:val="20"/>
          <w:szCs w:val="20"/>
          <w:u w:val="single"/>
        </w:rPr>
        <w:t>2.2.2 Group Leaders cadres, Spécialistes, Experts, et Assistant Managers</w:t>
      </w:r>
    </w:p>
    <w:p>
      <w:pPr>
        <w:pStyle w:val="Normal"/>
        <w:jc w:val="both"/>
        <w:rPr>
          <w:rFonts w:ascii="Arial" w:hAnsi="Arial" w:cs="Arial"/>
          <w:b/>
          <w:b/>
          <w:sz w:val="20"/>
          <w:szCs w:val="20"/>
          <w:highlight w:val="yellow"/>
          <w:u w:val="single"/>
        </w:rPr>
      </w:pPr>
      <w:r>
        <w:rPr>
          <w:rFonts w:cs="Arial" w:ascii="Arial" w:hAnsi="Arial"/>
          <w:b/>
          <w:sz w:val="20"/>
          <w:szCs w:val="20"/>
          <w:highlight w:val="yellow"/>
          <w:u w:val="single"/>
        </w:rPr>
      </w:r>
    </w:p>
    <w:p>
      <w:pPr>
        <w:pStyle w:val="Normal"/>
        <w:jc w:val="both"/>
        <w:rPr/>
      </w:pPr>
      <w:r>
        <w:rPr>
          <w:rFonts w:cs="Arial" w:ascii="Arial" w:hAnsi="Arial"/>
          <w:sz w:val="20"/>
          <w:szCs w:val="20"/>
        </w:rPr>
        <w:t xml:space="preserve">Le budget global 2023 alloué pour les Group Leaders cadres, Spécialistes, Experts, et Assistant Managers sera de </w:t>
      </w:r>
      <w:r>
        <w:rPr>
          <w:rFonts w:cs="Arial" w:ascii="Arial" w:hAnsi="Arial"/>
          <w:b/>
          <w:sz w:val="20"/>
          <w:szCs w:val="20"/>
        </w:rPr>
        <w:t xml:space="preserve">4,6% </w:t>
      </w:r>
      <w:r>
        <w:rPr>
          <w:rFonts w:cs="Arial" w:ascii="Arial" w:hAnsi="Arial"/>
          <w:sz w:val="20"/>
          <w:szCs w:val="20"/>
        </w:rPr>
        <w:t>de la masse salariale</w:t>
      </w:r>
      <w:r>
        <w:rPr>
          <w:rFonts w:cs="Arial" w:ascii="Arial" w:hAnsi="Arial"/>
          <w:b/>
          <w:sz w:val="20"/>
          <w:szCs w:val="20"/>
        </w:rPr>
        <w:t>.</w:t>
      </w:r>
    </w:p>
    <w:p>
      <w:pPr>
        <w:pStyle w:val="Normal"/>
        <w:jc w:val="both"/>
        <w:rPr>
          <w:rFonts w:ascii="Arial" w:hAnsi="Arial" w:cs="Arial"/>
          <w:b/>
          <w:b/>
          <w:sz w:val="20"/>
          <w:szCs w:val="20"/>
          <w:highlight w:val="yellow"/>
        </w:rPr>
      </w:pPr>
      <w:r>
        <w:rPr>
          <w:rFonts w:cs="Arial" w:ascii="Arial" w:hAnsi="Arial"/>
          <w:b/>
          <w:sz w:val="20"/>
          <w:szCs w:val="20"/>
          <w:highlight w:val="yellow"/>
        </w:rPr>
      </w:r>
    </w:p>
    <w:p>
      <w:pPr>
        <w:pStyle w:val="Normal"/>
        <w:jc w:val="both"/>
        <w:rPr>
          <w:rFonts w:ascii="Arial" w:hAnsi="Arial" w:cs="Arial"/>
          <w:sz w:val="20"/>
          <w:szCs w:val="20"/>
        </w:rPr>
      </w:pPr>
      <w:r>
        <w:rPr>
          <w:rFonts w:cs="Arial" w:ascii="Arial" w:hAnsi="Arial"/>
          <w:sz w:val="20"/>
          <w:szCs w:val="20"/>
        </w:rPr>
        <w:t xml:space="preserve">Ce budget comprend : </w:t>
      </w:r>
    </w:p>
    <w:p>
      <w:pPr>
        <w:pStyle w:val="Normal"/>
        <w:numPr>
          <w:ilvl w:val="0"/>
          <w:numId w:val="4"/>
        </w:numPr>
        <w:jc w:val="both"/>
        <w:rPr/>
      </w:pPr>
      <w:r>
        <w:rPr>
          <w:rFonts w:cs="Arial" w:ascii="Arial" w:hAnsi="Arial"/>
          <w:sz w:val="20"/>
          <w:szCs w:val="20"/>
        </w:rPr>
        <w:t xml:space="preserve">Les augmentations individuelles en fonction des résultats des entretiens annuels d’évaluation à hauteur de </w:t>
      </w:r>
      <w:r>
        <w:rPr>
          <w:rFonts w:cs="Arial" w:ascii="Arial" w:hAnsi="Arial"/>
          <w:b/>
          <w:sz w:val="20"/>
          <w:szCs w:val="20"/>
        </w:rPr>
        <w:t>4%</w:t>
      </w:r>
      <w:r>
        <w:rPr>
          <w:rFonts w:cs="Arial" w:ascii="Arial" w:hAnsi="Arial"/>
          <w:sz w:val="20"/>
          <w:szCs w:val="20"/>
        </w:rPr>
        <w:t xml:space="preserve"> de la masse salariale ;</w:t>
      </w:r>
    </w:p>
    <w:p>
      <w:pPr>
        <w:pStyle w:val="Normal"/>
        <w:numPr>
          <w:ilvl w:val="0"/>
          <w:numId w:val="4"/>
        </w:numPr>
        <w:jc w:val="both"/>
        <w:rPr>
          <w:rFonts w:ascii="Arial" w:hAnsi="Arial" w:cs="Arial"/>
          <w:sz w:val="20"/>
          <w:szCs w:val="20"/>
        </w:rPr>
      </w:pPr>
      <w:r>
        <w:rPr>
          <w:rFonts w:cs="Arial" w:ascii="Arial" w:hAnsi="Arial"/>
          <w:sz w:val="20"/>
          <w:szCs w:val="20"/>
        </w:rPr>
        <w:t xml:space="preserve">Les évolutions au sein de la classification TMMF et les promotions au sein de TMMF en janvier, avril et juillet à hauteur de </w:t>
      </w:r>
      <w:r>
        <w:rPr>
          <w:rFonts w:cs="Arial" w:ascii="Arial" w:hAnsi="Arial"/>
          <w:b/>
          <w:sz w:val="20"/>
          <w:szCs w:val="20"/>
        </w:rPr>
        <w:t>0,6%</w:t>
      </w:r>
      <w:r>
        <w:rPr>
          <w:rFonts w:cs="Arial" w:ascii="Arial" w:hAnsi="Arial"/>
          <w:sz w:val="20"/>
          <w:szCs w:val="20"/>
        </w:rPr>
        <w:t xml:space="preserve"> de la masse salariale, incluant les 4% d’augmentation en cas d’évolution et 5% d’augmentation minimum en cas de promotion. </w:t>
      </w:r>
    </w:p>
    <w:p>
      <w:pPr>
        <w:pStyle w:val="Normal"/>
        <w:ind w:left="1068" w:hanging="0"/>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Ces mesures seront appliquées :</w:t>
      </w:r>
    </w:p>
    <w:p>
      <w:pPr>
        <w:pStyle w:val="Normal"/>
        <w:numPr>
          <w:ilvl w:val="0"/>
          <w:numId w:val="4"/>
        </w:numPr>
        <w:jc w:val="both"/>
        <w:rPr/>
      </w:pPr>
      <w:r>
        <w:rPr>
          <w:rFonts w:cs="Arial" w:ascii="Arial" w:hAnsi="Arial"/>
          <w:sz w:val="20"/>
          <w:szCs w:val="20"/>
          <w:u w:val="single"/>
        </w:rPr>
        <w:t>A effet au 1</w:t>
      </w:r>
      <w:r>
        <w:rPr>
          <w:rFonts w:cs="Arial" w:ascii="Arial" w:hAnsi="Arial"/>
          <w:sz w:val="20"/>
          <w:szCs w:val="20"/>
          <w:u w:val="single"/>
          <w:vertAlign w:val="superscript"/>
        </w:rPr>
        <w:t>er</w:t>
      </w:r>
      <w:r>
        <w:rPr>
          <w:rFonts w:cs="Arial" w:ascii="Arial" w:hAnsi="Arial"/>
          <w:sz w:val="20"/>
          <w:szCs w:val="20"/>
          <w:u w:val="single"/>
        </w:rPr>
        <w:t xml:space="preserve"> avril 2023,</w:t>
      </w:r>
      <w:r>
        <w:rPr>
          <w:rFonts w:cs="Arial" w:ascii="Arial" w:hAnsi="Arial"/>
          <w:sz w:val="20"/>
          <w:szCs w:val="20"/>
        </w:rPr>
        <w:t xml:space="preserve"> pour les augmentations individuelles et les évolutions ;</w:t>
      </w:r>
    </w:p>
    <w:p>
      <w:pPr>
        <w:pStyle w:val="Normal"/>
        <w:numPr>
          <w:ilvl w:val="0"/>
          <w:numId w:val="4"/>
        </w:numPr>
        <w:jc w:val="both"/>
        <w:rPr>
          <w:rFonts w:ascii="Arial" w:hAnsi="Arial" w:cs="Arial"/>
          <w:sz w:val="20"/>
          <w:szCs w:val="20"/>
        </w:rPr>
      </w:pPr>
      <w:r>
        <w:rPr>
          <w:rFonts w:cs="Arial" w:ascii="Arial" w:hAnsi="Arial"/>
          <w:sz w:val="20"/>
          <w:szCs w:val="20"/>
          <w:u w:val="single"/>
        </w:rPr>
        <w:t>A effet au 1</w:t>
      </w:r>
      <w:r>
        <w:rPr>
          <w:rFonts w:cs="Arial" w:ascii="Arial" w:hAnsi="Arial"/>
          <w:sz w:val="20"/>
          <w:szCs w:val="20"/>
          <w:u w:val="single"/>
          <w:vertAlign w:val="superscript"/>
        </w:rPr>
        <w:t>er</w:t>
      </w:r>
      <w:r>
        <w:rPr>
          <w:rFonts w:cs="Arial" w:ascii="Arial" w:hAnsi="Arial"/>
          <w:sz w:val="20"/>
          <w:szCs w:val="20"/>
          <w:u w:val="single"/>
        </w:rPr>
        <w:t xml:space="preserve"> janvier 2023 et au 1</w:t>
      </w:r>
      <w:r>
        <w:rPr>
          <w:rFonts w:cs="Arial" w:ascii="Arial" w:hAnsi="Arial"/>
          <w:sz w:val="20"/>
          <w:szCs w:val="20"/>
          <w:u w:val="single"/>
          <w:vertAlign w:val="superscript"/>
        </w:rPr>
        <w:t>er</w:t>
      </w:r>
      <w:r>
        <w:rPr>
          <w:rFonts w:cs="Arial" w:ascii="Arial" w:hAnsi="Arial"/>
          <w:sz w:val="20"/>
          <w:szCs w:val="20"/>
          <w:u w:val="single"/>
        </w:rPr>
        <w:t xml:space="preserve"> juillet 2023,</w:t>
      </w:r>
      <w:r>
        <w:rPr>
          <w:rFonts w:cs="Arial" w:ascii="Arial" w:hAnsi="Arial"/>
          <w:sz w:val="20"/>
          <w:szCs w:val="20"/>
        </w:rPr>
        <w:t xml:space="preserve"> pour les promotions.</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 xml:space="preserve">Le salaire servant de référence est le forfait du mois qui précède la mise en œuvre de chaque mesure. </w:t>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b/>
          <w:b/>
          <w:sz w:val="20"/>
          <w:szCs w:val="20"/>
          <w:u w:val="single"/>
        </w:rPr>
      </w:pPr>
      <w:r>
        <w:rPr>
          <w:rFonts w:cs="Arial" w:ascii="Arial" w:hAnsi="Arial"/>
          <w:b/>
          <w:sz w:val="20"/>
          <w:szCs w:val="20"/>
          <w:u w:val="single"/>
        </w:rPr>
        <w:t>Article 3. Dispositions complémentaires à la politique salariale</w:t>
      </w:r>
    </w:p>
    <w:p>
      <w:pPr>
        <w:pStyle w:val="Normal"/>
        <w:jc w:val="both"/>
        <w:rPr>
          <w:rFonts w:ascii="Arial" w:hAnsi="Arial" w:cs="Arial"/>
          <w:b/>
          <w:b/>
          <w:sz w:val="20"/>
          <w:szCs w:val="20"/>
          <w:highlight w:val="yellow"/>
          <w:u w:val="single"/>
        </w:rPr>
      </w:pPr>
      <w:r>
        <w:rPr>
          <w:rFonts w:cs="Arial" w:ascii="Arial" w:hAnsi="Arial"/>
          <w:b/>
          <w:sz w:val="20"/>
          <w:szCs w:val="20"/>
          <w:highlight w:val="yellow"/>
          <w:u w:val="single"/>
        </w:rPr>
      </w:r>
    </w:p>
    <w:p>
      <w:pPr>
        <w:pStyle w:val="Normal"/>
        <w:jc w:val="both"/>
        <w:rPr>
          <w:rFonts w:ascii="Arial" w:hAnsi="Arial" w:cs="Arial"/>
          <w:sz w:val="20"/>
          <w:szCs w:val="20"/>
          <w:highlight w:val="yellow"/>
        </w:rPr>
      </w:pPr>
      <w:r>
        <w:rPr>
          <w:rFonts w:cs="Arial" w:ascii="Arial" w:hAnsi="Arial"/>
          <w:sz w:val="20"/>
          <w:szCs w:val="20"/>
          <w:highlight w:val="yellow"/>
        </w:rPr>
      </w:r>
    </w:p>
    <w:p>
      <w:pPr>
        <w:pStyle w:val="Normal"/>
        <w:jc w:val="both"/>
        <w:rPr/>
      </w:pPr>
      <w:r>
        <w:rPr>
          <w:rFonts w:cs="Arial" w:ascii="Arial" w:hAnsi="Arial"/>
          <w:sz w:val="20"/>
          <w:szCs w:val="20"/>
        </w:rPr>
        <w:tab/>
      </w:r>
      <w:r>
        <w:rPr>
          <w:rFonts w:cs="Arial" w:ascii="Arial" w:hAnsi="Arial"/>
          <w:b/>
          <w:sz w:val="20"/>
          <w:szCs w:val="20"/>
          <w:u w:val="single"/>
        </w:rPr>
        <w:t xml:space="preserve">3.1 Benchmark salarial </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pPr>
      <w:r>
        <w:rPr>
          <w:rFonts w:cs="Arial" w:ascii="Arial" w:hAnsi="Arial"/>
          <w:sz w:val="20"/>
          <w:szCs w:val="20"/>
        </w:rPr>
        <w:t xml:space="preserve">Le benchmark salarial permet de vérifier le positionnement salarial des Toyota Members de TMMF par rapport aux salariés occupant les mêmes fonctions dans d’autres entreprises.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 xml:space="preserve">Conformément à l’engagement pris d’effectuer un benchmark tous les 2 ans, la Direction de TMMF effectuera un nouveau benchmark salarial en 2023 (avec les données 2022). </w:t>
      </w:r>
    </w:p>
    <w:p>
      <w:pPr>
        <w:pStyle w:val="Normal"/>
        <w:jc w:val="both"/>
        <w:rPr>
          <w:rFonts w:ascii="Arial" w:hAnsi="Arial" w:cs="Arial"/>
          <w:sz w:val="20"/>
          <w:szCs w:val="20"/>
          <w:highlight w:val="yellow"/>
        </w:rPr>
      </w:pPr>
      <w:r>
        <w:rPr>
          <w:rFonts w:cs="Arial" w:ascii="Arial" w:hAnsi="Arial"/>
          <w:sz w:val="20"/>
          <w:szCs w:val="20"/>
          <w:highlight w:val="yellow"/>
        </w:rPr>
      </w:r>
    </w:p>
    <w:p>
      <w:pPr>
        <w:pStyle w:val="Normal"/>
        <w:jc w:val="both"/>
        <w:rPr>
          <w:rFonts w:ascii="Arial" w:hAnsi="Arial" w:cs="Arial"/>
          <w:sz w:val="20"/>
          <w:szCs w:val="20"/>
          <w:highlight w:val="yellow"/>
        </w:rPr>
      </w:pPr>
      <w:r>
        <w:rPr>
          <w:rFonts w:cs="Arial" w:ascii="Arial" w:hAnsi="Arial"/>
          <w:sz w:val="20"/>
          <w:szCs w:val="20"/>
          <w:highlight w:val="yellow"/>
        </w:rPr>
      </w:r>
    </w:p>
    <w:p>
      <w:pPr>
        <w:pStyle w:val="Normal"/>
        <w:jc w:val="both"/>
        <w:rPr>
          <w:rFonts w:ascii="Arial" w:hAnsi="Arial" w:cs="Arial"/>
          <w:sz w:val="20"/>
          <w:szCs w:val="20"/>
          <w:highlight w:val="yellow"/>
        </w:rPr>
      </w:pPr>
      <w:r>
        <w:rPr>
          <w:rFonts w:cs="Arial" w:ascii="Arial" w:hAnsi="Arial"/>
          <w:sz w:val="20"/>
          <w:szCs w:val="20"/>
          <w:highlight w:val="yellow"/>
        </w:rPr>
      </w:r>
    </w:p>
    <w:p>
      <w:pPr>
        <w:pStyle w:val="Normal"/>
        <w:jc w:val="both"/>
        <w:rPr>
          <w:rFonts w:ascii="Arial" w:hAnsi="Arial" w:cs="Arial"/>
          <w:sz w:val="20"/>
          <w:szCs w:val="20"/>
          <w:highlight w:val="yellow"/>
        </w:rPr>
      </w:pPr>
      <w:r>
        <w:rPr>
          <w:rFonts w:cs="Arial" w:ascii="Arial" w:hAnsi="Arial"/>
          <w:sz w:val="20"/>
          <w:szCs w:val="20"/>
          <w:highlight w:val="yellow"/>
        </w:rPr>
      </w:r>
    </w:p>
    <w:p>
      <w:pPr>
        <w:pStyle w:val="Normal"/>
        <w:jc w:val="both"/>
        <w:rPr>
          <w:rFonts w:ascii="Arial" w:hAnsi="Arial" w:cs="Arial"/>
          <w:sz w:val="20"/>
          <w:szCs w:val="20"/>
          <w:highlight w:val="yellow"/>
        </w:rPr>
      </w:pPr>
      <w:r>
        <w:rPr>
          <w:rFonts w:cs="Arial" w:ascii="Arial" w:hAnsi="Arial"/>
          <w:sz w:val="20"/>
          <w:szCs w:val="20"/>
          <w:highlight w:val="yellow"/>
        </w:rPr>
      </w:r>
    </w:p>
    <w:p>
      <w:pPr>
        <w:pStyle w:val="Normal"/>
        <w:jc w:val="both"/>
        <w:rPr/>
      </w:pPr>
      <w:r>
        <w:rPr>
          <w:rFonts w:cs="Arial" w:ascii="Arial" w:hAnsi="Arial"/>
          <w:sz w:val="20"/>
          <w:szCs w:val="20"/>
        </w:rPr>
        <w:tab/>
      </w:r>
      <w:r>
        <w:rPr>
          <w:rFonts w:cs="Arial" w:ascii="Arial" w:hAnsi="Arial"/>
          <w:b/>
          <w:sz w:val="20"/>
          <w:szCs w:val="20"/>
          <w:u w:val="single"/>
        </w:rPr>
        <w:t xml:space="preserve">3.2 Bilan Social Individuel </w:t>
      </w:r>
    </w:p>
    <w:p>
      <w:pPr>
        <w:pStyle w:val="Normal"/>
        <w:jc w:val="both"/>
        <w:rPr>
          <w:rFonts w:ascii="Arial" w:hAnsi="Arial" w:cs="Arial"/>
          <w:b/>
          <w:b/>
          <w:sz w:val="20"/>
          <w:szCs w:val="20"/>
          <w:highlight w:val="yellow"/>
          <w:u w:val="single"/>
        </w:rPr>
      </w:pPr>
      <w:r>
        <w:rPr>
          <w:rFonts w:cs="Arial" w:ascii="Arial" w:hAnsi="Arial"/>
          <w:b/>
          <w:sz w:val="20"/>
          <w:szCs w:val="20"/>
          <w:highlight w:val="yellow"/>
          <w:u w:val="single"/>
        </w:rPr>
      </w:r>
    </w:p>
    <w:p>
      <w:pPr>
        <w:pStyle w:val="Normal"/>
        <w:jc w:val="both"/>
        <w:rPr/>
      </w:pPr>
      <w:r>
        <w:rPr>
          <w:rFonts w:cs="Arial" w:ascii="Arial" w:hAnsi="Arial"/>
          <w:sz w:val="20"/>
          <w:szCs w:val="20"/>
        </w:rPr>
        <w:t xml:space="preserve">Le Bilan Social Individuel (BSI) permet de : </w:t>
      </w:r>
    </w:p>
    <w:p>
      <w:pPr>
        <w:pStyle w:val="Normal"/>
        <w:numPr>
          <w:ilvl w:val="0"/>
          <w:numId w:val="4"/>
        </w:numPr>
        <w:jc w:val="both"/>
        <w:rPr/>
      </w:pPr>
      <w:r>
        <w:rPr>
          <w:rFonts w:cs="Arial" w:ascii="Arial" w:hAnsi="Arial"/>
          <w:sz w:val="20"/>
          <w:szCs w:val="20"/>
        </w:rPr>
        <w:t xml:space="preserve">Mieux comprendre les éléments qui composent la rémunération des Toyota Members ; </w:t>
      </w:r>
    </w:p>
    <w:p>
      <w:pPr>
        <w:pStyle w:val="Normal"/>
        <w:numPr>
          <w:ilvl w:val="0"/>
          <w:numId w:val="4"/>
        </w:numPr>
        <w:jc w:val="both"/>
        <w:rPr/>
      </w:pPr>
      <w:r>
        <w:rPr>
          <w:rFonts w:cs="Arial" w:ascii="Arial" w:hAnsi="Arial"/>
          <w:sz w:val="20"/>
          <w:szCs w:val="20"/>
        </w:rPr>
        <w:t xml:space="preserve">Visualiser l’ensemble des avantages offerts par l’entreprise aux Toyota Members (épargne salariale, protection social, avantages sociaux) ; </w:t>
      </w:r>
    </w:p>
    <w:p>
      <w:pPr>
        <w:pStyle w:val="Normal"/>
        <w:numPr>
          <w:ilvl w:val="0"/>
          <w:numId w:val="4"/>
        </w:numPr>
        <w:jc w:val="both"/>
        <w:rPr/>
      </w:pPr>
      <w:r>
        <w:rPr>
          <w:rFonts w:cs="Arial" w:ascii="Arial" w:hAnsi="Arial"/>
          <w:sz w:val="20"/>
          <w:szCs w:val="20"/>
        </w:rPr>
        <w:t xml:space="preserve">Disposer d’un document qui synthétise le package annuel de chaque Toyota Member. </w:t>
      </w:r>
    </w:p>
    <w:p>
      <w:pPr>
        <w:pStyle w:val="Normal"/>
        <w:ind w:left="1068" w:hanging="0"/>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 xml:space="preserve">La Direction de TMMF s’engage à effectuer un BSI complet en 2023 pour toutes les populations (avec les données 2022 et les historiques).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ind w:firstLine="708"/>
        <w:jc w:val="both"/>
        <w:rPr/>
      </w:pPr>
      <w:r>
        <w:rPr>
          <w:rFonts w:cs="Arial" w:ascii="Arial" w:hAnsi="Arial"/>
          <w:b/>
          <w:sz w:val="20"/>
          <w:szCs w:val="20"/>
          <w:u w:val="single"/>
        </w:rPr>
        <w:t xml:space="preserve">3.3 Majoration des populations cadres au forfait-jours en cas de séance supplémentaire </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pPr>
      <w:r>
        <w:rPr>
          <w:rFonts w:cs="Arial" w:ascii="Arial" w:hAnsi="Arial"/>
          <w:sz w:val="20"/>
          <w:szCs w:val="20"/>
        </w:rPr>
        <w:t xml:space="preserve">La majoration de 0,25 jour de RTT attribuée pour les members en forfait-jours pour chaque samedi ou dimanche travaillé, initialement applicable jusqu’au 31 décembre 2022, est pérennisée.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ab/>
      </w:r>
      <w:r>
        <w:rPr>
          <w:rFonts w:cs="Arial" w:ascii="Arial" w:hAnsi="Arial"/>
          <w:b/>
          <w:sz w:val="20"/>
          <w:szCs w:val="20"/>
          <w:u w:val="single"/>
        </w:rPr>
        <w:t xml:space="preserve">3.4 Suivi de l’Accord </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ab/>
        <w:tab/>
      </w:r>
      <w:r>
        <w:rPr>
          <w:rFonts w:cs="Arial" w:ascii="Arial" w:hAnsi="Arial"/>
          <w:b/>
          <w:sz w:val="20"/>
          <w:szCs w:val="20"/>
          <w:u w:val="single"/>
        </w:rPr>
        <w:t xml:space="preserve">3.4.1 Commission de suivi </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sz w:val="20"/>
          <w:szCs w:val="20"/>
        </w:rPr>
      </w:pPr>
      <w:r>
        <w:rPr>
          <w:rFonts w:cs="Arial" w:ascii="Arial" w:hAnsi="Arial"/>
          <w:sz w:val="20"/>
          <w:szCs w:val="20"/>
        </w:rPr>
        <w:t xml:space="preserve">Une Commission de suivi du présent Accord est mise en place pour l’année 2023. La première Commission aura lieu début avril 2023.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 xml:space="preserve">Elle se réunira tous les trimestres et sera composée de deux représentants par Organisation Syndicale signataire du présent Accord et de représentants de la Direction de TMMF. </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 xml:space="preserve">Au cours des réunions de suivi seront notamment partagées les conditions de mise en œuvre des mesures de l’Accord.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ind w:left="708" w:firstLine="708"/>
        <w:jc w:val="both"/>
        <w:rPr/>
      </w:pPr>
      <w:r>
        <w:rPr>
          <w:rFonts w:cs="Arial" w:ascii="Arial" w:hAnsi="Arial"/>
          <w:b/>
          <w:sz w:val="20"/>
          <w:szCs w:val="20"/>
          <w:u w:val="single"/>
        </w:rPr>
        <w:t>3.4.2 Clause d’anticipation des NAO de fin d’année 2023</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sz w:val="20"/>
          <w:szCs w:val="20"/>
        </w:rPr>
      </w:pPr>
      <w:r>
        <w:rPr>
          <w:rFonts w:cs="Arial" w:ascii="Arial" w:hAnsi="Arial"/>
          <w:sz w:val="20"/>
          <w:szCs w:val="20"/>
        </w:rPr>
        <w:t>Au vu du contexte économique incertain pour l’année 2023, les Organisations Syndicales signataires du présent Accord ont la possibilité de solliciter, en cours d’année, l’ouverture de discussions afin d’anticiper les NAO de fin d’année 2023.</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ind w:left="708" w:hanging="0"/>
        <w:jc w:val="both"/>
        <w:rPr>
          <w:rFonts w:ascii="Arial" w:hAnsi="Arial" w:cs="Arial"/>
          <w:sz w:val="20"/>
          <w:szCs w:val="20"/>
          <w:u w:val="single"/>
        </w:rPr>
      </w:pPr>
      <w:r>
        <w:rPr>
          <w:rFonts w:cs="Arial" w:ascii="Arial" w:hAnsi="Arial"/>
          <w:b/>
          <w:sz w:val="20"/>
          <w:szCs w:val="20"/>
          <w:u w:val="single"/>
        </w:rPr>
        <w:t>3.5 Axes de travail prioritaires pour l’année 2023</w:t>
      </w:r>
    </w:p>
    <w:p>
      <w:pPr>
        <w:pStyle w:val="Normal"/>
        <w:tabs>
          <w:tab w:val="left" w:pos="1260" w:leader="none"/>
        </w:tabs>
        <w:jc w:val="both"/>
        <w:rPr>
          <w:rFonts w:ascii="Arial" w:hAnsi="Arial" w:cs="Arial"/>
          <w:sz w:val="20"/>
          <w:szCs w:val="20"/>
          <w:highlight w:val="yellow"/>
          <w:u w:val="single"/>
        </w:rPr>
      </w:pPr>
      <w:r>
        <w:rPr>
          <w:rFonts w:cs="Arial" w:ascii="Arial" w:hAnsi="Arial"/>
          <w:sz w:val="20"/>
          <w:szCs w:val="20"/>
          <w:highlight w:val="yellow"/>
          <w:u w:val="single"/>
        </w:rPr>
      </w:r>
    </w:p>
    <w:p>
      <w:pPr>
        <w:pStyle w:val="Normal"/>
        <w:tabs>
          <w:tab w:val="left" w:pos="1260" w:leader="none"/>
        </w:tabs>
        <w:jc w:val="both"/>
        <w:rPr/>
      </w:pPr>
      <w:r>
        <w:rPr>
          <w:rFonts w:cs="Arial" w:ascii="Arial" w:hAnsi="Arial"/>
          <w:sz w:val="20"/>
          <w:szCs w:val="20"/>
        </w:rPr>
        <w:t xml:space="preserve">Pour l’année 2023, les parties conviennent de 4 axes de travail qui feront l’objet d’échanges avec les Organisations Syndicales : </w:t>
      </w:r>
    </w:p>
    <w:p>
      <w:pPr>
        <w:pStyle w:val="Normal"/>
        <w:tabs>
          <w:tab w:val="left" w:pos="1260" w:leader="none"/>
        </w:tabs>
        <w:jc w:val="both"/>
        <w:rPr>
          <w:rFonts w:ascii="Arial" w:hAnsi="Arial" w:eastAsia="Arial" w:cs="Arial"/>
          <w:sz w:val="20"/>
          <w:szCs w:val="20"/>
        </w:rPr>
      </w:pPr>
      <w:r>
        <w:rPr>
          <w:rFonts w:eastAsia="Arial" w:cs="Arial" w:ascii="Arial" w:hAnsi="Arial"/>
          <w:sz w:val="20"/>
          <w:szCs w:val="20"/>
        </w:rPr>
        <w:t xml:space="preserve">  </w:t>
      </w:r>
    </w:p>
    <w:p>
      <w:pPr>
        <w:pStyle w:val="Normal"/>
        <w:numPr>
          <w:ilvl w:val="0"/>
          <w:numId w:val="4"/>
        </w:numPr>
        <w:tabs>
          <w:tab w:val="left" w:pos="1260" w:leader="none"/>
        </w:tabs>
        <w:spacing w:before="0" w:after="120"/>
        <w:ind w:left="1066" w:hanging="357"/>
        <w:jc w:val="both"/>
        <w:rPr>
          <w:rFonts w:ascii="Arial" w:hAnsi="Arial" w:cs="Arial"/>
          <w:sz w:val="20"/>
          <w:szCs w:val="20"/>
        </w:rPr>
      </w:pPr>
      <w:r>
        <w:rPr>
          <w:rFonts w:cs="Arial" w:ascii="Arial" w:hAnsi="Arial"/>
          <w:sz w:val="20"/>
          <w:szCs w:val="20"/>
        </w:rPr>
        <w:t>L’avenir de TMMF, et notamment le partage du calendrier 2023 lors d’une Commission Avenir de TMMF à la rentrée de janvier 2023 ;</w:t>
      </w:r>
    </w:p>
    <w:p>
      <w:pPr>
        <w:pStyle w:val="Normal"/>
        <w:numPr>
          <w:ilvl w:val="0"/>
          <w:numId w:val="4"/>
        </w:numPr>
        <w:tabs>
          <w:tab w:val="left" w:pos="1260" w:leader="none"/>
        </w:tabs>
        <w:spacing w:before="0" w:after="120"/>
        <w:ind w:left="1066" w:hanging="357"/>
        <w:jc w:val="both"/>
        <w:rPr/>
      </w:pPr>
      <w:r>
        <w:rPr>
          <w:rFonts w:cs="Arial" w:ascii="Arial" w:hAnsi="Arial"/>
          <w:sz w:val="20"/>
          <w:szCs w:val="20"/>
        </w:rPr>
        <w:t>La nouvelle Convention collective nationale de la métallurgie, et notamment son impact sur le Grade Système et les autres sujets impactés (exemple : le temps de travail). La Direction de TMMF a annoncé son intention d’ouvrir des discussions sur un Accord de méthode concernant la nouvelle classification ;</w:t>
      </w:r>
    </w:p>
    <w:p>
      <w:pPr>
        <w:pStyle w:val="Normal"/>
        <w:numPr>
          <w:ilvl w:val="0"/>
          <w:numId w:val="4"/>
        </w:numPr>
        <w:tabs>
          <w:tab w:val="left" w:pos="1260" w:leader="none"/>
        </w:tabs>
        <w:spacing w:before="0" w:after="120"/>
        <w:ind w:left="1066" w:hanging="357"/>
        <w:jc w:val="both"/>
        <w:rPr/>
      </w:pPr>
      <w:r>
        <w:rPr>
          <w:rFonts w:cs="Arial" w:ascii="Arial" w:hAnsi="Arial"/>
          <w:sz w:val="20"/>
          <w:szCs w:val="20"/>
        </w:rPr>
        <w:t xml:space="preserve">Les élections professionnelles qui auront lieu en octobre 2023, et notamment les préparatifs et la campagne électorale, ainsi que la conclusion d’un Accord préélectoral ; </w:t>
      </w:r>
    </w:p>
    <w:p>
      <w:pPr>
        <w:pStyle w:val="Normal"/>
        <w:numPr>
          <w:ilvl w:val="0"/>
          <w:numId w:val="4"/>
        </w:numPr>
        <w:tabs>
          <w:tab w:val="left" w:pos="1260" w:leader="none"/>
        </w:tabs>
        <w:spacing w:before="0" w:after="120"/>
        <w:ind w:left="1066" w:hanging="357"/>
        <w:jc w:val="both"/>
        <w:rPr>
          <w:rFonts w:ascii="Arial" w:hAnsi="Arial" w:cs="Arial"/>
          <w:sz w:val="20"/>
          <w:szCs w:val="20"/>
        </w:rPr>
      </w:pPr>
      <w:r>
        <w:rPr>
          <w:rFonts w:cs="Arial" w:ascii="Arial" w:hAnsi="Arial"/>
          <w:sz w:val="20"/>
          <w:szCs w:val="20"/>
        </w:rPr>
        <w:t xml:space="preserve">Les Négociations Annuelles Obligatoires concernant la politique salariale pour 2024. </w:t>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jc w:val="both"/>
        <w:rPr/>
      </w:pPr>
      <w:r>
        <w:rPr>
          <w:rFonts w:cs="Arial" w:ascii="Arial" w:hAnsi="Arial"/>
          <w:b/>
          <w:sz w:val="20"/>
          <w:szCs w:val="20"/>
          <w:u w:val="single"/>
        </w:rPr>
        <w:t>Article 4. Durée de l’accord</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sz w:val="20"/>
          <w:szCs w:val="20"/>
        </w:rPr>
      </w:pPr>
      <w:r>
        <w:rPr>
          <w:rFonts w:cs="Arial" w:ascii="Arial" w:hAnsi="Arial"/>
          <w:sz w:val="20"/>
          <w:szCs w:val="20"/>
        </w:rPr>
        <w:t>Le présent Accord est conclu pour l’année 2023, soit jusqu’au 31 décembre 2023, sauf pour les dispositions ayant vocation à s’appliquer pour une durée indéterminée.</w:t>
      </w:r>
    </w:p>
    <w:p>
      <w:pPr>
        <w:pStyle w:val="Heading"/>
        <w:pBdr/>
        <w:jc w:val="left"/>
        <w:rPr>
          <w:rFonts w:ascii="Arial" w:hAnsi="Arial" w:eastAsia="MS Mincho;ＭＳ 明朝" w:cs="Arial"/>
          <w:b w:val="false"/>
          <w:b w:val="false"/>
          <w:sz w:val="20"/>
          <w:szCs w:val="20"/>
          <w:lang w:eastAsia="ja-JP"/>
        </w:rPr>
      </w:pPr>
      <w:r>
        <w:rPr>
          <w:rFonts w:eastAsia="MS Mincho;ＭＳ 明朝" w:cs="Arial" w:ascii="Arial" w:hAnsi="Arial"/>
          <w:b w:val="false"/>
          <w:sz w:val="20"/>
          <w:szCs w:val="20"/>
          <w:lang w:eastAsia="ja-JP"/>
        </w:rPr>
      </w:r>
    </w:p>
    <w:p>
      <w:pPr>
        <w:pStyle w:val="Heading"/>
        <w:pBdr/>
        <w:jc w:val="left"/>
        <w:rPr>
          <w:rFonts w:ascii="Arial" w:hAnsi="Arial" w:eastAsia="MS Mincho;ＭＳ 明朝" w:cs="Arial"/>
          <w:b w:val="false"/>
          <w:b w:val="false"/>
          <w:sz w:val="20"/>
          <w:lang w:eastAsia="ja-JP"/>
        </w:rPr>
      </w:pPr>
      <w:r>
        <w:rPr>
          <w:rFonts w:eastAsia="MS Mincho;ＭＳ 明朝" w:cs="Arial" w:ascii="Arial" w:hAnsi="Arial"/>
          <w:b w:val="false"/>
          <w:sz w:val="20"/>
          <w:lang w:eastAsia="ja-JP"/>
        </w:rPr>
      </w:r>
    </w:p>
    <w:p>
      <w:pPr>
        <w:pStyle w:val="Normal"/>
        <w:jc w:val="both"/>
        <w:rPr>
          <w:rFonts w:ascii="Arial" w:hAnsi="Arial" w:cs="Arial"/>
          <w:b/>
          <w:b/>
          <w:sz w:val="20"/>
          <w:szCs w:val="20"/>
          <w:u w:val="single"/>
        </w:rPr>
      </w:pPr>
      <w:r>
        <w:rPr>
          <w:rFonts w:cs="Arial" w:ascii="Arial" w:hAnsi="Arial"/>
          <w:b/>
          <w:sz w:val="20"/>
          <w:szCs w:val="20"/>
          <w:u w:val="single"/>
        </w:rPr>
        <w:t>Article 5. Publicité de l’accord</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sz w:val="20"/>
          <w:szCs w:val="20"/>
        </w:rPr>
      </w:pPr>
      <w:r>
        <w:rPr>
          <w:rFonts w:cs="Arial" w:ascii="Arial" w:hAnsi="Arial"/>
          <w:sz w:val="20"/>
          <w:szCs w:val="20"/>
        </w:rPr>
        <w:t xml:space="preserve">Le présent Accord est établi conformément aux dispositions de l’article L. 2231-6 du Code du Travail.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 xml:space="preserve">Un exemplaire du présent accord sera déposé par voie électronique sur la plateforme de télé-procédure mise en place à cet effet par le Ministère du travail. </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Un exemplaire sera également transmis au Secrétariat-greffe du Conseil de prud’hommes compétent.</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Le présent Accord est fait en nombre suffisant pour remise à chacune des parties.</w:t>
      </w:r>
    </w:p>
    <w:sectPr>
      <w:headerReference w:type="default" r:id="rId9"/>
      <w:headerReference w:type="first" r:id="rId10"/>
      <w:footerReference w:type="default" r:id="rId11"/>
      <w:footerReference w:type="first" r:id="rId12"/>
      <w:type w:val="nextPage"/>
      <w:pgSz w:w="11906" w:h="16838"/>
      <w:pgMar w:left="1417" w:right="1417" w:header="708" w:top="1417" w:footer="340"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w:hAnsi="Arial" w:cs="Arial"/>
        <w:b/>
        <w:b/>
        <w:bCs/>
        <w:sz w:val="20"/>
      </w:rPr>
    </w:pPr>
    <w:r>
      <w:rPr>
        <w:rFonts w:cs="Arial" w:ascii="Arial" w:hAnsi="Arial"/>
        <w:sz w:val="20"/>
      </w:rPr>
      <w:t xml:space="preserve">Page </w:t>
    </w:r>
    <w:r>
      <w:rPr>
        <w:rFonts w:cs="Arial" w:ascii="Arial" w:hAnsi="Arial"/>
        <w:b/>
        <w:bCs/>
        <w:sz w:val="20"/>
      </w:rPr>
      <w:fldChar w:fldCharType="begin"/>
    </w:r>
    <w:r>
      <w:instrText> PAGE </w:instrText>
    </w:r>
    <w:r>
      <w:fldChar w:fldCharType="separate"/>
    </w:r>
    <w:r>
      <w:t>11</w:t>
    </w:r>
    <w:r>
      <w:fldChar w:fldCharType="end"/>
    </w:r>
    <w:r>
      <w:rPr>
        <w:rFonts w:cs="Arial" w:ascii="Arial" w:hAnsi="Arial"/>
        <w:sz w:val="20"/>
      </w:rPr>
      <w:t xml:space="preserve"> sur </w:t>
    </w:r>
    <w:r>
      <w:rPr>
        <w:rFonts w:cs="Arial" w:ascii="Arial" w:hAnsi="Arial"/>
        <w:b/>
        <w:bCs/>
        <w:sz w:val="20"/>
      </w:rPr>
      <w:fldChar w:fldCharType="begin"/>
    </w:r>
    <w:r>
      <w:instrText> NUMPAGES \* ARABIC </w:instrText>
    </w:r>
    <w:r>
      <w:fldChar w:fldCharType="separate"/>
    </w:r>
    <w:r>
      <w:t>11</w:t>
    </w:r>
    <w:r>
      <w:fldChar w:fldCharType="end"/>
    </w:r>
  </w:p>
  <w:p>
    <w:pPr>
      <w:pStyle w:val="Footer"/>
      <w:ind w:right="360" w:hanging="0"/>
      <w:rPr>
        <w:rFonts w:ascii="Arial" w:hAnsi="Arial" w:cs="Arial"/>
        <w:sz w:val="20"/>
      </w:rPr>
    </w:pPr>
    <w:r>
      <w:rPr>
        <w:rFonts w:cs="Arial" w:ascii="Arial" w:hAnsi="Arial"/>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ind w:left="1788" w:hanging="360"/>
      </w:pPr>
      <w:rPr>
        <w:rFonts w:ascii="Courier New" w:hAnsi="Courier New" w:cs="Courier New" w:hint="default"/>
        <w:sz w:val="20"/>
        <w:szCs w:val="20"/>
        <w:rFonts w:cs="Courier New"/>
      </w:rPr>
    </w:lvl>
  </w:abstractNum>
  <w:abstractNum w:abstractNumId="2">
    <w:lvl w:ilvl="0">
      <w:numFmt w:val="bullet"/>
      <w:lvlText w:val="-"/>
      <w:lvlJc w:val="left"/>
      <w:pPr>
        <w:ind w:left="720" w:hanging="360"/>
      </w:pPr>
      <w:rPr>
        <w:rFonts w:ascii="Calibri" w:hAnsi="Calibri" w:cs="Calibri" w:hint="default"/>
        <w:sz w:val="20"/>
        <w:szCs w:val="20"/>
        <w:rFonts w:cs="Calibri"/>
      </w:rPr>
    </w:lvl>
  </w:abstractNum>
  <w:abstractNum w:abstractNumId="3">
    <w:lvl w:ilvl="0">
      <w:start w:val="1"/>
      <w:numFmt w:val="bullet"/>
      <w:lvlText w:val=""/>
      <w:lvlJc w:val="left"/>
      <w:pPr>
        <w:ind w:left="2484" w:hanging="360"/>
      </w:pPr>
      <w:rPr>
        <w:rFonts w:ascii="Symbol" w:hAnsi="Symbol" w:cs="Symbol" w:hint="default"/>
        <w:sz w:val="20"/>
        <w:szCs w:val="20"/>
        <w:rFonts w:cs="Symbol"/>
      </w:rPr>
    </w:lvl>
  </w:abstractNum>
  <w:abstractNum w:abstractNumId="4">
    <w:lvl w:ilvl="0">
      <w:numFmt w:val="bullet"/>
      <w:lvlText w:val="-"/>
      <w:lvlJc w:val="left"/>
      <w:pPr>
        <w:tabs>
          <w:tab w:val="num" w:pos="1068"/>
        </w:tabs>
        <w:ind w:left="1068" w:hanging="360"/>
      </w:pPr>
      <w:rPr>
        <w:rFonts w:ascii="Arial" w:hAnsi="Arial" w:cs="Arial" w:hint="default"/>
        <w:sz w:val="20"/>
        <w:szCs w:val="20"/>
        <w:highlight w:val="yellow"/>
        <w:rFonts w:cs="Arial"/>
      </w:rPr>
    </w:lvl>
  </w:abstractNum>
  <w:abstractNum w:abstractNumId="5">
    <w:lvl w:ilvl="0">
      <w:numFmt w:val="bullet"/>
      <w:lvlText w:val="-"/>
      <w:lvlJc w:val="left"/>
      <w:pPr>
        <w:ind w:left="720" w:hanging="360"/>
      </w:pPr>
      <w:rPr>
        <w:rFonts w:ascii="Calibri" w:hAnsi="Calibri" w:cs="Calibri" w:hint="default"/>
        <w:sz w:val="20"/>
        <w:szCs w:val="20"/>
        <w:rFonts w:cs="Calibri"/>
      </w:rPr>
    </w:lvl>
  </w:abstractNum>
  <w:abstractNum w:abstractNumId="6">
    <w:lvl w:ilvl="0">
      <w:numFmt w:val="bullet"/>
      <w:lvlText w:val="-"/>
      <w:lvlJc w:val="left"/>
      <w:pPr>
        <w:ind w:left="720" w:hanging="360"/>
      </w:pPr>
      <w:rPr>
        <w:rFonts w:ascii="Calibri" w:hAnsi="Calibri" w:cs="Calibri" w:hint="default"/>
        <w:sz w:val="20"/>
        <w:szCs w:val="20"/>
        <w:rFonts w:cs="Calibri"/>
      </w:rPr>
    </w:lvl>
  </w:abstractNum>
  <w:abstractNum w:abstractNumId="7">
    <w:lvl w:ilvl="0">
      <w:start w:val="1"/>
      <w:numFmt w:val="bullet"/>
      <w:lvlText w:val=""/>
      <w:lvlJc w:val="left"/>
      <w:pPr>
        <w:ind w:left="2203" w:hanging="360"/>
      </w:pPr>
      <w:rPr>
        <w:rFonts w:ascii="Symbol" w:hAnsi="Symbol" w:cs="Symbol" w:hint="default"/>
        <w:sz w:val="20"/>
        <w:szCs w:val="20"/>
        <w:rFonts w:cs="Symbol"/>
      </w:rPr>
    </w:lvl>
  </w:abstractNum>
  <w:abstractNum w:abstractNumId="8">
    <w:lvl w:ilvl="0">
      <w:start w:val="2"/>
      <w:numFmt w:val="decimal"/>
      <w:lvlText w:val="%1"/>
      <w:lvlJc w:val="left"/>
      <w:pPr>
        <w:ind w:left="360" w:hanging="360"/>
      </w:pPr>
      <w:rPr/>
    </w:lvl>
    <w:lvl w:ilvl="1">
      <w:start w:val="1"/>
      <w:numFmt w:val="decimal"/>
      <w:lvlText w:val="%1.%2"/>
      <w:lvlJc w:val="left"/>
      <w:pPr>
        <w:ind w:left="1068" w:hanging="360"/>
      </w:pPr>
      <w:rPr/>
    </w:lvl>
    <w:lvl w:ilvl="2">
      <w:start w:val="1"/>
      <w:numFmt w:val="decimal"/>
      <w:lvlText w:val="%1.%2.%3"/>
      <w:lvlJc w:val="left"/>
      <w:pPr>
        <w:ind w:left="2136" w:hanging="720"/>
      </w:pPr>
      <w:rPr/>
    </w:lvl>
    <w:lvl w:ilvl="3">
      <w:start w:val="1"/>
      <w:numFmt w:val="decimal"/>
      <w:lvlText w:val="%1.%2.%3.%4"/>
      <w:lvlJc w:val="left"/>
      <w:pPr>
        <w:ind w:left="2844" w:hanging="720"/>
      </w:pPr>
      <w:rPr/>
    </w:lvl>
    <w:lvl w:ilvl="4">
      <w:start w:val="1"/>
      <w:numFmt w:val="decimal"/>
      <w:lvlText w:val="%1.%2.%3.%4.%5"/>
      <w:lvlJc w:val="left"/>
      <w:pPr>
        <w:ind w:left="3912" w:hanging="1080"/>
      </w:pPr>
      <w:rPr/>
    </w:lvl>
    <w:lvl w:ilvl="5">
      <w:start w:val="1"/>
      <w:numFmt w:val="decimal"/>
      <w:lvlText w:val="%1.%2.%3.%4.%5.%6"/>
      <w:lvlJc w:val="left"/>
      <w:pPr>
        <w:ind w:left="4620" w:hanging="1080"/>
      </w:pPr>
      <w:rPr/>
    </w:lvl>
    <w:lvl w:ilvl="6">
      <w:start w:val="1"/>
      <w:numFmt w:val="decimal"/>
      <w:lvlText w:val="%1.%2.%3.%4.%5.%6.%7"/>
      <w:lvlJc w:val="left"/>
      <w:pPr>
        <w:ind w:left="5688" w:hanging="1440"/>
      </w:pPr>
      <w:rPr/>
    </w:lvl>
    <w:lvl w:ilvl="7">
      <w:start w:val="1"/>
      <w:numFmt w:val="decimal"/>
      <w:lvlText w:val="%1.%2.%3.%4.%5.%6.%7.%8"/>
      <w:lvlJc w:val="left"/>
      <w:pPr>
        <w:ind w:left="6396" w:hanging="1440"/>
      </w:pPr>
      <w:rPr/>
    </w:lvl>
    <w:lvl w:ilvl="8">
      <w:start w:val="1"/>
      <w:numFmt w:val="decimal"/>
      <w:lvlText w:val="%1.%2.%3.%4.%5.%6.%7.%8.%9"/>
      <w:lvlJc w:val="left"/>
      <w:pPr>
        <w:ind w:left="7464" w:hanging="1800"/>
      </w:pPr>
      <w:rPr/>
    </w:lvl>
  </w:abstractNum>
  <w:abstractNum w:abstractNumId="9">
    <w:lvl w:ilvl="0">
      <w:start w:val="1"/>
      <w:numFmt w:val="bullet"/>
      <w:lvlText w:val="o"/>
      <w:lvlJc w:val="left"/>
      <w:pPr>
        <w:ind w:left="1776" w:hanging="360"/>
      </w:pPr>
      <w:rPr>
        <w:rFonts w:ascii="Courier New" w:hAnsi="Courier New" w:cs="Courier New" w:hint="default"/>
        <w:rFonts w:cs="Courier New"/>
      </w:rPr>
    </w:lvl>
  </w:abstractNum>
  <w:abstractNum w:abstractNumId="10">
    <w:lvl w:ilvl="0">
      <w:start w:val="1"/>
      <w:numFmt w:val="bullet"/>
      <w:lvlText w:val=""/>
      <w:lvlJc w:val="left"/>
      <w:pPr>
        <w:tabs>
          <w:tab w:val="num" w:pos="708"/>
        </w:tabs>
        <w:ind w:left="1080" w:hanging="360"/>
      </w:pPr>
      <w:rPr>
        <w:rFonts w:ascii="Wingdings" w:hAnsi="Wingdings" w:cs="Wingdings" w:hint="default"/>
        <w:sz w:val="20"/>
        <w:szCs w:val="20"/>
        <w:rFonts w:cs="Wingdings"/>
      </w:rPr>
    </w:lvl>
  </w:abstractNum>
  <w:abstractNum w:abstractNumId="11">
    <w:lvl w:ilvl="0">
      <w:start w:val="1"/>
      <w:numFmt w:val="bullet"/>
      <w:lvlText w:val="o"/>
      <w:lvlJc w:val="left"/>
      <w:pPr>
        <w:ind w:left="1777" w:hanging="360"/>
      </w:pPr>
      <w:rPr>
        <w:rFonts w:ascii="Courier New" w:hAnsi="Courier New" w:cs="Courier New" w:hint="default"/>
        <w:sz w:val="20"/>
        <w:szCs w:val="20"/>
        <w:rFonts w:cs="Courier New"/>
      </w:rPr>
    </w:lvl>
  </w:abstractNum>
  <w:abstractNum w:abstractNumId="12">
    <w:lvl w:ilvl="0">
      <w:start w:val="1"/>
      <w:numFmt w:val="bullet"/>
      <w:lvlText w:val="o"/>
      <w:lvlJc w:val="left"/>
      <w:pPr>
        <w:ind w:left="1788" w:hanging="360"/>
      </w:pPr>
      <w:rPr>
        <w:rFonts w:ascii="Courier New" w:hAnsi="Courier New" w:cs="Courier New" w:hint="default"/>
        <w:sz w:val="20"/>
        <w:szCs w:val="20"/>
        <w:rFonts w:cs="Courier New"/>
      </w:rPr>
    </w:lvl>
  </w:abstractNum>
  <w:abstractNum w:abstractNumId="13">
    <w:lvl w:ilvl="0">
      <w:start w:val="1"/>
      <w:numFmt w:val="bullet"/>
      <w:lvlText w:val="o"/>
      <w:lvlJc w:val="left"/>
      <w:pPr>
        <w:ind w:left="1428" w:hanging="360"/>
      </w:pPr>
      <w:rPr>
        <w:rFonts w:ascii="Courier New" w:hAnsi="Courier New" w:cs="Courier New" w:hint="default"/>
        <w:sz w:val="20"/>
        <w:szCs w:val="20"/>
        <w:rFonts w:cs="Courier New"/>
      </w:rPr>
    </w:lvl>
  </w:abstractNum>
  <w:abstractNum w:abstractNumId="14">
    <w:lvl w:ilvl="0">
      <w:start w:val="1"/>
      <w:numFmt w:val="bullet"/>
      <w:lvlText w:val=""/>
      <w:lvlJc w:val="left"/>
      <w:pPr>
        <w:ind w:left="2136" w:hanging="360"/>
      </w:pPr>
      <w:rPr>
        <w:rFonts w:ascii="Wingdings" w:hAnsi="Wingdings" w:cs="Wingdings" w:hint="default"/>
        <w:rFonts w:cs="Wingdings"/>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MS Mincho;ＭＳ 明朝" w:cs="Times New Roman"/>
      <w:color w:val="auto"/>
      <w:sz w:val="24"/>
      <w:szCs w:val="24"/>
      <w:lang w:val="fr-FR" w:eastAsia="ja-JP" w:bidi="ar-SA"/>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Courier New" w:hAnsi="Courier New" w:cs="Courier New"/>
      <w:sz w:val="20"/>
      <w:szCs w:val="20"/>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Calibri" w:hAnsi="Calibri" w:eastAsia="Calibri" w:cs="Calibri"/>
      <w:sz w:val="20"/>
      <w:szCs w:val="2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sz w:val="20"/>
      <w:szCs w:val="2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Arial" w:hAnsi="Arial" w:eastAsia="MS Mincho;ＭＳ 明朝" w:cs="Arial"/>
      <w:sz w:val="20"/>
      <w:szCs w:val="20"/>
      <w:highlight w:val="yellow"/>
    </w:rPr>
  </w:style>
  <w:style w:type="character" w:styleId="WW8Num12z1">
    <w:name w:val="WW8Num12z1"/>
    <w:qFormat/>
    <w:rPr>
      <w:rFonts w:ascii="Symbol" w:hAnsi="Symbol" w:cs="Symbol"/>
    </w:rPr>
  </w:style>
  <w:style w:type="character" w:styleId="WW8Num12z2">
    <w:name w:val="WW8Num12z2"/>
    <w:qFormat/>
    <w:rPr>
      <w:rFonts w:ascii="Wingdings" w:hAnsi="Wingdings" w:cs="Wingdings"/>
    </w:rPr>
  </w:style>
  <w:style w:type="character" w:styleId="WW8Num12z4">
    <w:name w:val="WW8Num12z4"/>
    <w:qFormat/>
    <w:rPr>
      <w:rFonts w:ascii="Courier New" w:hAnsi="Courier New" w:cs="Courier New"/>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Calibri" w:hAnsi="Calibri" w:eastAsia="Calibri" w:cs="Calibri"/>
      <w:sz w:val="20"/>
      <w:szCs w:val="20"/>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Calibri" w:hAnsi="Calibri" w:eastAsia="Calibri" w:cs="Calibri"/>
      <w:sz w:val="20"/>
      <w:szCs w:val="20"/>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Symbol" w:hAnsi="Symbol" w:cs="Symbol"/>
      <w:sz w:val="20"/>
      <w:szCs w:val="20"/>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Wingdings" w:hAnsi="Wingdings" w:eastAsia="Calibri"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style>
  <w:style w:type="character" w:styleId="WW8Num27z0">
    <w:name w:val="WW8Num27z0"/>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Wingdings" w:hAnsi="Wingdings" w:cs="Wingdings"/>
      <w:sz w:val="20"/>
      <w:szCs w:val="20"/>
    </w:rPr>
  </w:style>
  <w:style w:type="character" w:styleId="WW8Num28z1">
    <w:name w:val="WW8Num28z1"/>
    <w:qFormat/>
    <w:rPr>
      <w:rFonts w:ascii="Courier New" w:hAnsi="Courier New" w:cs="Courier New"/>
    </w:rPr>
  </w:style>
  <w:style w:type="character" w:styleId="WW8Num28z3">
    <w:name w:val="WW8Num28z3"/>
    <w:qFormat/>
    <w:rPr>
      <w:rFonts w:ascii="Symbol" w:hAnsi="Symbol" w:cs="Symbol"/>
    </w:rPr>
  </w:style>
  <w:style w:type="character" w:styleId="WW8Num29z0">
    <w:name w:val="WW8Num29z0"/>
    <w:qFormat/>
    <w:rPr>
      <w:rFonts w:ascii="Courier New" w:hAnsi="Courier New" w:cs="Courier New"/>
      <w:sz w:val="20"/>
      <w:szCs w:val="20"/>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Courier New" w:hAnsi="Courier New" w:cs="Courier New"/>
      <w:sz w:val="20"/>
      <w:szCs w:val="20"/>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Wingdings" w:hAnsi="Wingdings" w:cs="Wingdings"/>
    </w:rPr>
  </w:style>
  <w:style w:type="character" w:styleId="WW8Num31z1">
    <w:name w:val="WW8Num31z1"/>
    <w:qFormat/>
    <w:rPr>
      <w:rFonts w:ascii="Courier New" w:hAnsi="Courier New" w:cs="Courier New"/>
    </w:rPr>
  </w:style>
  <w:style w:type="character" w:styleId="WW8Num31z3">
    <w:name w:val="WW8Num31z3"/>
    <w:qFormat/>
    <w:rPr>
      <w:rFonts w:ascii="Symbol" w:hAnsi="Symbol" w:cs="Symbol"/>
    </w:rPr>
  </w:style>
  <w:style w:type="character" w:styleId="WW8Num32z0">
    <w:name w:val="WW8Num32z0"/>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rFonts w:ascii="Courier New" w:hAnsi="Courier New" w:cs="Courier New"/>
      <w:sz w:val="20"/>
      <w:szCs w:val="20"/>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WW8Num37z0">
    <w:name w:val="WW8Num37z0"/>
    <w:qFormat/>
    <w:rPr>
      <w:rFonts w:ascii="Wingdings" w:hAnsi="Wingdings" w:cs="Wingdings"/>
    </w:rPr>
  </w:style>
  <w:style w:type="character" w:styleId="WW8Num37z1">
    <w:name w:val="WW8Num37z1"/>
    <w:qFormat/>
    <w:rPr>
      <w:rFonts w:ascii="Courier New" w:hAnsi="Courier New" w:cs="Courier New"/>
    </w:rPr>
  </w:style>
  <w:style w:type="character" w:styleId="WW8Num37z3">
    <w:name w:val="WW8Num37z3"/>
    <w:qFormat/>
    <w:rPr>
      <w:rFonts w:ascii="Symbol" w:hAnsi="Symbol" w:cs="Symbol"/>
    </w:rPr>
  </w:style>
  <w:style w:type="character" w:styleId="WW8Num38z0">
    <w:name w:val="WW8Num38z0"/>
    <w:qFormat/>
    <w:rPr>
      <w:rFonts w:ascii="Wingdings" w:hAnsi="Wingdings" w:cs="Wingdings"/>
    </w:rPr>
  </w:style>
  <w:style w:type="character" w:styleId="WW8Num38z1">
    <w:name w:val="WW8Num38z1"/>
    <w:qFormat/>
    <w:rPr>
      <w:rFonts w:ascii="Courier New" w:hAnsi="Courier New" w:cs="Courier New"/>
    </w:rPr>
  </w:style>
  <w:style w:type="character" w:styleId="WW8Num38z3">
    <w:name w:val="WW8Num38z3"/>
    <w:qFormat/>
    <w:rPr>
      <w:rFonts w:ascii="Symbol" w:hAnsi="Symbol" w:cs="Symbol"/>
    </w:rPr>
  </w:style>
  <w:style w:type="character" w:styleId="WW8Num39z0">
    <w:name w:val="WW8Num39z0"/>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Policepardfaut">
    <w:name w:val="Police par défaut"/>
    <w:qFormat/>
    <w:rPr/>
  </w:style>
  <w:style w:type="character" w:styleId="InternetLink">
    <w:name w:val="Internet Link"/>
    <w:rPr>
      <w:color w:val="0000FF"/>
      <w:u w:val="single"/>
    </w:rPr>
  </w:style>
  <w:style w:type="character" w:styleId="PageNumber">
    <w:name w:val="Page Number"/>
    <w:basedOn w:val="Policepardfaut"/>
    <w:rPr/>
  </w:style>
  <w:style w:type="character" w:styleId="TitreCar">
    <w:name w:val="Titre Car"/>
    <w:qFormat/>
    <w:rPr>
      <w:rFonts w:eastAsia="Times New Roman"/>
      <w:b/>
      <w:sz w:val="24"/>
    </w:rPr>
  </w:style>
  <w:style w:type="character" w:styleId="Marquedecommentaire">
    <w:name w:val="Marque de commentaire"/>
    <w:qFormat/>
    <w:rPr>
      <w:sz w:val="16"/>
      <w:szCs w:val="16"/>
    </w:rPr>
  </w:style>
  <w:style w:type="character" w:styleId="CommentaireCar">
    <w:name w:val="Commentaire Car"/>
    <w:qFormat/>
    <w:rPr>
      <w:lang w:eastAsia="ja-JP"/>
    </w:rPr>
  </w:style>
  <w:style w:type="character" w:styleId="ObjetducommentaireCar">
    <w:name w:val="Objet du commentaire Car"/>
    <w:qFormat/>
    <w:rPr>
      <w:b/>
      <w:bCs/>
      <w:lang w:eastAsia="ja-JP"/>
    </w:rPr>
  </w:style>
  <w:style w:type="character" w:styleId="PieddepageCar">
    <w:name w:val="Pied de page Car"/>
    <w:qFormat/>
    <w:rPr>
      <w:sz w:val="24"/>
      <w:szCs w:val="24"/>
      <w:lang w:eastAsia="ja-JP"/>
    </w:rPr>
  </w:style>
  <w:style w:type="paragraph" w:styleId="Heading">
    <w:name w:val="Heading"/>
    <w:basedOn w:val="Normal"/>
    <w:next w:val="TextBody"/>
    <w:qFormat/>
    <w:pPr>
      <w:pBdr>
        <w:top w:val="single" w:sz="4" w:space="1" w:color="000000"/>
        <w:left w:val="single" w:sz="4" w:space="4" w:color="000000"/>
        <w:bottom w:val="single" w:sz="4" w:space="1" w:color="000000"/>
        <w:right w:val="single" w:sz="4" w:space="4" w:color="000000"/>
      </w:pBdr>
      <w:jc w:val="center"/>
    </w:pPr>
    <w:rPr>
      <w:rFonts w:eastAsia="Times New Roman"/>
      <w:b/>
      <w:szCs w:val="20"/>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Textedebulles">
    <w:name w:val="Texte de bulles"/>
    <w:basedOn w:val="Normal"/>
    <w:qFormat/>
    <w:pPr/>
    <w:rPr>
      <w:rFonts w:ascii="Tahoma" w:hAnsi="Tahoma" w:cs="Tahoma"/>
      <w:sz w:val="16"/>
      <w:szCs w:val="16"/>
    </w:rPr>
  </w:style>
  <w:style w:type="paragraph" w:styleId="Paragraphedeliste">
    <w:name w:val="Paragraphe de liste"/>
    <w:basedOn w:val="Normal"/>
    <w:qFormat/>
    <w:pPr>
      <w:ind w:left="708" w:hanging="0"/>
    </w:pPr>
    <w:rPr/>
  </w:style>
  <w:style w:type="paragraph" w:styleId="Retraitcorpsdetexte21">
    <w:name w:val="Retrait corps de texte 21"/>
    <w:basedOn w:val="Normal"/>
    <w:qFormat/>
    <w:pPr>
      <w:suppressAutoHyphens w:val="true"/>
      <w:ind w:left="720" w:hanging="0"/>
      <w:jc w:val="both"/>
    </w:pPr>
    <w:rPr>
      <w:rFonts w:eastAsia="Times New Roman"/>
      <w:color w:val="000000"/>
      <w:u w:val="single"/>
    </w:rPr>
  </w:style>
  <w:style w:type="paragraph" w:styleId="NormalWeb">
    <w:name w:val="Normal (Web)"/>
    <w:basedOn w:val="Normal"/>
    <w:qFormat/>
    <w:pPr>
      <w:spacing w:before="280" w:after="280"/>
    </w:pPr>
    <w:rPr>
      <w:rFonts w:eastAsia="Times New Roman"/>
    </w:rPr>
  </w:style>
  <w:style w:type="paragraph" w:styleId="Commentaire">
    <w:name w:val="Commentaire"/>
    <w:basedOn w:val="Normal"/>
    <w:qFormat/>
    <w:pPr/>
    <w:rPr>
      <w:sz w:val="20"/>
      <w:szCs w:val="20"/>
    </w:rPr>
  </w:style>
  <w:style w:type="paragraph" w:styleId="Objetducommentaire">
    <w:name w:val="Objet du commentaire"/>
    <w:basedOn w:val="Commentaire"/>
    <w:next w:val="Commentaire"/>
    <w:qFormat/>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2023-01-16T09:02:00Z</dcterms:created>
  <dc:creator/>
  <dc:description/>
  <dc:language>en-GB</dc:language>
  <cp:lastModifiedBy/>
  <cp:lastPrinted>2022-12-22T09:13:00Z</cp:lastPrinted>
  <dcterms:modified xsi:type="dcterms:W3CDTF">2023-01-16T09:02:00Z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56c8d4-58f9-4c0b-9bfb-6869c15ac104_ActionId">
    <vt:lpwstr>496ce855-8514-4d96-b340-c3439e94fff1</vt:lpwstr>
  </property>
  <property fmtid="{D5CDD505-2E9C-101B-9397-08002B2CF9AE}" pid="3" name="MSIP_Label_6e56c8d4-58f9-4c0b-9bfb-6869c15ac104_ContentBits">
    <vt:lpwstr>0</vt:lpwstr>
  </property>
  <property fmtid="{D5CDD505-2E9C-101B-9397-08002B2CF9AE}" pid="4" name="MSIP_Label_6e56c8d4-58f9-4c0b-9bfb-6869c15ac104_Enabled">
    <vt:lpwstr>true</vt:lpwstr>
  </property>
  <property fmtid="{D5CDD505-2E9C-101B-9397-08002B2CF9AE}" pid="5" name="MSIP_Label_6e56c8d4-58f9-4c0b-9bfb-6869c15ac104_Method">
    <vt:lpwstr>Privileged</vt:lpwstr>
  </property>
  <property fmtid="{D5CDD505-2E9C-101B-9397-08002B2CF9AE}" pid="6" name="MSIP_Label_6e56c8d4-58f9-4c0b-9bfb-6869c15ac104_Name">
    <vt:lpwstr>Protected - No Markers</vt:lpwstr>
  </property>
  <property fmtid="{D5CDD505-2E9C-101B-9397-08002B2CF9AE}" pid="7" name="MSIP_Label_6e56c8d4-58f9-4c0b-9bfb-6869c15ac104_SetDate">
    <vt:lpwstr>2021-11-26T14:13:21Z</vt:lpwstr>
  </property>
  <property fmtid="{D5CDD505-2E9C-101B-9397-08002B2CF9AE}" pid="8" name="MSIP_Label_6e56c8d4-58f9-4c0b-9bfb-6869c15ac104_SiteId">
    <vt:lpwstr>52b742d1-3dc2-47ac-bf03-609c83d9df9f</vt:lpwstr>
  </property>
</Properties>
</file>