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4D64CE" w:rsidRDefault="00BF47A6">
      <w:pPr>
        <w:widowControl w:val="0"/>
        <w:pBdr>
          <w:top w:color="000000" w:space="1" w:sz="4" w:val="single"/>
          <w:left w:color="000000" w:space="4" w:sz="4" w:val="single"/>
          <w:bottom w:color="000000" w:space="1" w:sz="4" w:val="single"/>
          <w:right w:color="000000" w:space="4" w:sz="4" w:val="single"/>
        </w:pBdr>
        <w:spacing w:after="0"/>
        <w:jc w:val="center"/>
        <w:rPr>
          <w:rFonts w:ascii="Times New Roman" w:cs="Times New Roman" w:eastAsia="Times New Roman" w:hAnsi="Times New Roman"/>
          <w:sz w:val="36"/>
          <w:szCs w:val="36"/>
        </w:rPr>
      </w:pPr>
      <w:r>
        <w:rPr>
          <w:rFonts w:ascii="Times New Roman" w:cs="Times New Roman" w:eastAsia="Times New Roman" w:hAnsi="Times New Roman"/>
          <w:b/>
          <w:sz w:val="36"/>
          <w:szCs w:val="36"/>
        </w:rPr>
        <w:t>ACCORD COLLECTIF</w:t>
      </w:r>
    </w:p>
    <w:p w:rsidR="004D64CE" w:rsidRDefault="00BF47A6">
      <w:pPr>
        <w:widowControl w:val="0"/>
        <w:pBdr>
          <w:top w:color="000000" w:space="1" w:sz="4" w:val="single"/>
          <w:left w:color="000000" w:space="4" w:sz="4" w:val="single"/>
          <w:bottom w:color="000000" w:space="1" w:sz="4" w:val="single"/>
          <w:right w:color="000000" w:space="4" w:sz="4" w:val="single"/>
        </w:pBdr>
        <w:spacing w:after="0"/>
        <w:jc w:val="center"/>
        <w:rPr>
          <w:rFonts w:ascii="Times New Roman" w:cs="Times New Roman" w:eastAsia="Times New Roman" w:hAnsi="Times New Roman"/>
          <w:sz w:val="36"/>
          <w:szCs w:val="36"/>
        </w:rPr>
      </w:pPr>
      <w:r>
        <w:rPr>
          <w:rFonts w:ascii="Times New Roman" w:cs="Times New Roman" w:eastAsia="Times New Roman" w:hAnsi="Times New Roman"/>
          <w:b/>
          <w:sz w:val="36"/>
          <w:szCs w:val="36"/>
        </w:rPr>
        <w:t>NÉGOCIATION</w:t>
      </w:r>
      <w:r>
        <w:rPr>
          <w:rFonts w:ascii="Times New Roman" w:cs="Times New Roman" w:eastAsia="Times New Roman" w:hAnsi="Times New Roman"/>
          <w:b/>
          <w:sz w:val="36"/>
          <w:szCs w:val="36"/>
        </w:rPr>
        <w:t xml:space="preserve"> ANNUELLE OBLIGATOIRE</w:t>
      </w:r>
    </w:p>
    <w:p w:rsidR="004D64CE" w:rsidRDefault="00BF47A6">
      <w:pPr>
        <w:widowControl w:val="0"/>
        <w:pBdr>
          <w:top w:color="000000" w:space="1" w:sz="4" w:val="single"/>
          <w:left w:color="000000" w:space="4" w:sz="4" w:val="single"/>
          <w:bottom w:color="000000" w:space="1" w:sz="4" w:val="single"/>
          <w:right w:color="000000" w:space="4" w:sz="4" w:val="single"/>
        </w:pBdr>
        <w:spacing w:after="0"/>
        <w:jc w:val="center"/>
        <w:rPr>
          <w:rFonts w:ascii="Times New Roman" w:cs="Times New Roman" w:eastAsia="Times New Roman" w:hAnsi="Times New Roman"/>
          <w:sz w:val="36"/>
          <w:szCs w:val="36"/>
        </w:rPr>
      </w:pPr>
      <w:r>
        <w:rPr>
          <w:rFonts w:ascii="Times New Roman" w:cs="Times New Roman" w:eastAsia="Times New Roman" w:hAnsi="Times New Roman"/>
          <w:b/>
          <w:sz w:val="36"/>
          <w:szCs w:val="36"/>
        </w:rPr>
        <w:t>ANNÉE 2023</w:t>
      </w:r>
    </w:p>
    <w:p w:rsidR="004D64CE" w:rsidRDefault="004D64CE">
      <w:pPr>
        <w:widowControl w:val="0"/>
        <w:pBdr>
          <w:top w:color="000000" w:space="1" w:sz="4" w:val="single"/>
          <w:left w:color="000000" w:space="4" w:sz="4" w:val="single"/>
          <w:bottom w:color="000000" w:space="1" w:sz="4" w:val="single"/>
          <w:right w:color="000000" w:space="4" w:sz="4" w:val="single"/>
        </w:pBdr>
        <w:spacing w:after="0"/>
        <w:jc w:val="center"/>
        <w:rPr>
          <w:rFonts w:ascii="Times New Roman" w:cs="Times New Roman" w:eastAsia="Times New Roman" w:hAnsi="Times New Roman"/>
          <w:sz w:val="36"/>
          <w:szCs w:val="36"/>
        </w:rPr>
      </w:pPr>
    </w:p>
    <w:p w:rsidR="004D64CE" w:rsidRDefault="00BF47A6">
      <w:pPr>
        <w:widowControl w:val="0"/>
        <w:pBdr>
          <w:top w:color="000000" w:space="1" w:sz="4" w:val="single"/>
          <w:left w:color="000000" w:space="4" w:sz="4" w:val="single"/>
          <w:bottom w:color="000000" w:space="1" w:sz="4" w:val="single"/>
          <w:right w:color="000000" w:space="4" w:sz="4" w:val="single"/>
        </w:pBdr>
        <w:spacing w:after="0"/>
        <w:jc w:val="center"/>
        <w:rPr>
          <w:rFonts w:ascii="Times New Roman" w:cs="Times New Roman" w:eastAsia="Times New Roman" w:hAnsi="Times New Roman"/>
          <w:sz w:val="36"/>
          <w:szCs w:val="36"/>
        </w:rPr>
      </w:pPr>
      <w:r>
        <w:rPr>
          <w:rFonts w:ascii="Times New Roman" w:cs="Times New Roman" w:eastAsia="Times New Roman" w:hAnsi="Times New Roman"/>
          <w:b/>
          <w:sz w:val="36"/>
          <w:szCs w:val="36"/>
        </w:rPr>
        <w:t>GROUPE</w:t>
      </w:r>
      <w:r>
        <w:rPr>
          <w:rFonts w:ascii="Times New Roman" w:cs="Times New Roman" w:eastAsia="Times New Roman" w:hAnsi="Times New Roman"/>
          <w:b/>
          <w:sz w:val="36"/>
          <w:szCs w:val="36"/>
        </w:rPr>
        <w:t xml:space="preserve"> MUTUALITÉ DE LA RÉUNION</w:t>
      </w:r>
    </w:p>
    <w:p w:rsidR="004D64CE" w:rsidRDefault="004D64CE">
      <w:pPr>
        <w:widowControl w:val="0"/>
        <w:spacing w:after="0"/>
        <w:rPr>
          <w:rFonts w:ascii="Times New Roman" w:cs="Times New Roman" w:eastAsia="Times New Roman" w:hAnsi="Times New Roman"/>
          <w:color w:val="000000"/>
          <w:sz w:val="16"/>
          <w:szCs w:val="16"/>
        </w:rPr>
      </w:pPr>
    </w:p>
    <w:p w:rsidR="004D64CE" w:rsidRDefault="004D64CE">
      <w:pPr>
        <w:widowControl w:val="0"/>
        <w:spacing w:after="0"/>
        <w:rPr>
          <w:rFonts w:ascii="Times New Roman" w:cs="Times New Roman" w:eastAsia="Times New Roman" w:hAnsi="Times New Roman"/>
          <w:color w:val="666699"/>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Entre </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Le </w:t>
      </w:r>
      <w:r>
        <w:rPr>
          <w:rFonts w:ascii="Times New Roman" w:cs="Times New Roman" w:eastAsia="Times New Roman" w:hAnsi="Times New Roman"/>
          <w:sz w:val="24"/>
          <w:szCs w:val="24"/>
        </w:rPr>
        <w:t>Groupe</w:t>
      </w:r>
      <w:r>
        <w:rPr>
          <w:rFonts w:ascii="Times New Roman" w:cs="Times New Roman" w:eastAsia="Times New Roman" w:hAnsi="Times New Roman"/>
          <w:color w:val="000000"/>
          <w:sz w:val="24"/>
          <w:szCs w:val="24"/>
        </w:rPr>
        <w:t xml:space="preserve"> Mutualité de la Réunion, représenté par Monsieur</w:t>
      </w:r>
      <w:r w:rsidRPr="00BF47A6">
        <w:rPr>
          <w:rFonts w:ascii="Times New Roman" w:cs="Times New Roman" w:eastAsia="Times New Roman" w:hAnsi="Times New Roman"/>
          <w:b/>
          <w:sz w:val="24"/>
          <w:szCs w:val="24"/>
        </w:rPr>
        <w:t xml:space="preserve"> </w:t>
      </w:r>
      <w:r w:rsidRPr="00BF47A6">
        <w:rPr>
          <w:rFonts w:ascii="Times New Roman" w:cs="Times New Roman" w:eastAsia="Times New Roman" w:hAnsi="Times New Roman"/>
          <w:b/>
          <w:sz w:val="24"/>
          <w:szCs w:val="24"/>
        </w:rPr>
        <w:t>XXXXXXXXXXXXX</w:t>
      </w:r>
      <w:r>
        <w:rPr>
          <w:rFonts w:ascii="Times New Roman" w:cs="Times New Roman" w:eastAsia="Times New Roman" w:hAnsi="Times New Roman"/>
          <w:color w:val="000000"/>
          <w:sz w:val="24"/>
          <w:szCs w:val="24"/>
        </w:rPr>
        <w:t xml:space="preserve">, Directeur Général de la Mutualité de la Réunion et de la Mutualité de la Réunion SSAM, assisté de </w:t>
      </w:r>
      <w:proofErr w:type="gramStart"/>
      <w:r>
        <w:rPr>
          <w:rFonts w:ascii="Times New Roman" w:cs="Times New Roman" w:eastAsia="Times New Roman" w:hAnsi="Times New Roman"/>
          <w:color w:val="000000"/>
          <w:sz w:val="24"/>
          <w:szCs w:val="24"/>
        </w:rPr>
        <w:t xml:space="preserve">Monsieur </w:t>
      </w:r>
      <w:r w:rsidRPr="00BF47A6">
        <w:rPr>
          <w:rFonts w:ascii="Times New Roman" w:cs="Times New Roman" w:eastAsia="Times New Roman" w:hAnsi="Times New Roman"/>
          <w:b/>
          <w:sz w:val="24"/>
          <w:szCs w:val="24"/>
        </w:rPr>
        <w:t xml:space="preserve"> </w:t>
      </w:r>
      <w:r w:rsidRPr="00BF47A6">
        <w:rPr>
          <w:rFonts w:ascii="Times New Roman" w:cs="Times New Roman" w:eastAsia="Times New Roman" w:hAnsi="Times New Roman"/>
          <w:b/>
          <w:sz w:val="24"/>
          <w:szCs w:val="24"/>
        </w:rPr>
        <w:t>XXXXXXXXXXXXX</w:t>
      </w:r>
      <w:proofErr w:type="gramEnd"/>
      <w:r>
        <w:rPr>
          <w:rFonts w:ascii="Times New Roman" w:cs="Times New Roman" w:eastAsia="Times New Roman" w:hAnsi="Times New Roman"/>
          <w:color w:val="000000"/>
          <w:sz w:val="24"/>
          <w:szCs w:val="24"/>
        </w:rPr>
        <w:t>, Responsable des Ressources Humaines,</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Ci-après dénommé « Le G</w:t>
      </w:r>
      <w:r>
        <w:rPr>
          <w:rFonts w:ascii="Times New Roman" w:cs="Times New Roman" w:eastAsia="Times New Roman" w:hAnsi="Times New Roman"/>
          <w:color w:val="000000"/>
          <w:sz w:val="24"/>
          <w:szCs w:val="24"/>
        </w:rPr>
        <w:t>roupe »</w:t>
      </w:r>
    </w:p>
    <w:p w:rsidR="004D64CE" w:rsidRDefault="00BF47A6">
      <w:pPr>
        <w:pBdr>
          <w:top w:val="nil"/>
          <w:left w:val="nil"/>
          <w:bottom w:val="nil"/>
          <w:right w:val="nil"/>
          <w:between w:val="nil"/>
        </w:pBdr>
        <w:spacing w:after="0"/>
        <w:jc w:val="right"/>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D’une part,</w:t>
      </w:r>
    </w:p>
    <w:p w:rsidR="004D64CE" w:rsidRDefault="00BF47A6">
      <w:pPr>
        <w:pBdr>
          <w:top w:val="nil"/>
          <w:left w:val="nil"/>
          <w:bottom w:val="nil"/>
          <w:right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Et</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Les organisations syndicales représentatives, représentées par :</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Monsieur </w:t>
      </w:r>
      <w:r w:rsidRPr="00BF47A6">
        <w:rPr>
          <w:rFonts w:ascii="Times New Roman" w:cs="Times New Roman" w:eastAsia="Times New Roman" w:hAnsi="Times New Roman"/>
          <w:b/>
          <w:sz w:val="24"/>
          <w:szCs w:val="24"/>
        </w:rPr>
        <w:t>XXXXXXXXXXXXX</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pour FO</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Madame </w:t>
      </w:r>
      <w:r w:rsidRPr="00BF47A6">
        <w:rPr>
          <w:rFonts w:ascii="Times New Roman" w:cs="Times New Roman" w:eastAsia="Times New Roman" w:hAnsi="Times New Roman"/>
          <w:b/>
          <w:sz w:val="24"/>
          <w:szCs w:val="24"/>
        </w:rPr>
        <w:t>XXXXXXXXXXXXX</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pour la CFE-CGC</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Madame </w:t>
      </w:r>
      <w:r w:rsidRPr="00BF47A6">
        <w:rPr>
          <w:rFonts w:ascii="Times New Roman" w:cs="Times New Roman" w:eastAsia="Times New Roman" w:hAnsi="Times New Roman"/>
          <w:b/>
          <w:sz w:val="24"/>
          <w:szCs w:val="24"/>
        </w:rPr>
        <w:t>XXXXXXXXXXXXX</w:t>
      </w:r>
      <w:r>
        <w:rPr>
          <w:rFonts w:ascii="Times New Roman" w:cs="Times New Roman" w:eastAsia="Times New Roman" w:hAnsi="Times New Roman"/>
          <w:color w:val="000000"/>
          <w:sz w:val="24"/>
          <w:szCs w:val="24"/>
        </w:rPr>
        <w:t xml:space="preserve"> </w:t>
      </w:r>
      <w:bookmarkStart w:id="0" w:name="_GoBack"/>
      <w:bookmarkEnd w:id="0"/>
      <w:r>
        <w:rPr>
          <w:rFonts w:ascii="Times New Roman" w:cs="Times New Roman" w:eastAsia="Times New Roman" w:hAnsi="Times New Roman"/>
          <w:color w:val="000000"/>
          <w:sz w:val="24"/>
          <w:szCs w:val="24"/>
        </w:rPr>
        <w:t>pour la CFTC-UR</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right"/>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D’autre part,</w:t>
      </w:r>
    </w:p>
    <w:p w:rsidR="004D64CE" w:rsidRDefault="004D64CE">
      <w:pPr>
        <w:widowControl w:val="0"/>
        <w:spacing w:after="0"/>
        <w:rPr>
          <w:rFonts w:ascii="Times New Roman" w:cs="Times New Roman" w:eastAsia="Times New Roman" w:hAnsi="Times New Roman"/>
          <w:sz w:val="24"/>
          <w:szCs w:val="24"/>
        </w:rPr>
      </w:pPr>
    </w:p>
    <w:p w:rsidR="004D64CE" w:rsidRDefault="004D64CE">
      <w:pPr>
        <w:widowControl w:val="0"/>
        <w:pBdr>
          <w:top w:color="000000" w:space="1" w:sz="4" w:val="single"/>
        </w:pBdr>
        <w:spacing w:after="0"/>
        <w:rPr>
          <w:rFonts w:ascii="Times New Roman" w:cs="Times New Roman" w:eastAsia="Times New Roman" w:hAnsi="Times New Roman"/>
          <w:sz w:val="24"/>
          <w:szCs w:val="24"/>
        </w:rPr>
      </w:pPr>
    </w:p>
    <w:p w:rsidR="004D64CE" w:rsidRDefault="00BF47A6">
      <w:pPr>
        <w:widowControl w:val="0"/>
        <w:pBdr>
          <w:top w:color="000000" w:space="1" w:sz="4" w:val="single"/>
        </w:pBdr>
        <w:spacing w:after="0"/>
        <w:jc w:val="center"/>
        <w:rPr>
          <w:rFonts w:ascii="Times New Roman" w:cs="Times New Roman" w:eastAsia="Times New Roman" w:hAnsi="Times New Roman"/>
          <w:sz w:val="28"/>
          <w:szCs w:val="28"/>
          <w:u w:val="single"/>
        </w:rPr>
      </w:pPr>
      <w:r>
        <w:rPr>
          <w:rFonts w:ascii="Times New Roman" w:cs="Times New Roman" w:eastAsia="Times New Roman" w:hAnsi="Times New Roman"/>
          <w:b/>
          <w:sz w:val="28"/>
          <w:szCs w:val="28"/>
          <w:u w:val="single"/>
        </w:rPr>
        <w:t>PREAMBULE</w:t>
      </w:r>
    </w:p>
    <w:p w:rsidR="004D64CE" w:rsidRDefault="004D64CE">
      <w:pPr>
        <w:widowControl w:val="0"/>
        <w:pBdr>
          <w:top w:color="000000" w:space="1" w:sz="4" w:val="single"/>
        </w:pBdr>
        <w:spacing w:after="0"/>
        <w:jc w:val="center"/>
        <w:rPr>
          <w:rFonts w:ascii="Times New Roman" w:cs="Times New Roman" w:eastAsia="Times New Roman" w:hAnsi="Times New Roman"/>
          <w:sz w:val="24"/>
          <w:szCs w:val="24"/>
          <w:u w:val="single"/>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Conformément à l'article L. 2242-1 et suivants du code du travail, une négociation a été engagée au sein du </w:t>
      </w:r>
      <w:r>
        <w:rPr>
          <w:rFonts w:ascii="Times New Roman" w:cs="Times New Roman" w:eastAsia="Times New Roman" w:hAnsi="Times New Roman"/>
          <w:sz w:val="24"/>
          <w:szCs w:val="24"/>
        </w:rPr>
        <w:t>Groupe</w:t>
      </w:r>
      <w:r>
        <w:rPr>
          <w:rFonts w:ascii="Times New Roman" w:cs="Times New Roman" w:eastAsia="Times New Roman" w:hAnsi="Times New Roman"/>
          <w:sz w:val="24"/>
          <w:szCs w:val="24"/>
        </w:rPr>
        <w:t xml:space="preserve"> Mutualité de la Réunion sur les thèmes suivants :</w:t>
      </w:r>
    </w:p>
    <w:p w:rsidR="004D64CE" w:rsidRDefault="004D64CE">
      <w:p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p>
    <w:p w:rsidR="004D64CE" w:rsidRDefault="00BF47A6">
      <w:pPr>
        <w:numPr>
          <w:ilvl w:val="0"/>
          <w:numId w:val="2"/>
        </w:numPr>
        <w:pBdr>
          <w:top w:val="nil"/>
          <w:left w:val="nil"/>
          <w:bottom w:val="nil"/>
          <w:right w:val="nil"/>
          <w:between w:val="nil"/>
        </w:pBdr>
        <w:tabs>
          <w:tab w:pos="567" w:val="left"/>
        </w:tabs>
        <w:spacing w:after="120"/>
        <w:ind w:firstLine="0" w:left="284"/>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 xml:space="preserve"> La rémunération, le temps de travail et le partage de la valeur ajoutée :</w:t>
      </w:r>
    </w:p>
    <w:p w:rsidR="004D64CE" w:rsidRDefault="00BF47A6">
      <w:pPr>
        <w:numPr>
          <w:ilvl w:val="0"/>
          <w:numId w:val="3"/>
        </w:numPr>
        <w:spacing w:after="0"/>
        <w:ind w:hanging="283" w:left="1843"/>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Les salaires effectifs </w:t>
      </w:r>
    </w:p>
    <w:p w:rsidR="004D64CE" w:rsidRDefault="00BF47A6">
      <w:pPr>
        <w:numPr>
          <w:ilvl w:val="0"/>
          <w:numId w:val="3"/>
        </w:numPr>
        <w:spacing w:after="0"/>
        <w:ind w:hanging="283" w:left="1843"/>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 durée effective et organisation du temps de travail (y compris temps partiels)</w:t>
      </w:r>
    </w:p>
    <w:p w:rsidR="004D64CE" w:rsidRDefault="00BF47A6">
      <w:pPr>
        <w:numPr>
          <w:ilvl w:val="0"/>
          <w:numId w:val="3"/>
        </w:numPr>
        <w:spacing w:after="0"/>
        <w:ind w:hanging="283" w:left="1843"/>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L’intéressement, la participation et l’épargne salariale </w:t>
      </w:r>
    </w:p>
    <w:p w:rsidR="004D64CE" w:rsidRDefault="00BF47A6">
      <w:pPr>
        <w:numPr>
          <w:ilvl w:val="0"/>
          <w:numId w:val="3"/>
        </w:numPr>
        <w:spacing w:after="0"/>
        <w:ind w:hanging="283" w:left="1843"/>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 suivi de la mise en œuvre des mesures supprimant les écarts de rémunération et les différ</w:t>
      </w:r>
      <w:r>
        <w:rPr>
          <w:rFonts w:ascii="Times New Roman" w:cs="Times New Roman" w:eastAsia="Times New Roman" w:hAnsi="Times New Roman"/>
          <w:sz w:val="24"/>
          <w:szCs w:val="24"/>
        </w:rPr>
        <w:t>ences de déroulement de carrière entre les femmes et les hommes</w:t>
      </w:r>
    </w:p>
    <w:p w:rsidR="004D64CE" w:rsidRDefault="00BF47A6">
      <w:pPr>
        <w:numPr>
          <w:ilvl w:val="0"/>
          <w:numId w:val="1"/>
        </w:numPr>
        <w:spacing w:after="0" w:before="120"/>
        <w:jc w:val="both"/>
        <w:rPr>
          <w:rFonts w:ascii="Times New Roman" w:cs="Times New Roman" w:eastAsia="Times New Roman" w:hAnsi="Times New Roman"/>
          <w:sz w:val="24"/>
          <w:szCs w:val="24"/>
        </w:rPr>
      </w:pPr>
      <w:r>
        <w:rPr>
          <w:rFonts w:ascii="Times New Roman" w:cs="Times New Roman" w:eastAsia="Times New Roman" w:hAnsi="Times New Roman"/>
          <w:b/>
          <w:color w:val="000000"/>
          <w:sz w:val="24"/>
          <w:szCs w:val="24"/>
        </w:rPr>
        <w:t>L’égalité professionnelle femmes/hommes et la qualité de vie au travail :</w:t>
      </w:r>
    </w:p>
    <w:p w:rsidR="004D64CE" w:rsidRDefault="00BF47A6">
      <w:pPr>
        <w:numPr>
          <w:ilvl w:val="0"/>
          <w:numId w:val="4"/>
        </w:num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L’articulation entre la vie personnelle et la vie professionnelle</w:t>
      </w:r>
    </w:p>
    <w:p w:rsidR="004D64CE" w:rsidRDefault="00BF47A6">
      <w:pPr>
        <w:numPr>
          <w:ilvl w:val="0"/>
          <w:numId w:val="4"/>
        </w:num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Les objectifs et les mesures permettant d’atteindre l’égalité professionnelle entre les femmes et les hommes </w:t>
      </w:r>
    </w:p>
    <w:p w:rsidR="004D64CE" w:rsidRDefault="00BF47A6">
      <w:pPr>
        <w:numPr>
          <w:ilvl w:val="0"/>
          <w:numId w:val="4"/>
        </w:num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lastRenderedPageBreak/>
        <w:t>Les mesures permettant de lutter contre les discriminations en matière de recrutement, d’emploi et d’accès à la formation professionnelle</w:t>
      </w:r>
    </w:p>
    <w:p w:rsidR="004D64CE" w:rsidRDefault="004D64CE">
      <w:p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p>
    <w:p w:rsidR="004D64CE" w:rsidRDefault="00BF47A6">
      <w:pPr>
        <w:numPr>
          <w:ilvl w:val="0"/>
          <w:numId w:val="4"/>
        </w:num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Les mes</w:t>
      </w:r>
      <w:r>
        <w:rPr>
          <w:rFonts w:ascii="Times New Roman" w:cs="Times New Roman" w:eastAsia="Times New Roman" w:hAnsi="Times New Roman"/>
          <w:color w:val="000000"/>
          <w:sz w:val="24"/>
          <w:szCs w:val="24"/>
        </w:rPr>
        <w:t>ures relatives à l’insertion professionnelle et au maintien de l’emploi des travailleurs handicapés notamment les conditions d'accès à l'emploi, à la formation et à la promotion professionnelle, les conditions de travail et d'emploi et les actions de sensi</w:t>
      </w:r>
      <w:r>
        <w:rPr>
          <w:rFonts w:ascii="Times New Roman" w:cs="Times New Roman" w:eastAsia="Times New Roman" w:hAnsi="Times New Roman"/>
          <w:color w:val="000000"/>
          <w:sz w:val="24"/>
          <w:szCs w:val="24"/>
        </w:rPr>
        <w:t xml:space="preserve">bilisation de l'ensemble du personnel au handicap ; </w:t>
      </w:r>
    </w:p>
    <w:p w:rsidR="004D64CE" w:rsidRDefault="004D64CE">
      <w:p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p>
    <w:p w:rsidR="004D64CE" w:rsidRDefault="00BF47A6">
      <w:pPr>
        <w:numPr>
          <w:ilvl w:val="0"/>
          <w:numId w:val="4"/>
        </w:num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L’exercice du droit d’expression directe et collective des salariés sur leurs conditions de travail notamment au moyen des outils numériques disponibles dans l’entreprise ; </w:t>
      </w:r>
    </w:p>
    <w:p w:rsidR="004D64CE" w:rsidRDefault="004D64CE">
      <w:p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p>
    <w:p w:rsidR="004D64CE" w:rsidRDefault="00BF47A6">
      <w:pPr>
        <w:numPr>
          <w:ilvl w:val="0"/>
          <w:numId w:val="4"/>
        </w:numPr>
        <w:pBdr>
          <w:top w:val="nil"/>
          <w:left w:val="nil"/>
          <w:bottom w:val="nil"/>
          <w:right w:val="nil"/>
          <w:between w:val="nil"/>
        </w:pBdr>
        <w:spacing w:after="0"/>
        <w:ind w:left="1843"/>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Les modalités du plein exer</w:t>
      </w:r>
      <w:r>
        <w:rPr>
          <w:rFonts w:ascii="Times New Roman" w:cs="Times New Roman" w:eastAsia="Times New Roman" w:hAnsi="Times New Roman"/>
          <w:color w:val="000000"/>
          <w:sz w:val="24"/>
          <w:szCs w:val="24"/>
        </w:rPr>
        <w:t>cice par le salarié de son droit à la déconnexion et la mise en place par l'entreprise de dispositifs de régulation de l'utilisation des outils numériques, en vue d'assurer le respect des temps de repos et de congé ainsi que de la vie personnelle et famili</w:t>
      </w:r>
      <w:r>
        <w:rPr>
          <w:rFonts w:ascii="Times New Roman" w:cs="Times New Roman" w:eastAsia="Times New Roman" w:hAnsi="Times New Roman"/>
          <w:color w:val="000000"/>
          <w:sz w:val="24"/>
          <w:szCs w:val="24"/>
        </w:rPr>
        <w:t xml:space="preserve">ale. </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Dans ce cadre, la Direction et l’organisation syndicale représentative se sont rencontrées selon le calendrier suivant :</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w:t>
      </w:r>
      <w:r>
        <w:rPr>
          <w:rFonts w:ascii="Times New Roman" w:cs="Times New Roman" w:eastAsia="Times New Roman" w:hAnsi="Times New Roman"/>
          <w:sz w:val="24"/>
          <w:szCs w:val="24"/>
          <w:vertAlign w:val="superscript"/>
        </w:rPr>
        <w:t>ère</w:t>
      </w:r>
      <w:r>
        <w:rPr>
          <w:rFonts w:ascii="Times New Roman" w:cs="Times New Roman" w:eastAsia="Times New Roman" w:hAnsi="Times New Roman"/>
          <w:sz w:val="24"/>
          <w:szCs w:val="24"/>
        </w:rPr>
        <w:t xml:space="preserve"> réunion : 25 novembre 2022</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w:t>
      </w:r>
      <w:r>
        <w:rPr>
          <w:rFonts w:ascii="Times New Roman" w:cs="Times New Roman" w:eastAsia="Times New Roman" w:hAnsi="Times New Roman"/>
          <w:sz w:val="24"/>
          <w:szCs w:val="24"/>
          <w:vertAlign w:val="superscript"/>
        </w:rPr>
        <w:t>ème</w:t>
      </w:r>
      <w:r>
        <w:rPr>
          <w:rFonts w:ascii="Times New Roman" w:cs="Times New Roman" w:eastAsia="Times New Roman" w:hAnsi="Times New Roman"/>
          <w:sz w:val="24"/>
          <w:szCs w:val="24"/>
        </w:rPr>
        <w:t xml:space="preserve"> réunion : 30 novembre 2022</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w:t>
      </w:r>
      <w:r>
        <w:rPr>
          <w:rFonts w:ascii="Times New Roman" w:cs="Times New Roman" w:eastAsia="Times New Roman" w:hAnsi="Times New Roman"/>
          <w:sz w:val="24"/>
          <w:szCs w:val="24"/>
          <w:vertAlign w:val="superscript"/>
        </w:rPr>
        <w:t>ème</w:t>
      </w:r>
      <w:r>
        <w:rPr>
          <w:rFonts w:ascii="Times New Roman" w:cs="Times New Roman" w:eastAsia="Times New Roman" w:hAnsi="Times New Roman"/>
          <w:sz w:val="24"/>
          <w:szCs w:val="24"/>
        </w:rPr>
        <w:t xml:space="preserve"> réunion : 30 décembre 2022</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w:t>
      </w:r>
      <w:r>
        <w:rPr>
          <w:rFonts w:ascii="Times New Roman" w:cs="Times New Roman" w:eastAsia="Times New Roman" w:hAnsi="Times New Roman"/>
          <w:sz w:val="24"/>
          <w:szCs w:val="24"/>
          <w:vertAlign w:val="superscript"/>
        </w:rPr>
        <w:t>ème</w:t>
      </w:r>
      <w:r>
        <w:rPr>
          <w:rFonts w:ascii="Times New Roman" w:cs="Times New Roman" w:eastAsia="Times New Roman" w:hAnsi="Times New Roman"/>
          <w:sz w:val="24"/>
          <w:szCs w:val="24"/>
        </w:rPr>
        <w:t xml:space="preserve"> réunion : 06 janvier 2023</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5</w:t>
      </w:r>
      <w:r>
        <w:rPr>
          <w:rFonts w:ascii="Times New Roman" w:cs="Times New Roman" w:eastAsia="Times New Roman" w:hAnsi="Times New Roman"/>
          <w:sz w:val="24"/>
          <w:szCs w:val="24"/>
          <w:vertAlign w:val="superscript"/>
        </w:rPr>
        <w:t>ème</w:t>
      </w:r>
      <w:r>
        <w:rPr>
          <w:rFonts w:ascii="Times New Roman" w:cs="Times New Roman" w:eastAsia="Times New Roman" w:hAnsi="Times New Roman"/>
          <w:sz w:val="24"/>
          <w:szCs w:val="24"/>
        </w:rPr>
        <w:t xml:space="preserve"> réunion : 25 janvier 2023</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6</w:t>
      </w:r>
      <w:r>
        <w:rPr>
          <w:rFonts w:ascii="Times New Roman" w:cs="Times New Roman" w:eastAsia="Times New Roman" w:hAnsi="Times New Roman"/>
          <w:sz w:val="24"/>
          <w:szCs w:val="24"/>
          <w:vertAlign w:val="superscript"/>
        </w:rPr>
        <w:t>ème</w:t>
      </w:r>
      <w:r>
        <w:rPr>
          <w:rFonts w:ascii="Times New Roman" w:cs="Times New Roman" w:eastAsia="Times New Roman" w:hAnsi="Times New Roman"/>
          <w:sz w:val="24"/>
          <w:szCs w:val="24"/>
        </w:rPr>
        <w:t xml:space="preserve"> réunion : 26 janvier 2023</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Durant ces réunions, les informations utiles ont été présentées par les représentants du Groupe aux organisations syndicales représentatives et l’ensemble des thèmes de la négociation a pu être </w:t>
      </w:r>
      <w:r>
        <w:rPr>
          <w:rFonts w:ascii="Times New Roman" w:cs="Times New Roman" w:eastAsia="Times New Roman" w:hAnsi="Times New Roman"/>
          <w:sz w:val="24"/>
          <w:szCs w:val="24"/>
        </w:rPr>
        <w:t>abordé. Au sortir de ces discussions et échanges, aux vues des propositions faites par la Direction et des revendications des organisations syndicales représentatives, il a été convenu, à l’issue de la dernière réunion, l’application des dispositions ci-ap</w:t>
      </w:r>
      <w:r>
        <w:rPr>
          <w:rFonts w:ascii="Times New Roman" w:cs="Times New Roman" w:eastAsia="Times New Roman" w:hAnsi="Times New Roman"/>
          <w:sz w:val="24"/>
          <w:szCs w:val="24"/>
        </w:rPr>
        <w:t>rès :</w:t>
      </w:r>
    </w:p>
    <w:p w:rsidR="004D64CE" w:rsidRDefault="004D64CE">
      <w:pPr>
        <w:widowControl w:val="0"/>
        <w:spacing w:after="0"/>
        <w:rPr>
          <w:rFonts w:ascii="Times New Roman" w:cs="Times New Roman" w:eastAsia="Times New Roman" w:hAnsi="Times New Roman"/>
          <w:sz w:val="24"/>
          <w:szCs w:val="24"/>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Article 1</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Champ d’application de l’accord</w:t>
      </w:r>
    </w:p>
    <w:p w:rsidR="004D64CE" w:rsidRDefault="004D64CE">
      <w:pPr>
        <w:widowControl w:val="0"/>
        <w:spacing w:after="0"/>
        <w:ind w:firstLine="720" w:left="360"/>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 présent accord s’applique aux salariés du </w:t>
      </w:r>
      <w:r>
        <w:rPr>
          <w:rFonts w:ascii="Times New Roman" w:cs="Times New Roman" w:eastAsia="Times New Roman" w:hAnsi="Times New Roman"/>
          <w:sz w:val="24"/>
          <w:szCs w:val="24"/>
        </w:rPr>
        <w:t>Groupe</w:t>
      </w:r>
      <w:r>
        <w:rPr>
          <w:rFonts w:ascii="Times New Roman" w:cs="Times New Roman" w:eastAsia="Times New Roman" w:hAnsi="Times New Roman"/>
          <w:sz w:val="24"/>
          <w:szCs w:val="24"/>
        </w:rPr>
        <w:t xml:space="preserve"> Mutualité de la Réunion.</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 </w:t>
      </w:r>
      <w:r>
        <w:rPr>
          <w:rFonts w:ascii="Times New Roman" w:cs="Times New Roman" w:eastAsia="Times New Roman" w:hAnsi="Times New Roman"/>
          <w:sz w:val="24"/>
          <w:szCs w:val="24"/>
        </w:rPr>
        <w:t>Groupe</w:t>
      </w:r>
      <w:r>
        <w:rPr>
          <w:rFonts w:ascii="Times New Roman" w:cs="Times New Roman" w:eastAsia="Times New Roman" w:hAnsi="Times New Roman"/>
          <w:sz w:val="24"/>
          <w:szCs w:val="24"/>
        </w:rPr>
        <w:t xml:space="preserve"> Mutualité de la Réunion visé dans le présent accord se compose des entreprises juridiquement indépendantes : </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 Mutua</w:t>
      </w:r>
      <w:r>
        <w:rPr>
          <w:rFonts w:ascii="Times New Roman" w:cs="Times New Roman" w:eastAsia="Times New Roman" w:hAnsi="Times New Roman"/>
          <w:sz w:val="24"/>
          <w:szCs w:val="24"/>
        </w:rPr>
        <w:t>lité de la Réunion, immatriculée sous le numéro de SIREN 321 073 470 ;</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La Mutualité de la Réunion SSAM, immatriculée sous le numéro de SIREN 443 459 615.</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lastRenderedPageBreak/>
        <w:t xml:space="preserve">Ces entreprises ont établi entre elles les liens financiers, économiques et sociaux suivants : </w:t>
      </w: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Liens</w:t>
      </w:r>
      <w:r>
        <w:rPr>
          <w:rFonts w:ascii="Times New Roman" w:cs="Times New Roman" w:eastAsia="Times New Roman" w:hAnsi="Times New Roman"/>
          <w:sz w:val="24"/>
          <w:szCs w:val="24"/>
        </w:rPr>
        <w:t xml:space="preserve"> économique et financiers : </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Une concentration des pouvoirs de direction, avec un même Président et Directeur Général</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Une complémentarité des activités déployées : les entités ont les mêmes clients</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Une politique générale commune aux deux structures</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Une abs</w:t>
      </w:r>
      <w:r>
        <w:rPr>
          <w:rFonts w:ascii="Times New Roman" w:cs="Times New Roman" w:eastAsia="Times New Roman" w:hAnsi="Times New Roman"/>
          <w:sz w:val="24"/>
          <w:szCs w:val="24"/>
        </w:rPr>
        <w:t>ence de concurrence entre elles</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Application d’un même périmètre de consolidation ou de combinaison des comptes</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numPr>
          <w:ilvl w:val="0"/>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Liens sociaux : </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Similarité du statut social et des conditions de travail :</w:t>
      </w:r>
    </w:p>
    <w:p w:rsidR="004D64CE" w:rsidRDefault="00BF47A6">
      <w:pPr>
        <w:widowControl w:val="0"/>
        <w:numPr>
          <w:ilvl w:val="2"/>
          <w:numId w:val="4"/>
        </w:numPr>
        <w:spacing w:after="0"/>
        <w:jc w:val="both"/>
        <w:rPr>
          <w:rFonts w:ascii="Times New Roman" w:cs="Times New Roman" w:eastAsia="Times New Roman" w:hAnsi="Times New Roman"/>
          <w:sz w:val="24"/>
          <w:szCs w:val="24"/>
        </w:rPr>
      </w:pPr>
      <w:proofErr w:type="gramStart"/>
      <w:r>
        <w:rPr>
          <w:rFonts w:ascii="Times New Roman" w:cs="Times New Roman" w:eastAsia="Times New Roman" w:hAnsi="Times New Roman"/>
          <w:sz w:val="24"/>
          <w:szCs w:val="24"/>
        </w:rPr>
        <w:t>mêmes</w:t>
      </w:r>
      <w:proofErr w:type="gramEnd"/>
      <w:r>
        <w:rPr>
          <w:rFonts w:ascii="Times New Roman" w:cs="Times New Roman" w:eastAsia="Times New Roman" w:hAnsi="Times New Roman"/>
          <w:sz w:val="24"/>
          <w:szCs w:val="24"/>
        </w:rPr>
        <w:t xml:space="preserve"> perspectives de travail, politique salariale unique, avantages sociaux identiques et un seul service de paie</w:t>
      </w:r>
    </w:p>
    <w:p w:rsidR="004D64CE" w:rsidRDefault="00BF47A6">
      <w:pPr>
        <w:widowControl w:val="0"/>
        <w:numPr>
          <w:ilvl w:val="2"/>
          <w:numId w:val="4"/>
        </w:numPr>
        <w:spacing w:after="0"/>
        <w:jc w:val="both"/>
        <w:rPr>
          <w:rFonts w:ascii="Times New Roman" w:cs="Times New Roman" w:eastAsia="Times New Roman" w:hAnsi="Times New Roman"/>
          <w:sz w:val="24"/>
          <w:szCs w:val="24"/>
        </w:rPr>
      </w:pPr>
      <w:proofErr w:type="gramStart"/>
      <w:r>
        <w:rPr>
          <w:rFonts w:ascii="Times New Roman" w:cs="Times New Roman" w:eastAsia="Times New Roman" w:hAnsi="Times New Roman"/>
          <w:sz w:val="24"/>
          <w:szCs w:val="24"/>
        </w:rPr>
        <w:t>salariés</w:t>
      </w:r>
      <w:proofErr w:type="gramEnd"/>
      <w:r>
        <w:rPr>
          <w:rFonts w:ascii="Times New Roman" w:cs="Times New Roman" w:eastAsia="Times New Roman" w:hAnsi="Times New Roman"/>
          <w:sz w:val="24"/>
          <w:szCs w:val="24"/>
        </w:rPr>
        <w:t xml:space="preserve"> exerçant les mêmes métiers ou des métiers complémentaires dans des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conditions de travail harmonisées grâce à une gestion unique et c</w:t>
      </w:r>
      <w:r>
        <w:rPr>
          <w:rFonts w:ascii="Times New Roman" w:cs="Times New Roman" w:eastAsia="Times New Roman" w:hAnsi="Times New Roman"/>
          <w:sz w:val="24"/>
          <w:szCs w:val="24"/>
        </w:rPr>
        <w:t>entralisée</w:t>
      </w:r>
    </w:p>
    <w:p w:rsidR="004D64CE" w:rsidRDefault="00BF47A6">
      <w:pPr>
        <w:widowControl w:val="0"/>
        <w:numPr>
          <w:ilvl w:val="2"/>
          <w:numId w:val="4"/>
        </w:numPr>
        <w:spacing w:after="0"/>
        <w:jc w:val="both"/>
        <w:rPr>
          <w:rFonts w:ascii="Times New Roman" w:cs="Times New Roman" w:eastAsia="Times New Roman" w:hAnsi="Times New Roman"/>
          <w:sz w:val="24"/>
          <w:szCs w:val="24"/>
        </w:rPr>
      </w:pPr>
      <w:proofErr w:type="gramStart"/>
      <w:r>
        <w:rPr>
          <w:rFonts w:ascii="Times New Roman" w:cs="Times New Roman" w:eastAsia="Times New Roman" w:hAnsi="Times New Roman"/>
          <w:sz w:val="24"/>
          <w:szCs w:val="24"/>
        </w:rPr>
        <w:t>salariés</w:t>
      </w:r>
      <w:proofErr w:type="gramEnd"/>
      <w:r>
        <w:rPr>
          <w:rFonts w:ascii="Times New Roman" w:cs="Times New Roman" w:eastAsia="Times New Roman" w:hAnsi="Times New Roman"/>
          <w:sz w:val="24"/>
          <w:szCs w:val="24"/>
        </w:rPr>
        <w:t xml:space="preserve"> travaillant dans les mêmes locaux avec un outillage commun et</w:t>
      </w:r>
    </w:p>
    <w:p w:rsidR="004D64CE" w:rsidRDefault="00BF47A6">
      <w:pPr>
        <w:widowControl w:val="0"/>
        <w:spacing w:after="0"/>
        <w:ind w:left="1800"/>
        <w:jc w:val="both"/>
        <w:rPr>
          <w:rFonts w:ascii="Times New Roman" w:cs="Times New Roman" w:eastAsia="Times New Roman" w:hAnsi="Times New Roman"/>
          <w:sz w:val="24"/>
          <w:szCs w:val="24"/>
        </w:rPr>
      </w:pPr>
      <w:proofErr w:type="gramStart"/>
      <w:r>
        <w:rPr>
          <w:rFonts w:ascii="Times New Roman" w:cs="Times New Roman" w:eastAsia="Times New Roman" w:hAnsi="Times New Roman"/>
          <w:sz w:val="24"/>
          <w:szCs w:val="24"/>
        </w:rPr>
        <w:t>passant</w:t>
      </w:r>
      <w:proofErr w:type="gramEnd"/>
      <w:r>
        <w:rPr>
          <w:rFonts w:ascii="Times New Roman" w:cs="Times New Roman" w:eastAsia="Times New Roman" w:hAnsi="Times New Roman"/>
          <w:sz w:val="24"/>
          <w:szCs w:val="24"/>
        </w:rPr>
        <w:t>, selon les besoins, de l'une à l'autre des entités sans autre formalité que des mentions portées sur les bulletins de salaire</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Des accords d’entreprise identiques entr</w:t>
      </w:r>
      <w:r>
        <w:rPr>
          <w:rFonts w:ascii="Times New Roman" w:cs="Times New Roman" w:eastAsia="Times New Roman" w:hAnsi="Times New Roman"/>
          <w:sz w:val="24"/>
          <w:szCs w:val="24"/>
        </w:rPr>
        <w:t>e les deux structures (ex : Accord de Participation)</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Une même convention collective (IDCC 2128)</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Une politique salariale et sociale unique, avec des avantages identiques </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Une permutabilité des salariés d’une société à l’autre </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Une gestion du personnel uniqu</w:t>
      </w:r>
      <w:r>
        <w:rPr>
          <w:rFonts w:ascii="Times New Roman" w:cs="Times New Roman" w:eastAsia="Times New Roman" w:hAnsi="Times New Roman"/>
          <w:sz w:val="24"/>
          <w:szCs w:val="24"/>
        </w:rPr>
        <w:t>e et centralisée, relevant d'un responsable des ressources humaines unique et étant soumis à un même règlement intérieur et à une même convention collective</w:t>
      </w:r>
    </w:p>
    <w:p w:rsidR="004D64CE" w:rsidRDefault="00BF47A6">
      <w:pPr>
        <w:widowControl w:val="0"/>
        <w:numPr>
          <w:ilvl w:val="1"/>
          <w:numId w:val="4"/>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Des conditions de travail régies par une direction commune.</w:t>
      </w:r>
    </w:p>
    <w:p w:rsidR="004D64CE" w:rsidRDefault="004D64CE">
      <w:pPr>
        <w:widowControl w:val="0"/>
        <w:spacing w:after="0"/>
        <w:jc w:val="center"/>
        <w:rPr>
          <w:rFonts w:ascii="Times New Roman" w:cs="Times New Roman" w:eastAsia="Times New Roman" w:hAnsi="Times New Roman"/>
          <w:sz w:val="32"/>
          <w:szCs w:val="32"/>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Article 2</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Contexte des négociations</w:t>
      </w:r>
    </w:p>
    <w:p w:rsidR="004D64CE" w:rsidRDefault="004D64CE">
      <w:pPr>
        <w:widowControl w:val="0"/>
        <w:spacing w:after="0"/>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w:t>
      </w:r>
      <w:r>
        <w:rPr>
          <w:rFonts w:ascii="Times New Roman" w:cs="Times New Roman" w:eastAsia="Times New Roman" w:hAnsi="Times New Roman"/>
          <w:sz w:val="24"/>
          <w:szCs w:val="24"/>
        </w:rPr>
        <w:t>e Groupe et les organisations syndicales tiennent à rappeler le contexte économique dans lequel s’ouvrent ces négociations annuelles 202</w:t>
      </w:r>
      <w:r>
        <w:rPr>
          <w:rFonts w:ascii="Times New Roman" w:cs="Times New Roman" w:eastAsia="Times New Roman" w:hAnsi="Times New Roman"/>
          <w:sz w:val="24"/>
          <w:szCs w:val="24"/>
        </w:rPr>
        <w:t>3</w:t>
      </w:r>
      <w:r>
        <w:rPr>
          <w:rFonts w:ascii="Times New Roman" w:cs="Times New Roman" w:eastAsia="Times New Roman" w:hAnsi="Times New Roman"/>
          <w:sz w:val="24"/>
          <w:szCs w:val="24"/>
        </w:rPr>
        <w:t> :</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La crise sanitaire liée à la Covid-19 a continué d’impacter la vie des collaborateurs et l’organisation du travail </w:t>
      </w:r>
      <w:r>
        <w:rPr>
          <w:rFonts w:ascii="Times New Roman" w:cs="Times New Roman" w:eastAsia="Times New Roman" w:hAnsi="Times New Roman"/>
          <w:sz w:val="24"/>
          <w:szCs w:val="24"/>
        </w:rPr>
        <w:t>en début d’année 2022, avec une hausse des cas positifs les 2 premiers mois de l’année.</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L’indice des prix à la consommation des ménages sur l’île de la Réunion a fortement augmenté en 2022. En effet, selon le dernier indice de l’INSEE réalisé en octobre 2022, sur un an, les prix </w:t>
      </w:r>
      <w:r>
        <w:rPr>
          <w:rFonts w:ascii="Times New Roman" w:cs="Times New Roman" w:eastAsia="Times New Roman" w:hAnsi="Times New Roman"/>
          <w:sz w:val="24"/>
          <w:szCs w:val="24"/>
        </w:rPr>
        <w:lastRenderedPageBreak/>
        <w:t xml:space="preserve">augmentent de 3,7% à La Réunion </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+6,2% en France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Hors Mayotte).</w:t>
      </w:r>
      <w:r>
        <w:rPr>
          <w:rFonts w:ascii="Times New Roman" w:cs="Times New Roman" w:eastAsia="Times New Roman" w:hAnsi="Times New Roman"/>
          <w:sz w:val="24"/>
          <w:szCs w:val="24"/>
        </w:rPr>
        <w:t xml:space="preserve"> Cette hausse des prix est notamment due à la forte augmentation des prix de l’alimentation (+ 7,3 %).</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Il est également à noter un contexte inédit en 2022 avec plusieurs augmentations du salaire minimum interprofessionnel de croissance (Smic) passant ains</w:t>
      </w:r>
      <w:r>
        <w:rPr>
          <w:rFonts w:ascii="Times New Roman" w:cs="Times New Roman" w:eastAsia="Times New Roman" w:hAnsi="Times New Roman"/>
          <w:sz w:val="24"/>
          <w:szCs w:val="24"/>
        </w:rPr>
        <w:t>i de 1 589,47 € en décembre 2021 à 1 709,28 € mensuels au 1</w:t>
      </w:r>
      <w:r>
        <w:rPr>
          <w:rFonts w:ascii="Times New Roman" w:cs="Times New Roman" w:eastAsia="Times New Roman" w:hAnsi="Times New Roman"/>
          <w:sz w:val="24"/>
          <w:szCs w:val="24"/>
          <w:vertAlign w:val="superscript"/>
        </w:rPr>
        <w:t>er</w:t>
      </w:r>
      <w:r>
        <w:rPr>
          <w:rFonts w:ascii="Times New Roman" w:cs="Times New Roman" w:eastAsia="Times New Roman" w:hAnsi="Times New Roman"/>
          <w:sz w:val="24"/>
          <w:szCs w:val="24"/>
        </w:rPr>
        <w:t xml:space="preserve"> janvier 2023, sur la base de la durée légale du travail de 35 heures hebdomadaires.</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Les parties s’entendent sur le fait que cette conjoncture inédite a des conséquences à la fois pour les salar</w:t>
      </w:r>
      <w:r>
        <w:rPr>
          <w:rFonts w:ascii="Times New Roman" w:cs="Times New Roman" w:eastAsia="Times New Roman" w:hAnsi="Times New Roman"/>
          <w:sz w:val="24"/>
          <w:szCs w:val="24"/>
        </w:rPr>
        <w:t>iés (inflation, baisse de pouvoir d'achat, etc.) que pour les entreprises (augmentation des prix fournisseurs, des charges courantes, du coût des travaux, des charges liées à l'énergie etc.).</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Dans ce contexte, les délégués syndicaux formulent les demandes</w:t>
      </w:r>
      <w:r>
        <w:rPr>
          <w:rFonts w:ascii="Times New Roman" w:cs="Times New Roman" w:eastAsia="Times New Roman" w:hAnsi="Times New Roman"/>
          <w:sz w:val="24"/>
          <w:szCs w:val="24"/>
        </w:rPr>
        <w:t xml:space="preserve"> suivantes : </w:t>
      </w:r>
    </w:p>
    <w:p w:rsidR="004D64CE" w:rsidRDefault="00BF47A6">
      <w:pPr>
        <w:widowControl w:val="0"/>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Pour la CFE-CGC et la CFTC UR, </w:t>
      </w:r>
      <w:r>
        <w:rPr>
          <w:rFonts w:ascii="Times New Roman" w:cs="Times New Roman" w:eastAsia="Times New Roman" w:hAnsi="Times New Roman"/>
          <w:b/>
          <w:sz w:val="24"/>
          <w:szCs w:val="24"/>
        </w:rPr>
        <w:t xml:space="preserve">et </w:t>
      </w:r>
      <w:r>
        <w:rPr>
          <w:rFonts w:ascii="Times New Roman" w:cs="Times New Roman" w:eastAsia="Times New Roman" w:hAnsi="Times New Roman"/>
          <w:b/>
          <w:sz w:val="24"/>
          <w:szCs w:val="24"/>
        </w:rPr>
        <w:t xml:space="preserve">sollicitent : </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Augmentation générale des salaires de 3% (cadres et non cadres) hors augmentation UGEM, c’est la solution qui permettrait de répondre de manière pérenne à la problématique de pouvoir d’achat des salariés. </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Prise en charge de la mutuelle à 100%</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Passage de l</w:t>
      </w:r>
      <w:r>
        <w:rPr>
          <w:rFonts w:ascii="Times New Roman" w:cs="Times New Roman" w:eastAsia="Times New Roman" w:hAnsi="Times New Roman"/>
          <w:sz w:val="24"/>
          <w:szCs w:val="24"/>
        </w:rPr>
        <w:t xml:space="preserve">a valeur unitaire des titres restaurant de 7€ à 10€ : pas d’évolution depuis 2 ans et revalorisation des exonérations fiscales et </w:t>
      </w:r>
      <w:proofErr w:type="gramStart"/>
      <w:r>
        <w:rPr>
          <w:rFonts w:ascii="Times New Roman" w:cs="Times New Roman" w:eastAsia="Times New Roman" w:hAnsi="Times New Roman"/>
          <w:sz w:val="24"/>
          <w:szCs w:val="24"/>
        </w:rPr>
        <w:t>sociales  de</w:t>
      </w:r>
      <w:proofErr w:type="gramEnd"/>
      <w:r>
        <w:rPr>
          <w:rFonts w:ascii="Times New Roman" w:cs="Times New Roman" w:eastAsia="Times New Roman" w:hAnsi="Times New Roman"/>
          <w:sz w:val="24"/>
          <w:szCs w:val="24"/>
        </w:rPr>
        <w:t xml:space="preserve"> 4% (soit 5.92€ par titre-restaurant ) en 2023</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Revalorisation des primes d’expérience professionnelle acquise pour</w:t>
      </w:r>
      <w:r>
        <w:rPr>
          <w:rFonts w:ascii="Times New Roman" w:cs="Times New Roman" w:eastAsia="Times New Roman" w:hAnsi="Times New Roman"/>
          <w:sz w:val="24"/>
          <w:szCs w:val="24"/>
        </w:rPr>
        <w:t xml:space="preserve"> différencier les salariés faisant preuve de performance tout au long de leur carrière à la Mutualité </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Augmentation du budget des œuvres sociales du CSE à hauteur de 1% de la masse salariale au lieu des 0.8%.</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Maintien de l’enveloppe budgétaire pour la jour</w:t>
      </w:r>
      <w:r>
        <w:rPr>
          <w:rFonts w:ascii="Times New Roman" w:cs="Times New Roman" w:eastAsia="Times New Roman" w:hAnsi="Times New Roman"/>
          <w:sz w:val="24"/>
          <w:szCs w:val="24"/>
        </w:rPr>
        <w:t>née marmailles et revalorisée à 16 000</w:t>
      </w:r>
      <w:proofErr w:type="gramStart"/>
      <w:r>
        <w:rPr>
          <w:rFonts w:ascii="Times New Roman" w:cs="Times New Roman" w:eastAsia="Times New Roman" w:hAnsi="Times New Roman"/>
          <w:sz w:val="24"/>
          <w:szCs w:val="24"/>
        </w:rPr>
        <w:t>€ ,</w:t>
      </w:r>
      <w:proofErr w:type="gramEnd"/>
      <w:r>
        <w:rPr>
          <w:rFonts w:ascii="Times New Roman" w:cs="Times New Roman" w:eastAsia="Times New Roman" w:hAnsi="Times New Roman"/>
          <w:sz w:val="24"/>
          <w:szCs w:val="24"/>
        </w:rPr>
        <w:t xml:space="preserve"> dépense de 15735€ pour 2022.</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Conserver la participation de 100€ pour les frais d’adhésion à un club de sport pour les enfants des collaborateurs avec une augmentation du budget à 7000€ car le budget alloué pour 202</w:t>
      </w:r>
      <w:r>
        <w:rPr>
          <w:rFonts w:ascii="Times New Roman" w:cs="Times New Roman" w:eastAsia="Times New Roman" w:hAnsi="Times New Roman"/>
          <w:sz w:val="24"/>
          <w:szCs w:val="24"/>
        </w:rPr>
        <w:t xml:space="preserve">2 s’est avéré </w:t>
      </w:r>
      <w:proofErr w:type="gramStart"/>
      <w:r>
        <w:rPr>
          <w:rFonts w:ascii="Times New Roman" w:cs="Times New Roman" w:eastAsia="Times New Roman" w:hAnsi="Times New Roman"/>
          <w:sz w:val="24"/>
          <w:szCs w:val="24"/>
        </w:rPr>
        <w:t>insuffisant .Sur</w:t>
      </w:r>
      <w:proofErr w:type="gramEnd"/>
      <w:r>
        <w:rPr>
          <w:rFonts w:ascii="Times New Roman" w:cs="Times New Roman" w:eastAsia="Times New Roman" w:hAnsi="Times New Roman"/>
          <w:sz w:val="24"/>
          <w:szCs w:val="24"/>
        </w:rPr>
        <w:t xml:space="preserve"> ce point nous demandons un engagement de la Mutualité pour la prise en charge des demandes dépassant ce montant de 7000€.</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Attribution d’un budget culturel à hauteur de 50€ par collaborateur.</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Mise en place d’un 13ème mois</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Amél</w:t>
      </w:r>
      <w:r>
        <w:rPr>
          <w:rFonts w:ascii="Times New Roman" w:cs="Times New Roman" w:eastAsia="Times New Roman" w:hAnsi="Times New Roman"/>
          <w:sz w:val="24"/>
          <w:szCs w:val="24"/>
        </w:rPr>
        <w:t>ioration de l’abondement à 100</w:t>
      </w:r>
      <w:proofErr w:type="gramStart"/>
      <w:r>
        <w:rPr>
          <w:rFonts w:ascii="Times New Roman" w:cs="Times New Roman" w:eastAsia="Times New Roman" w:hAnsi="Times New Roman"/>
          <w:sz w:val="24"/>
          <w:szCs w:val="24"/>
        </w:rPr>
        <w:t>%  (</w:t>
      </w:r>
      <w:proofErr w:type="gramEnd"/>
      <w:r>
        <w:rPr>
          <w:rFonts w:ascii="Times New Roman" w:cs="Times New Roman" w:eastAsia="Times New Roman" w:hAnsi="Times New Roman"/>
          <w:sz w:val="24"/>
          <w:szCs w:val="24"/>
        </w:rPr>
        <w:t xml:space="preserve">modification du plafond et du pourcentage reversé) pour les bas salaires soit pour les personnes touchant moins de 2 fois le smic </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Maintien de l’allocation voyage et séjour dans les conditions actuelles </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Octroiement d’une </w:t>
      </w:r>
      <w:r>
        <w:rPr>
          <w:rFonts w:ascii="Times New Roman" w:cs="Times New Roman" w:eastAsia="Times New Roman" w:hAnsi="Times New Roman"/>
          <w:sz w:val="24"/>
          <w:szCs w:val="24"/>
        </w:rPr>
        <w:t>participation pour une adhésion à un club de sport pour les salariés à hauteur de 50</w:t>
      </w:r>
      <w:proofErr w:type="gramStart"/>
      <w:r>
        <w:rPr>
          <w:rFonts w:ascii="Times New Roman" w:cs="Times New Roman" w:eastAsia="Times New Roman" w:hAnsi="Times New Roman"/>
          <w:sz w:val="24"/>
          <w:szCs w:val="24"/>
        </w:rPr>
        <w:t>€ .</w:t>
      </w:r>
      <w:proofErr w:type="gramEnd"/>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Autoriser plus de prélèvements pour le don du sang sur le temps de travail </w:t>
      </w:r>
    </w:p>
    <w:p w:rsidR="004D64CE" w:rsidRDefault="00BF47A6">
      <w:pPr>
        <w:widowControl w:val="0"/>
        <w:numPr>
          <w:ilvl w:val="0"/>
          <w:numId w:val="7"/>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Déménagement du local CSE dans une pièce plus grande et disposant de fenêtres.</w:t>
      </w:r>
    </w:p>
    <w:p w:rsidR="004D64CE" w:rsidRDefault="004D64CE">
      <w:pPr>
        <w:widowControl w:val="0"/>
        <w:numPr>
          <w:ilvl w:val="0"/>
          <w:numId w:val="7"/>
        </w:numPr>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Les demandes</w:t>
      </w:r>
      <w:r>
        <w:rPr>
          <w:rFonts w:ascii="Times New Roman" w:cs="Times New Roman" w:eastAsia="Times New Roman" w:hAnsi="Times New Roman"/>
          <w:b/>
          <w:sz w:val="24"/>
          <w:szCs w:val="24"/>
        </w:rPr>
        <w:t xml:space="preserve"> de la CFE-CGC et de la CFTC UR représentent une charge supplémentaire estimée pour le Groupe de + 1 744 884 €.</w:t>
      </w:r>
    </w:p>
    <w:p w:rsidR="004D64CE" w:rsidRDefault="00BF47A6">
      <w:pPr>
        <w:widowControl w:val="0"/>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lastRenderedPageBreak/>
        <w:t xml:space="preserve">Pour Force ouvrière, </w:t>
      </w:r>
      <w:r>
        <w:rPr>
          <w:rFonts w:ascii="Times New Roman" w:cs="Times New Roman" w:eastAsia="Times New Roman" w:hAnsi="Times New Roman"/>
          <w:b/>
          <w:sz w:val="24"/>
          <w:szCs w:val="24"/>
        </w:rPr>
        <w:t xml:space="preserve">sollicite : </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Prise en charge de la mutuelle à 100%</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Passage de la valeur unitaire des titres restaurant à 10 € </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Revalorisation des primes d’ancienneté (expérience professionnelle acquise)</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Mise en place du compte épargne temps</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Transformer les avantages voyages des collaborateurs en forfait hôteliers à valoir</w:t>
      </w:r>
      <w:r>
        <w:rPr>
          <w:rFonts w:ascii="Times New Roman" w:cs="Times New Roman" w:eastAsia="Times New Roman" w:hAnsi="Times New Roman"/>
          <w:sz w:val="24"/>
          <w:szCs w:val="24"/>
        </w:rPr>
        <w:t xml:space="preserve"> dans le département compte tenu du contexte sanitaire et par solidarité.</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Une journée supplémentaire enfant malade ; remboursement de garde d’assistante maternelle si dépassement du nombre de jour</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Gratuité de l’accès à la salle de sport pour les </w:t>
      </w:r>
      <w:proofErr w:type="gramStart"/>
      <w:r>
        <w:rPr>
          <w:rFonts w:ascii="Times New Roman" w:cs="Times New Roman" w:eastAsia="Times New Roman" w:hAnsi="Times New Roman"/>
          <w:sz w:val="24"/>
          <w:szCs w:val="24"/>
        </w:rPr>
        <w:t xml:space="preserve">employés  </w:t>
      </w:r>
      <w:proofErr w:type="spellStart"/>
      <w:r>
        <w:rPr>
          <w:rFonts w:ascii="Times New Roman" w:cs="Times New Roman" w:eastAsia="Times New Roman" w:hAnsi="Times New Roman"/>
          <w:sz w:val="24"/>
          <w:szCs w:val="24"/>
        </w:rPr>
        <w:t>Mutaforme</w:t>
      </w:r>
      <w:proofErr w:type="spellEnd"/>
      <w:proofErr w:type="gramEnd"/>
      <w:r>
        <w:rPr>
          <w:rFonts w:ascii="Times New Roman" w:cs="Times New Roman" w:eastAsia="Times New Roman" w:hAnsi="Times New Roman"/>
          <w:sz w:val="24"/>
          <w:szCs w:val="24"/>
        </w:rPr>
        <w:t xml:space="preserve">   ou  une allocation 100€  ailleurs</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Prise d'un message nomade par mois </w:t>
      </w:r>
    </w:p>
    <w:p w:rsidR="004D64CE" w:rsidRDefault="00BF47A6">
      <w:pPr>
        <w:widowControl w:val="0"/>
        <w:numPr>
          <w:ilvl w:val="0"/>
          <w:numId w:val="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Compenser la perte du </w:t>
      </w:r>
      <w:proofErr w:type="gramStart"/>
      <w:r>
        <w:rPr>
          <w:rFonts w:ascii="Times New Roman" w:cs="Times New Roman" w:eastAsia="Times New Roman" w:hAnsi="Times New Roman"/>
          <w:sz w:val="24"/>
          <w:szCs w:val="24"/>
        </w:rPr>
        <w:t>pouvoir  d'achat</w:t>
      </w:r>
      <w:proofErr w:type="gramEnd"/>
      <w:r>
        <w:rPr>
          <w:rFonts w:ascii="Times New Roman" w:cs="Times New Roman" w:eastAsia="Times New Roman" w:hAnsi="Times New Roman"/>
          <w:sz w:val="24"/>
          <w:szCs w:val="24"/>
        </w:rPr>
        <w:t xml:space="preserve">  ( prix à la consommation +6.2% en 2022) &gt;&gt;Augmentation des salaires de 4%  net</w:t>
      </w:r>
    </w:p>
    <w:p w:rsidR="004D64CE" w:rsidRDefault="004D64CE">
      <w:pPr>
        <w:pBdr>
          <w:top w:val="nil"/>
          <w:left w:val="nil"/>
          <w:bottom w:val="nil"/>
          <w:right w:val="nil"/>
          <w:between w:val="nil"/>
        </w:pBdr>
        <w:spacing w:after="0"/>
        <w:jc w:val="both"/>
        <w:rPr>
          <w:rFonts w:ascii="Times New Roman" w:cs="Times New Roman" w:eastAsia="Times New Roman" w:hAnsi="Times New Roman"/>
          <w:b/>
          <w:sz w:val="24"/>
          <w:szCs w:val="24"/>
          <w:u w:val="single"/>
        </w:rPr>
      </w:pPr>
    </w:p>
    <w:p w:rsidR="004D64CE" w:rsidRDefault="00BF47A6">
      <w:pPr>
        <w:widowControl w:val="0"/>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Les demandes de la CFE-CGC et de la CFTC UR représente</w:t>
      </w:r>
      <w:r>
        <w:rPr>
          <w:rFonts w:ascii="Times New Roman" w:cs="Times New Roman" w:eastAsia="Times New Roman" w:hAnsi="Times New Roman"/>
          <w:b/>
          <w:sz w:val="24"/>
          <w:szCs w:val="24"/>
        </w:rPr>
        <w:t>nt une charge supplémentaire estimée pour le Groupe de + 1 799 117 €.</w:t>
      </w:r>
    </w:p>
    <w:p w:rsidR="004D64CE" w:rsidRDefault="004D64CE">
      <w:pPr>
        <w:widowControl w:val="0"/>
        <w:spacing w:after="0"/>
        <w:jc w:val="both"/>
        <w:rPr>
          <w:rFonts w:ascii="Times New Roman" w:cs="Times New Roman" w:eastAsia="Times New Roman" w:hAnsi="Times New Roman"/>
          <w:b/>
          <w:sz w:val="24"/>
          <w:szCs w:val="24"/>
        </w:rPr>
      </w:pPr>
    </w:p>
    <w:p w:rsidR="004D64CE" w:rsidRDefault="004D64CE">
      <w:pPr>
        <w:widowControl w:val="0"/>
        <w:spacing w:after="0"/>
        <w:jc w:val="both"/>
        <w:rPr>
          <w:rFonts w:ascii="Times New Roman" w:cs="Times New Roman" w:eastAsia="Times New Roman" w:hAnsi="Times New Roman"/>
          <w:b/>
          <w:sz w:val="24"/>
          <w:szCs w:val="24"/>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Article 3</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Sur la rémunération</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Le Groupe tient à rappeler que la politique salariale en vigueur garantit aux salariés une rémunération brute supérieure de 11% en moyenne par rapport aux minima légaux et conventionnels en 2022. Ce niveau de rémunération supérieure est notamment possible </w:t>
      </w:r>
      <w:r>
        <w:rPr>
          <w:rFonts w:ascii="Times New Roman" w:cs="Times New Roman" w:eastAsia="Times New Roman" w:hAnsi="Times New Roman"/>
          <w:color w:val="000000"/>
          <w:sz w:val="24"/>
          <w:szCs w:val="24"/>
        </w:rPr>
        <w:t>du fait du système de rémunération variables en vigueur.</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De plus, les différentes rémunérations accessoires, en sus de la rémunération brute, contribuent à l’amélioration des salaires effectifs : </w:t>
      </w:r>
    </w:p>
    <w:p w:rsidR="004D64CE" w:rsidRDefault="00BF47A6">
      <w:pPr>
        <w:numPr>
          <w:ilvl w:val="0"/>
          <w:numId w:val="4"/>
        </w:num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Titres restaurant avec une valeur faciale de 7 € et une PEC employeur à hauteur de 60% (4.20€)</w:t>
      </w:r>
    </w:p>
    <w:p w:rsidR="004D64CE" w:rsidRDefault="00BF47A6">
      <w:pPr>
        <w:numPr>
          <w:ilvl w:val="0"/>
          <w:numId w:val="4"/>
        </w:num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Mutuelle d’entreprise : PEC employeur à hauteur de 60%.</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Pr>
        <w:t>Revalorisation des minima conventionnels</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En date du </w:t>
      </w:r>
      <w:r>
        <w:rPr>
          <w:rFonts w:ascii="Times New Roman" w:cs="Times New Roman" w:eastAsia="Times New Roman" w:hAnsi="Times New Roman"/>
          <w:sz w:val="24"/>
          <w:szCs w:val="24"/>
        </w:rPr>
        <w:t>14/02</w:t>
      </w:r>
      <w:r>
        <w:rPr>
          <w:rFonts w:ascii="Times New Roman" w:cs="Times New Roman" w:eastAsia="Times New Roman" w:hAnsi="Times New Roman"/>
          <w:color w:val="000000"/>
          <w:sz w:val="24"/>
          <w:szCs w:val="24"/>
        </w:rPr>
        <w:t>/2023, l’ANEM (l’Association Nationale des Emp</w:t>
      </w:r>
      <w:r>
        <w:rPr>
          <w:rFonts w:ascii="Times New Roman" w:cs="Times New Roman" w:eastAsia="Times New Roman" w:hAnsi="Times New Roman"/>
          <w:color w:val="000000"/>
          <w:sz w:val="24"/>
          <w:szCs w:val="24"/>
        </w:rPr>
        <w:t xml:space="preserve">loyeurs de la Mutualité) a formulé </w:t>
      </w:r>
      <w:r>
        <w:rPr>
          <w:rFonts w:ascii="Times New Roman" w:cs="Times New Roman" w:eastAsia="Times New Roman" w:hAnsi="Times New Roman"/>
          <w:sz w:val="24"/>
          <w:szCs w:val="24"/>
        </w:rPr>
        <w:t>une recommandation patronale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sz w:val="24"/>
          <w:szCs w:val="24"/>
        </w:rPr>
        <w:t xml:space="preserve">actant </w:t>
      </w:r>
      <w:r>
        <w:rPr>
          <w:rFonts w:ascii="Times New Roman" w:cs="Times New Roman" w:eastAsia="Times New Roman" w:hAnsi="Times New Roman"/>
          <w:color w:val="000000"/>
          <w:sz w:val="24"/>
          <w:szCs w:val="24"/>
        </w:rPr>
        <w:t>une revalorisation de la RMAG à hauteur de 2.</w:t>
      </w:r>
      <w:r>
        <w:rPr>
          <w:rFonts w:ascii="Times New Roman" w:cs="Times New Roman" w:eastAsia="Times New Roman" w:hAnsi="Times New Roman"/>
          <w:sz w:val="24"/>
          <w:szCs w:val="24"/>
        </w:rPr>
        <w:t>50</w:t>
      </w:r>
      <w:r>
        <w:rPr>
          <w:rFonts w:ascii="Times New Roman" w:cs="Times New Roman" w:eastAsia="Times New Roman" w:hAnsi="Times New Roman"/>
          <w:color w:val="000000"/>
          <w:sz w:val="24"/>
          <w:szCs w:val="24"/>
        </w:rPr>
        <w:t>%, selon la répartition suivante par classification conventionnelle :</w:t>
      </w: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tbl>
      <w:tblPr>
        <w:tblStyle w:val="a"/>
        <w:tblW w:type="dxa" w:w="3880"/>
        <w:jc w:val="center"/>
        <w:tblInd w:type="dxa" w:w="0"/>
        <w:tblLayout w:type="fixed"/>
        <w:tblLook w:firstColumn="0" w:firstRow="0" w:lastColumn="0" w:lastRow="0" w:noHBand="0" w:noVBand="0" w:val="0000"/>
      </w:tblPr>
      <w:tblGrid>
        <w:gridCol w:w="1240"/>
        <w:gridCol w:w="1400"/>
        <w:gridCol w:w="1240"/>
      </w:tblGrid>
      <w:tr w:rsidR="004D64CE">
        <w:trPr>
          <w:trHeight w:val="312"/>
          <w:jc w:val="center"/>
        </w:trPr>
        <w:tc>
          <w:tcPr>
            <w:tcW w:type="dxa" w:w="1240"/>
            <w:tcBorders>
              <w:top w:color="000000" w:space="0" w:sz="4" w:val="single"/>
              <w:left w:color="000000" w:space="0" w:sz="4" w:val="single"/>
              <w:bottom w:color="000000" w:space="0" w:sz="4" w:val="single"/>
              <w:right w:val="nil"/>
            </w:tcBorders>
            <w:shd w:color="auto" w:fill="D0CECE" w:val="clear"/>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lastRenderedPageBreak/>
              <w:t>Employés</w:t>
            </w:r>
          </w:p>
        </w:tc>
        <w:tc>
          <w:tcPr>
            <w:tcW w:type="dxa" w:w="1400"/>
            <w:tcBorders>
              <w:top w:color="000000" w:space="0" w:sz="4" w:val="single"/>
              <w:left w:color="000000" w:space="0" w:sz="4" w:val="single"/>
              <w:bottom w:color="000000" w:space="0" w:sz="4" w:val="single"/>
              <w:right w:color="000000" w:space="0" w:sz="4" w:val="single"/>
            </w:tcBorders>
            <w:shd w:color="auto" w:fill="D0CECE" w:val="clear"/>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Techniciens</w:t>
            </w:r>
          </w:p>
        </w:tc>
        <w:tc>
          <w:tcPr>
            <w:tcW w:type="dxa" w:w="1240"/>
            <w:tcBorders>
              <w:top w:color="000000" w:space="0" w:sz="4" w:val="single"/>
              <w:left w:val="nil"/>
              <w:bottom w:color="000000" w:space="0" w:sz="4" w:val="single"/>
              <w:right w:color="000000" w:space="0" w:sz="4" w:val="single"/>
            </w:tcBorders>
            <w:shd w:color="auto" w:fill="D0CECE" w:val="clear"/>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Cadres</w:t>
            </w:r>
          </w:p>
        </w:tc>
      </w:tr>
      <w:tr w:rsidR="004D64CE">
        <w:trPr>
          <w:trHeight w:val="312"/>
          <w:jc w:val="center"/>
        </w:trPr>
        <w:tc>
          <w:tcPr>
            <w:tcW w:type="dxa" w:w="1240"/>
            <w:tcBorders>
              <w:top w:val="nil"/>
              <w:left w:color="000000" w:space="0" w:sz="4" w:val="single"/>
              <w:bottom w:val="nil"/>
              <w:right w:val="nil"/>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E1 : 6,8 %</w:t>
            </w:r>
          </w:p>
        </w:tc>
        <w:tc>
          <w:tcPr>
            <w:tcW w:type="dxa" w:w="1400"/>
            <w:tcBorders>
              <w:top w:val="nil"/>
              <w:left w:color="000000" w:space="0" w:sz="4" w:val="single"/>
              <w:bottom w:val="nil"/>
              <w:right w:color="000000" w:space="0" w:sz="4" w:val="single"/>
            </w:tcBorders>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T1 : 2,</w:t>
            </w:r>
            <w:r>
              <w:rPr>
                <w:rFonts w:ascii="Times New Roman" w:cs="Times New Roman" w:eastAsia="Times New Roman" w:hAnsi="Times New Roman"/>
                <w:sz w:val="24"/>
                <w:szCs w:val="24"/>
              </w:rPr>
              <w:t>6</w:t>
            </w:r>
            <w:r>
              <w:rPr>
                <w:rFonts w:ascii="Times New Roman" w:cs="Times New Roman" w:eastAsia="Times New Roman" w:hAnsi="Times New Roman"/>
                <w:color w:val="000000"/>
                <w:sz w:val="24"/>
                <w:szCs w:val="24"/>
              </w:rPr>
              <w:t xml:space="preserve"> %</w:t>
            </w:r>
          </w:p>
        </w:tc>
        <w:tc>
          <w:tcPr>
            <w:tcW w:type="dxa" w:w="1240"/>
            <w:tcBorders>
              <w:top w:val="nil"/>
              <w:left w:val="nil"/>
              <w:bottom w:val="nil"/>
              <w:right w:color="000000" w:space="0" w:sz="4" w:val="single"/>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C1 : 2 %</w:t>
            </w:r>
          </w:p>
        </w:tc>
      </w:tr>
      <w:tr w:rsidR="004D64CE">
        <w:trPr>
          <w:trHeight w:val="312"/>
          <w:jc w:val="center"/>
        </w:trPr>
        <w:tc>
          <w:tcPr>
            <w:tcW w:type="dxa" w:w="1240"/>
            <w:tcBorders>
              <w:top w:val="nil"/>
              <w:left w:color="000000" w:space="0" w:sz="4" w:val="single"/>
              <w:bottom w:val="nil"/>
              <w:right w:val="nil"/>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E2 : 6 %</w:t>
            </w:r>
          </w:p>
        </w:tc>
        <w:tc>
          <w:tcPr>
            <w:tcW w:type="dxa" w:w="1400"/>
            <w:tcBorders>
              <w:top w:val="nil"/>
              <w:left w:color="000000" w:space="0" w:sz="4" w:val="single"/>
              <w:bottom w:val="nil"/>
              <w:right w:color="000000" w:space="0" w:sz="4" w:val="single"/>
            </w:tcBorders>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T2 : 2,</w:t>
            </w:r>
            <w:r>
              <w:rPr>
                <w:rFonts w:ascii="Times New Roman" w:cs="Times New Roman" w:eastAsia="Times New Roman" w:hAnsi="Times New Roman"/>
                <w:sz w:val="24"/>
                <w:szCs w:val="24"/>
              </w:rPr>
              <w:t>3</w:t>
            </w:r>
            <w:r>
              <w:rPr>
                <w:rFonts w:ascii="Times New Roman" w:cs="Times New Roman" w:eastAsia="Times New Roman" w:hAnsi="Times New Roman"/>
                <w:color w:val="000000"/>
                <w:sz w:val="24"/>
                <w:szCs w:val="24"/>
              </w:rPr>
              <w:t xml:space="preserve"> %</w:t>
            </w:r>
          </w:p>
        </w:tc>
        <w:tc>
          <w:tcPr>
            <w:tcW w:type="dxa" w:w="1240"/>
            <w:tcBorders>
              <w:top w:val="nil"/>
              <w:left w:val="nil"/>
              <w:bottom w:val="nil"/>
              <w:right w:color="000000" w:space="0" w:sz="4" w:val="single"/>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C2 : 1,</w:t>
            </w:r>
            <w:r>
              <w:rPr>
                <w:rFonts w:ascii="Times New Roman" w:cs="Times New Roman" w:eastAsia="Times New Roman" w:hAnsi="Times New Roman"/>
                <w:sz w:val="24"/>
                <w:szCs w:val="24"/>
              </w:rPr>
              <w:t>6</w:t>
            </w:r>
            <w:r>
              <w:rPr>
                <w:rFonts w:ascii="Times New Roman" w:cs="Times New Roman" w:eastAsia="Times New Roman" w:hAnsi="Times New Roman"/>
                <w:color w:val="000000"/>
                <w:sz w:val="24"/>
                <w:szCs w:val="24"/>
              </w:rPr>
              <w:t xml:space="preserve"> %</w:t>
            </w:r>
          </w:p>
        </w:tc>
      </w:tr>
      <w:tr w:rsidR="004D64CE">
        <w:trPr>
          <w:trHeight w:val="312"/>
          <w:jc w:val="center"/>
        </w:trPr>
        <w:tc>
          <w:tcPr>
            <w:tcW w:type="dxa" w:w="1240"/>
            <w:tcBorders>
              <w:top w:val="nil"/>
              <w:left w:color="000000" w:space="0" w:sz="4" w:val="single"/>
              <w:bottom w:val="nil"/>
              <w:right w:val="nil"/>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E3 : 5,5 %</w:t>
            </w:r>
          </w:p>
        </w:tc>
        <w:tc>
          <w:tcPr>
            <w:tcW w:type="dxa" w:w="1400"/>
            <w:tcBorders>
              <w:top w:val="nil"/>
              <w:left w:color="000000" w:space="0" w:sz="4" w:val="single"/>
              <w:bottom w:val="nil"/>
              <w:right w:color="000000" w:space="0" w:sz="4" w:val="single"/>
            </w:tcBorders>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tc>
        <w:tc>
          <w:tcPr>
            <w:tcW w:type="dxa" w:w="1240"/>
            <w:tcBorders>
              <w:top w:val="nil"/>
              <w:left w:val="nil"/>
              <w:bottom w:val="nil"/>
              <w:right w:color="000000" w:space="0" w:sz="4" w:val="single"/>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C3 : 0 %</w:t>
            </w:r>
          </w:p>
        </w:tc>
      </w:tr>
      <w:tr w:rsidR="004D64CE">
        <w:trPr>
          <w:trHeight w:val="312"/>
          <w:jc w:val="center"/>
        </w:trPr>
        <w:tc>
          <w:tcPr>
            <w:tcW w:type="dxa" w:w="1240"/>
            <w:tcBorders>
              <w:top w:val="nil"/>
              <w:left w:color="000000" w:space="0" w:sz="4" w:val="single"/>
              <w:bottom w:val="nil"/>
              <w:right w:val="nil"/>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E4 : 3,4 %</w:t>
            </w:r>
          </w:p>
        </w:tc>
        <w:tc>
          <w:tcPr>
            <w:tcW w:type="dxa" w:w="1400"/>
            <w:tcBorders>
              <w:top w:val="nil"/>
              <w:left w:color="000000" w:space="0" w:sz="4" w:val="single"/>
              <w:bottom w:val="nil"/>
              <w:right w:color="000000" w:space="0" w:sz="4" w:val="single"/>
            </w:tcBorders>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tc>
        <w:tc>
          <w:tcPr>
            <w:tcW w:type="dxa" w:w="1240"/>
            <w:tcBorders>
              <w:top w:val="nil"/>
              <w:left w:val="nil"/>
              <w:bottom w:val="nil"/>
              <w:right w:color="000000" w:space="0" w:sz="4" w:val="single"/>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C4 : 0 %</w:t>
            </w:r>
          </w:p>
        </w:tc>
      </w:tr>
      <w:tr w:rsidR="004D64CE">
        <w:trPr>
          <w:trHeight w:val="312"/>
          <w:jc w:val="center"/>
        </w:trPr>
        <w:tc>
          <w:tcPr>
            <w:tcW w:type="dxa" w:w="1240"/>
            <w:tcBorders>
              <w:top w:val="nil"/>
              <w:left w:color="000000" w:space="0" w:sz="4" w:val="single"/>
              <w:bottom w:color="000000" w:space="0" w:sz="4" w:val="single"/>
              <w:right w:val="nil"/>
            </w:tcBorders>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tc>
        <w:tc>
          <w:tcPr>
            <w:tcW w:type="dxa" w:w="1400"/>
            <w:tcBorders>
              <w:top w:val="nil"/>
              <w:left w:color="000000" w:space="0" w:sz="4" w:val="single"/>
              <w:bottom w:color="000000" w:space="0" w:sz="4" w:val="single"/>
              <w:right w:color="000000" w:space="0" w:sz="4" w:val="single"/>
            </w:tcBorders>
            <w:vAlign w:val="center"/>
          </w:tcPr>
          <w:p w:rsidR="004D64CE" w:rsidRDefault="00BF47A6">
            <w:pP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w:t>
            </w:r>
          </w:p>
        </w:tc>
        <w:tc>
          <w:tcPr>
            <w:tcW w:type="dxa" w:w="1240"/>
            <w:tcBorders>
              <w:top w:val="nil"/>
              <w:left w:val="nil"/>
              <w:bottom w:color="000000" w:space="0" w:sz="4" w:val="single"/>
              <w:right w:color="000000" w:space="0" w:sz="4" w:val="single"/>
            </w:tcBorders>
            <w:vAlign w:val="center"/>
          </w:tcPr>
          <w:p w:rsidR="004D64CE" w:rsidRDefault="00BF47A6">
            <w:pP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 : 2 %</w:t>
            </w:r>
          </w:p>
        </w:tc>
      </w:tr>
    </w:tbl>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Le Groupe fera application de la recommandation patronale </w:t>
      </w:r>
      <w:r>
        <w:rPr>
          <w:rFonts w:ascii="Times New Roman" w:cs="Times New Roman" w:eastAsia="Times New Roman" w:hAnsi="Times New Roman"/>
          <w:sz w:val="24"/>
          <w:szCs w:val="24"/>
        </w:rPr>
        <w:t>résultant</w:t>
      </w:r>
      <w:r>
        <w:rPr>
          <w:rFonts w:ascii="Times New Roman" w:cs="Times New Roman" w:eastAsia="Times New Roman" w:hAnsi="Times New Roman"/>
          <w:color w:val="000000"/>
          <w:sz w:val="24"/>
          <w:szCs w:val="24"/>
        </w:rPr>
        <w:t xml:space="preserve"> d’un défaut d’accord entre les partenaires sociaux de la branche.</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Au 31 janvier 2023, la charge estimée que représente ces revalorisations s’élève à + 281 000 € soit une augmentation de 2.06% de la masse salariale prévisionnelle 2023 pour le Groupe.</w:t>
      </w:r>
    </w:p>
    <w:p w:rsidR="004D64CE" w:rsidRDefault="004D64CE">
      <w:pPr>
        <w:pBdr>
          <w:top w:val="nil"/>
          <w:left w:val="nil"/>
          <w:bottom w:val="nil"/>
          <w:right w:val="nil"/>
          <w:between w:val="nil"/>
        </w:pBdr>
        <w:spacing w:after="0"/>
        <w:jc w:val="both"/>
        <w:rPr>
          <w:rFonts w:ascii="Times New Roman" w:cs="Times New Roman" w:eastAsia="Times New Roman" w:hAnsi="Times New Roman"/>
          <w:b/>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Pr>
        <w:t>Mutuelle</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Le Groupe maintiendra le montant des cotisations mutuelle 2022 et n’appliquera pas l’augmentation prévue suite à la revalorisation du PASS (Plafond Annuelle de Sécurité Sociale) au 1</w:t>
      </w:r>
      <w:r>
        <w:rPr>
          <w:rFonts w:ascii="Times New Roman" w:cs="Times New Roman" w:eastAsia="Times New Roman" w:hAnsi="Times New Roman"/>
          <w:color w:val="000000"/>
          <w:sz w:val="24"/>
          <w:szCs w:val="24"/>
          <w:vertAlign w:val="superscript"/>
        </w:rPr>
        <w:t>er</w:t>
      </w:r>
      <w:r>
        <w:rPr>
          <w:rFonts w:ascii="Times New Roman" w:cs="Times New Roman" w:eastAsia="Times New Roman" w:hAnsi="Times New Roman"/>
          <w:color w:val="000000"/>
          <w:sz w:val="24"/>
          <w:szCs w:val="24"/>
        </w:rPr>
        <w:t xml:space="preserve"> janvier 2023.</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La présente mesure prise au titre de l’année 2023, ne fer</w:t>
      </w:r>
      <w:r>
        <w:rPr>
          <w:rFonts w:ascii="Times New Roman" w:cs="Times New Roman" w:eastAsia="Times New Roman" w:hAnsi="Times New Roman"/>
          <w:color w:val="000000"/>
          <w:sz w:val="24"/>
          <w:szCs w:val="24"/>
        </w:rPr>
        <w:t>a pas obstacle aux revalorisations futures des cotisations mutuelle liées à de nouvelles augmentations du PASS.</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Cette mesure représente un gain pour l’ensemble des salariés de 11 000 € et une charge supplémentaire pour le Groupe de 16 800 € (+0.12% de mas</w:t>
      </w:r>
      <w:r>
        <w:rPr>
          <w:rFonts w:ascii="Times New Roman" w:cs="Times New Roman" w:eastAsia="Times New Roman" w:hAnsi="Times New Roman"/>
          <w:color w:val="000000"/>
          <w:sz w:val="24"/>
          <w:szCs w:val="24"/>
        </w:rPr>
        <w:t>se salariale) pour l’année 2023.</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Pr>
        <w:t>Intégration de la prime annuelle d’objectifs dans la rémunération fixe</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compter du 1</w:t>
      </w:r>
      <w:r>
        <w:rPr>
          <w:rFonts w:ascii="Times New Roman" w:cs="Times New Roman" w:eastAsia="Times New Roman" w:hAnsi="Times New Roman"/>
          <w:color w:val="000000"/>
          <w:sz w:val="24"/>
          <w:szCs w:val="24"/>
          <w:vertAlign w:val="superscript"/>
        </w:rPr>
        <w:t>er</w:t>
      </w:r>
      <w:r>
        <w:rPr>
          <w:rFonts w:ascii="Times New Roman" w:cs="Times New Roman" w:eastAsia="Times New Roman" w:hAnsi="Times New Roman"/>
          <w:color w:val="000000"/>
          <w:sz w:val="24"/>
          <w:szCs w:val="24"/>
        </w:rPr>
        <w:t xml:space="preserve"> janvier 2023, il est mis fin à la prime annuelle d’objectifs instaurée par l’accord NAO de 201</w:t>
      </w:r>
      <w:r>
        <w:rPr>
          <w:rFonts w:ascii="Times New Roman" w:cs="Times New Roman" w:eastAsia="Times New Roman" w:hAnsi="Times New Roman"/>
          <w:sz w:val="24"/>
          <w:szCs w:val="24"/>
        </w:rPr>
        <w:t>7 (article 4)</w:t>
      </w:r>
      <w:r>
        <w:rPr>
          <w:rFonts w:ascii="Times New Roman" w:cs="Times New Roman" w:eastAsia="Times New Roman" w:hAnsi="Times New Roman"/>
          <w:color w:val="000000"/>
          <w:sz w:val="24"/>
          <w:szCs w:val="24"/>
        </w:rPr>
        <w:t xml:space="preserve"> et modifié par les accords NAO de 2020 (article 8) et 2021 (article 10), pour la Mutualité de la Réunion et par la décision unilatérale du 2 décembre 2022 (article 7) pour la Mutualité de la Réunion SSAM. Ces accords</w:t>
      </w:r>
      <w:r>
        <w:rPr>
          <w:rFonts w:ascii="Times New Roman" w:cs="Times New Roman" w:eastAsia="Times New Roman" w:hAnsi="Times New Roman"/>
          <w:sz w:val="24"/>
          <w:szCs w:val="24"/>
        </w:rPr>
        <w:t xml:space="preserve"> et décision unilatérale cessent donc d</w:t>
      </w:r>
      <w:r>
        <w:rPr>
          <w:rFonts w:ascii="Times New Roman" w:cs="Times New Roman" w:eastAsia="Times New Roman" w:hAnsi="Times New Roman"/>
          <w:sz w:val="24"/>
          <w:szCs w:val="24"/>
        </w:rPr>
        <w:t>e produire leurs effets à compter du 1er janvier 2023, en ce qui concerne la prime annuelle d’objectif.</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La prime de 1 800 € brut est intégrée à la rémunération fixe brute à compter du 1</w:t>
      </w:r>
      <w:r>
        <w:rPr>
          <w:rFonts w:ascii="Times New Roman" w:cs="Times New Roman" w:eastAsia="Times New Roman" w:hAnsi="Times New Roman"/>
          <w:color w:val="000000"/>
          <w:sz w:val="24"/>
          <w:szCs w:val="24"/>
          <w:vertAlign w:val="superscript"/>
        </w:rPr>
        <w:t>er</w:t>
      </w:r>
      <w:r>
        <w:rPr>
          <w:rFonts w:ascii="Times New Roman" w:cs="Times New Roman" w:eastAsia="Times New Roman" w:hAnsi="Times New Roman"/>
          <w:color w:val="000000"/>
          <w:sz w:val="24"/>
          <w:szCs w:val="24"/>
        </w:rPr>
        <w:t xml:space="preserve"> janvier 2023 pour les salariés éligible</w:t>
      </w:r>
      <w:r>
        <w:rPr>
          <w:rFonts w:ascii="Times New Roman" w:cs="Times New Roman" w:eastAsia="Times New Roman" w:hAnsi="Times New Roman"/>
          <w:sz w:val="24"/>
          <w:szCs w:val="24"/>
        </w:rPr>
        <w:t>s (salariés non concernés par</w:t>
      </w:r>
      <w:r>
        <w:rPr>
          <w:rFonts w:ascii="Times New Roman" w:cs="Times New Roman" w:eastAsia="Times New Roman" w:hAnsi="Times New Roman"/>
          <w:sz w:val="24"/>
          <w:szCs w:val="24"/>
        </w:rPr>
        <w:t xml:space="preserve"> des primes variables mensuelles, trimestrielles ou semestrielles)</w:t>
      </w:r>
      <w:r>
        <w:rPr>
          <w:rFonts w:ascii="Times New Roman" w:cs="Times New Roman" w:eastAsia="Times New Roman" w:hAnsi="Times New Roman"/>
          <w:color w:val="000000"/>
          <w:sz w:val="24"/>
          <w:szCs w:val="24"/>
        </w:rPr>
        <w:t xml:space="preserve">. </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Les 1 800 € brut seront versés mensuellement, à hauteur de 150 € brut (1 800 €/12) et versés au prorata de la durée du travail inscrite au contrat de travail. </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Cette intégration se matérialise par une ligne distincte sur le bulletin de paie, nommée “Avantage acquis PAO”. Cet avantage acquis, composant de la rémunération fixe mensuelle, entrera en compte dans le calcul des retenues d’absence, des majorations d’heu</w:t>
      </w:r>
      <w:r>
        <w:rPr>
          <w:rFonts w:ascii="Times New Roman" w:cs="Times New Roman" w:eastAsia="Times New Roman" w:hAnsi="Times New Roman"/>
          <w:color w:val="000000"/>
          <w:sz w:val="24"/>
          <w:szCs w:val="24"/>
        </w:rPr>
        <w:t xml:space="preserve">res supplémentaires par exemple, au même titre que les autres composantes de la rémunération fixe. </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Cette enveloppe de prime représente un montant d’environ 150 K€ brut chargé.</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Cette mesure vise à garantir une certaine stabilité de rémunération aux salari</w:t>
      </w:r>
      <w:r>
        <w:rPr>
          <w:rFonts w:ascii="Times New Roman" w:cs="Times New Roman" w:eastAsia="Times New Roman" w:hAnsi="Times New Roman"/>
          <w:color w:val="000000"/>
          <w:sz w:val="24"/>
          <w:szCs w:val="24"/>
        </w:rPr>
        <w:t>és.</w:t>
      </w:r>
    </w:p>
    <w:p w:rsidR="004D64CE" w:rsidRDefault="00BF47A6">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Pr>
        <w:lastRenderedPageBreak/>
        <w:t>Titres restaurant</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compter du 1</w:t>
      </w:r>
      <w:r>
        <w:rPr>
          <w:rFonts w:ascii="Times New Roman" w:cs="Times New Roman" w:eastAsia="Times New Roman" w:hAnsi="Times New Roman"/>
          <w:color w:val="000000"/>
          <w:sz w:val="24"/>
          <w:szCs w:val="24"/>
          <w:vertAlign w:val="superscript"/>
        </w:rPr>
        <w:t>er</w:t>
      </w:r>
      <w:r>
        <w:rPr>
          <w:rFonts w:ascii="Times New Roman" w:cs="Times New Roman" w:eastAsia="Times New Roman" w:hAnsi="Times New Roman"/>
          <w:color w:val="000000"/>
          <w:sz w:val="24"/>
          <w:szCs w:val="24"/>
        </w:rPr>
        <w:t xml:space="preserve"> janvier 2023, la valeur faciale unitaire des titres restaurant passera de 7 € à 8,5 €.</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Cette revalorisation représente un gain annuel pour l’ensemble des salariés de 53 000 € et une charge supplémentaire pour le Grou</w:t>
      </w:r>
      <w:r>
        <w:rPr>
          <w:rFonts w:ascii="Times New Roman" w:cs="Times New Roman" w:eastAsia="Times New Roman" w:hAnsi="Times New Roman"/>
          <w:color w:val="000000"/>
          <w:sz w:val="24"/>
          <w:szCs w:val="24"/>
        </w:rPr>
        <w:t>pe de +0,39% de masse salariale.</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Pr>
        <w:t>Suppression de l’allocation voyages et séjours</w:t>
      </w:r>
    </w:p>
    <w:p w:rsidR="004D64CE" w:rsidRDefault="004D64CE">
      <w:pPr>
        <w:pBdr>
          <w:top w:val="nil"/>
          <w:left w:val="nil"/>
          <w:bottom w:val="nil"/>
          <w:right w:val="nil"/>
          <w:between w:val="nil"/>
        </w:pBdr>
        <w:spacing w:after="0"/>
        <w:jc w:val="both"/>
        <w:rPr>
          <w:rFonts w:ascii="Times New Roman" w:cs="Times New Roman" w:eastAsia="Times New Roman" w:hAnsi="Times New Roman"/>
          <w:b/>
          <w:color w:val="000000"/>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Pour rappel, ces allocations ont été mises en place pour permettre aux salariés de bénéficier d’avantages auprès de l’entité dédiée à ces activités au sein du Groupe Mutualit</w:t>
      </w:r>
      <w:r>
        <w:rPr>
          <w:rFonts w:ascii="Times New Roman" w:cs="Times New Roman" w:eastAsia="Times New Roman" w:hAnsi="Times New Roman"/>
          <w:color w:val="000000"/>
          <w:sz w:val="24"/>
          <w:szCs w:val="24"/>
        </w:rPr>
        <w:t>é de la Réunion, MUTA VOYAGES. Cette société ayant fermé définitivement en 2019, le maintien de ces allocations voyages et séjours est anachronique.</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Le Groupe </w:t>
      </w:r>
      <w:r>
        <w:rPr>
          <w:rFonts w:ascii="Times New Roman" w:cs="Times New Roman" w:eastAsia="Times New Roman" w:hAnsi="Times New Roman"/>
          <w:sz w:val="24"/>
          <w:szCs w:val="24"/>
        </w:rPr>
        <w:t>a mis</w:t>
      </w:r>
      <w:r>
        <w:rPr>
          <w:rFonts w:ascii="Times New Roman" w:cs="Times New Roman" w:eastAsia="Times New Roman" w:hAnsi="Times New Roman"/>
          <w:color w:val="000000"/>
          <w:sz w:val="24"/>
          <w:szCs w:val="24"/>
        </w:rPr>
        <w:t xml:space="preserve"> en évidence lors des déba</w:t>
      </w:r>
      <w:r>
        <w:rPr>
          <w:rFonts w:ascii="Times New Roman" w:cs="Times New Roman" w:eastAsia="Times New Roman" w:hAnsi="Times New Roman"/>
          <w:sz w:val="24"/>
          <w:szCs w:val="24"/>
        </w:rPr>
        <w:t xml:space="preserve">ts </w:t>
      </w:r>
      <w:r>
        <w:rPr>
          <w:rFonts w:ascii="Times New Roman" w:cs="Times New Roman" w:eastAsia="Times New Roman" w:hAnsi="Times New Roman"/>
          <w:color w:val="000000"/>
          <w:sz w:val="24"/>
          <w:szCs w:val="24"/>
        </w:rPr>
        <w:t xml:space="preserve">que </w:t>
      </w:r>
      <w:r>
        <w:rPr>
          <w:rFonts w:ascii="Times New Roman" w:cs="Times New Roman" w:eastAsia="Times New Roman" w:hAnsi="Times New Roman"/>
          <w:sz w:val="24"/>
          <w:szCs w:val="24"/>
        </w:rPr>
        <w:t>ces avantages inéquitables ont profités en majeure partie a</w:t>
      </w:r>
      <w:r>
        <w:rPr>
          <w:rFonts w:ascii="Times New Roman" w:cs="Times New Roman" w:eastAsia="Times New Roman" w:hAnsi="Times New Roman"/>
          <w:sz w:val="24"/>
          <w:szCs w:val="24"/>
        </w:rPr>
        <w:t>ux salariés bénéficiant des salaires les plus élevés : pour l’exercice 2022 par exemple, 93% des bénéficiaires sont des Cadres ou Techniciens.</w:t>
      </w: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 Groupe </w:t>
      </w:r>
      <w:r>
        <w:rPr>
          <w:rFonts w:ascii="Times New Roman" w:cs="Times New Roman" w:eastAsia="Times New Roman" w:hAnsi="Times New Roman"/>
          <w:color w:val="000000"/>
          <w:sz w:val="24"/>
          <w:szCs w:val="24"/>
        </w:rPr>
        <w:t>et les organisations syndicales</w:t>
      </w:r>
      <w:r>
        <w:rPr>
          <w:rFonts w:ascii="Times New Roman" w:cs="Times New Roman" w:eastAsia="Times New Roman" w:hAnsi="Times New Roman"/>
          <w:sz w:val="24"/>
          <w:szCs w:val="24"/>
        </w:rPr>
        <w:t xml:space="preserve">, lors des débats, ont donc dû trouver un </w:t>
      </w:r>
      <w:proofErr w:type="gramStart"/>
      <w:r>
        <w:rPr>
          <w:rFonts w:ascii="Times New Roman" w:cs="Times New Roman" w:eastAsia="Times New Roman" w:hAnsi="Times New Roman"/>
          <w:sz w:val="24"/>
          <w:szCs w:val="24"/>
        </w:rPr>
        <w:t>compromis  pour</w:t>
      </w:r>
      <w:proofErr w:type="gramEnd"/>
      <w:r>
        <w:rPr>
          <w:rFonts w:ascii="Times New Roman" w:cs="Times New Roman" w:eastAsia="Times New Roman" w:hAnsi="Times New Roman"/>
          <w:sz w:val="24"/>
          <w:szCs w:val="24"/>
        </w:rPr>
        <w:t xml:space="preserve">, d’une part, </w:t>
      </w:r>
      <w:r>
        <w:rPr>
          <w:rFonts w:ascii="Times New Roman" w:cs="Times New Roman" w:eastAsia="Times New Roman" w:hAnsi="Times New Roman"/>
          <w:color w:val="000000"/>
          <w:sz w:val="24"/>
          <w:szCs w:val="24"/>
        </w:rPr>
        <w:t xml:space="preserve">mettre fin à </w:t>
      </w:r>
      <w:r>
        <w:rPr>
          <w:rFonts w:ascii="Times New Roman" w:cs="Times New Roman" w:eastAsia="Times New Roman" w:hAnsi="Times New Roman"/>
          <w:sz w:val="24"/>
          <w:szCs w:val="24"/>
        </w:rPr>
        <w:t>l’allocation voyages et séjours et d’autre part, faire bénéficier à l’ensemble des salariés d’un avantage en compensation, au titre de l'exercice 2023.</w:t>
      </w: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Il est donc décidé de mettre fin à l’allocation voyages et séjours à compter du 1</w:t>
      </w:r>
      <w:r>
        <w:rPr>
          <w:rFonts w:ascii="Times New Roman" w:cs="Times New Roman" w:eastAsia="Times New Roman" w:hAnsi="Times New Roman"/>
          <w:color w:val="000000"/>
          <w:sz w:val="24"/>
          <w:szCs w:val="24"/>
          <w:vertAlign w:val="superscript"/>
        </w:rPr>
        <w:t>er</w:t>
      </w:r>
      <w:r>
        <w:rPr>
          <w:rFonts w:ascii="Times New Roman" w:cs="Times New Roman" w:eastAsia="Times New Roman" w:hAnsi="Times New Roman"/>
          <w:color w:val="000000"/>
          <w:sz w:val="24"/>
          <w:szCs w:val="24"/>
        </w:rPr>
        <w:t xml:space="preserve"> janvie</w:t>
      </w:r>
      <w:r>
        <w:rPr>
          <w:rFonts w:ascii="Times New Roman" w:cs="Times New Roman" w:eastAsia="Times New Roman" w:hAnsi="Times New Roman"/>
          <w:color w:val="000000"/>
          <w:sz w:val="24"/>
          <w:szCs w:val="24"/>
        </w:rPr>
        <w:t>r 2023.</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En compensation, l</w:t>
      </w:r>
      <w:r>
        <w:rPr>
          <w:rFonts w:ascii="Times New Roman" w:cs="Times New Roman" w:eastAsia="Times New Roman" w:hAnsi="Times New Roman"/>
          <w:color w:val="000000"/>
          <w:sz w:val="24"/>
          <w:szCs w:val="24"/>
        </w:rPr>
        <w:t xml:space="preserve">e Groupe s’engage, au titre de l’année 2023, </w:t>
      </w:r>
      <w:r>
        <w:rPr>
          <w:rFonts w:ascii="Times New Roman" w:cs="Times New Roman" w:eastAsia="Times New Roman" w:hAnsi="Times New Roman"/>
          <w:sz w:val="24"/>
          <w:szCs w:val="24"/>
        </w:rPr>
        <w:t>à mettre</w:t>
      </w:r>
      <w:r>
        <w:rPr>
          <w:rFonts w:ascii="Times New Roman" w:cs="Times New Roman" w:eastAsia="Times New Roman" w:hAnsi="Times New Roman"/>
          <w:color w:val="000000"/>
          <w:sz w:val="24"/>
          <w:szCs w:val="24"/>
        </w:rPr>
        <w:t xml:space="preserve"> en place un avantage interne égalitaire, favorisant l’accès aux loisirs et activités culturels, bénéficiant à tous les salariés, dont le budget global équivaut </w:t>
      </w:r>
      <w:r>
        <w:rPr>
          <w:rFonts w:ascii="Times New Roman" w:cs="Times New Roman" w:eastAsia="Times New Roman" w:hAnsi="Times New Roman"/>
          <w:sz w:val="24"/>
          <w:szCs w:val="24"/>
        </w:rPr>
        <w:t xml:space="preserve">au </w:t>
      </w:r>
      <w:r>
        <w:rPr>
          <w:rFonts w:ascii="Times New Roman" w:cs="Times New Roman" w:eastAsia="Times New Roman" w:hAnsi="Times New Roman"/>
          <w:color w:val="000000"/>
          <w:sz w:val="24"/>
          <w:szCs w:val="24"/>
        </w:rPr>
        <w:t xml:space="preserve">budget 2022 </w:t>
      </w:r>
      <w:r>
        <w:rPr>
          <w:rFonts w:ascii="Times New Roman" w:cs="Times New Roman" w:eastAsia="Times New Roman" w:hAnsi="Times New Roman"/>
          <w:color w:val="000000"/>
          <w:sz w:val="24"/>
          <w:szCs w:val="24"/>
        </w:rPr>
        <w:t>de l’allocation voyages et séjours, soit une enveloppe maximale de 33 000 €</w:t>
      </w:r>
      <w:r>
        <w:rPr>
          <w:rFonts w:ascii="Times New Roman" w:cs="Times New Roman" w:eastAsia="Times New Roman" w:hAnsi="Times New Roman"/>
          <w:sz w:val="24"/>
          <w:szCs w:val="24"/>
        </w:rPr>
        <w:t>. Ce budget sera réparti de façon égale à l’ensemble des salariés du Groupe.</w:t>
      </w:r>
    </w:p>
    <w:p w:rsidR="004D64CE" w:rsidRDefault="004D64CE">
      <w:pPr>
        <w:pBdr>
          <w:top w:val="nil"/>
          <w:left w:val="nil"/>
          <w:bottom w:val="nil"/>
          <w:right w:val="nil"/>
          <w:between w:val="nil"/>
        </w:pBdr>
        <w:spacing w:after="0"/>
        <w:jc w:val="both"/>
        <w:rPr>
          <w:rFonts w:ascii="Times New Roman" w:cs="Times New Roman" w:eastAsia="Times New Roman" w:hAnsi="Times New Roman"/>
          <w:b/>
          <w:sz w:val="24"/>
          <w:szCs w:val="24"/>
          <w:u w:val="single"/>
        </w:rPr>
      </w:pPr>
    </w:p>
    <w:p w:rsidR="004D64CE" w:rsidRDefault="004D64CE">
      <w:pPr>
        <w:pBdr>
          <w:top w:val="nil"/>
          <w:left w:val="nil"/>
          <w:bottom w:val="nil"/>
          <w:right w:val="nil"/>
          <w:between w:val="nil"/>
        </w:pBdr>
        <w:spacing w:after="0"/>
        <w:jc w:val="both"/>
        <w:rPr>
          <w:rFonts w:ascii="Times New Roman" w:cs="Times New Roman" w:eastAsia="Times New Roman" w:hAnsi="Times New Roman"/>
          <w:b/>
          <w:sz w:val="24"/>
          <w:szCs w:val="24"/>
          <w:u w:val="single"/>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Article 4</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Sur la durée effective et organisation du temps de travail</w:t>
      </w:r>
    </w:p>
    <w:p w:rsidR="004D64CE" w:rsidRDefault="004D64CE">
      <w:pPr>
        <w:widowControl w:val="0"/>
        <w:spacing w:after="0"/>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 Groupe </w:t>
      </w:r>
      <w:r>
        <w:rPr>
          <w:rFonts w:ascii="Times New Roman" w:cs="Times New Roman" w:eastAsia="Times New Roman" w:hAnsi="Times New Roman"/>
          <w:sz w:val="24"/>
          <w:szCs w:val="24"/>
        </w:rPr>
        <w:t>rappelle</w:t>
      </w:r>
      <w:r>
        <w:rPr>
          <w:rFonts w:ascii="Times New Roman" w:cs="Times New Roman" w:eastAsia="Times New Roman" w:hAnsi="Times New Roman"/>
          <w:sz w:val="24"/>
          <w:szCs w:val="24"/>
        </w:rPr>
        <w:t xml:space="preserve"> que la durée légale du travail est actuellement appliquée pour l’ensemble des salariés. </w:t>
      </w: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Les horaires de travail sont adaptés en fonction des contraintes et besoins de chaque service tout en prenant en compte, dans la mesure du possible, les contraintes e</w:t>
      </w:r>
      <w:r>
        <w:rPr>
          <w:rFonts w:ascii="Times New Roman" w:cs="Times New Roman" w:eastAsia="Times New Roman" w:hAnsi="Times New Roman"/>
          <w:sz w:val="24"/>
          <w:szCs w:val="24"/>
        </w:rPr>
        <w:t>t demandes des salariés. Suite à leurs demandes, 5 salariés sont aujourd’hui à temps partiel.</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Un accord de télétravail </w:t>
      </w:r>
      <w:r>
        <w:rPr>
          <w:rFonts w:ascii="Times New Roman" w:cs="Times New Roman" w:eastAsia="Times New Roman" w:hAnsi="Times New Roman"/>
          <w:sz w:val="24"/>
          <w:szCs w:val="24"/>
        </w:rPr>
        <w:t>est en vigueur</w:t>
      </w:r>
      <w:r>
        <w:rPr>
          <w:rFonts w:ascii="Times New Roman" w:cs="Times New Roman" w:eastAsia="Times New Roman" w:hAnsi="Times New Roman"/>
          <w:color w:val="000000"/>
          <w:sz w:val="24"/>
          <w:szCs w:val="24"/>
        </w:rPr>
        <w:t xml:space="preserve"> au sein de la Mutualité de la Réunion et la Mutualité de la Réunion SSAM dispose d’une charte de télétravail.</w:t>
      </w: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4D64CE" w:rsidRDefault="004D64CE">
      <w:pPr>
        <w:pBdr>
          <w:top w:val="nil"/>
          <w:left w:val="nil"/>
          <w:bottom w:val="nil"/>
          <w:right w:val="nil"/>
          <w:between w:val="nil"/>
        </w:pBdr>
        <w:spacing w:after="0"/>
        <w:jc w:val="both"/>
        <w:rPr>
          <w:rFonts w:ascii="Times New Roman" w:cs="Times New Roman" w:eastAsia="Times New Roman" w:hAnsi="Times New Roman"/>
          <w:sz w:val="24"/>
          <w:szCs w:val="24"/>
        </w:rPr>
      </w:pPr>
    </w:p>
    <w:p w:rsidR="00BF47A6" w:rsidRDefault="00BF47A6">
      <w:pPr>
        <w:widowControl w:val="0"/>
        <w:spacing w:after="0"/>
        <w:jc w:val="center"/>
        <w:rPr>
          <w:rFonts w:ascii="Times New Roman" w:cs="Times New Roman" w:eastAsia="Times New Roman" w:hAnsi="Times New Roman"/>
          <w:b/>
          <w:sz w:val="32"/>
          <w:szCs w:val="32"/>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lastRenderedPageBreak/>
        <w:t>Article 5</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Sur le partage de la valeur, et l’épargne salariale</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En parallèle de ces négociations, le Groupe et les délégués syndicaux ont ouvert des négociations sur l’intéressement et la participation. </w:t>
      </w: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Le Groupe précise également qu’un Plan d’Épargne Entreprise (P</w:t>
      </w:r>
      <w:r>
        <w:rPr>
          <w:rFonts w:ascii="Times New Roman" w:cs="Times New Roman" w:eastAsia="Times New Roman" w:hAnsi="Times New Roman"/>
          <w:color w:val="000000"/>
          <w:sz w:val="24"/>
          <w:szCs w:val="24"/>
        </w:rPr>
        <w:t>EE) et un Plan d’Épargne de Retraite Collectif (PERCO) ont été mis en place au sein de la Mutualité de la Réunion. Une négociation sera ouverte en 2023 pour la mise en place d’un PEE et d’un PERCO au niveau du Groupe.</w:t>
      </w:r>
    </w:p>
    <w:p w:rsidR="004D64CE" w:rsidRDefault="004D64CE">
      <w:pPr>
        <w:widowControl w:val="0"/>
        <w:spacing w:after="0"/>
        <w:jc w:val="center"/>
        <w:rPr>
          <w:rFonts w:ascii="Times New Roman" w:cs="Times New Roman" w:eastAsia="Times New Roman" w:hAnsi="Times New Roman"/>
          <w:b/>
          <w:sz w:val="32"/>
          <w:szCs w:val="32"/>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Article 6</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Sur l’égalité Femmes/Hommes</w:t>
      </w:r>
    </w:p>
    <w:p w:rsidR="004D64CE" w:rsidRDefault="004D64CE">
      <w:pPr>
        <w:widowControl w:val="0"/>
        <w:spacing w:after="0"/>
        <w:rPr>
          <w:rFonts w:ascii="Times New Roman" w:cs="Times New Roman" w:eastAsia="Times New Roman" w:hAnsi="Times New Roman"/>
          <w:sz w:val="24"/>
          <w:szCs w:val="24"/>
          <w:u w:val="single"/>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 Groupe précise que la branche de la Mutualité (IDCC : 2128 – Mutualité) est couverte par un accord relatif à l’égalité professionnelle entre les hommes et les femmes signé le 5 février 2021. Accord qui est en application au sein du Groupe depuis son e</w:t>
      </w:r>
      <w:r>
        <w:rPr>
          <w:rFonts w:ascii="Times New Roman" w:cs="Times New Roman" w:eastAsia="Times New Roman" w:hAnsi="Times New Roman"/>
          <w:sz w:val="24"/>
          <w:szCs w:val="24"/>
        </w:rPr>
        <w:t>ntrée en vigueur.</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compléter cet accord de branche, le Groupe rappelle qu’un accord d’entreprise en faveur de l’égalité professionnelle entre les femmes et les hommes a été signé le 6 juillet 2020 pour une durée de trois ans.</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Conformément à la Loi pour la liberté de choisir son avenir professionnel, la société évalue depuis 2019 son index d’égalité professionnelle. Cet index permet aux entreprises concernées d’évaluer sur 100 points le niveau d’égalité entre les hommes et les f</w:t>
      </w:r>
      <w:r>
        <w:rPr>
          <w:rFonts w:ascii="Times New Roman" w:cs="Times New Roman" w:eastAsia="Times New Roman" w:hAnsi="Times New Roman"/>
          <w:sz w:val="24"/>
          <w:szCs w:val="24"/>
        </w:rPr>
        <w:t>emmes.</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Au titre de l’année 2019, le Groupe a obtenu le score de 77/100 à l’Index d’égalité Femmes-Hommes. </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Au titre de l’année 2021, le Groupe a obtenu le score de 98/100 à l’Index d’égalité Femmes-Hommes. Celui-ci témoigne de la réussite des efforts mis</w:t>
      </w:r>
      <w:r>
        <w:rPr>
          <w:rFonts w:ascii="Times New Roman" w:cs="Times New Roman" w:eastAsia="Times New Roman" w:hAnsi="Times New Roman"/>
          <w:sz w:val="24"/>
          <w:szCs w:val="24"/>
        </w:rPr>
        <w:t xml:space="preserve"> en œuvre au sein de l’entreprise afin de garantir l’égalité entre les femmes et les hommes.</w:t>
      </w:r>
    </w:p>
    <w:p w:rsidR="004D64CE" w:rsidRDefault="004D64CE">
      <w:pPr>
        <w:widowControl w:val="0"/>
        <w:spacing w:after="0"/>
        <w:jc w:val="both"/>
        <w:rPr>
          <w:rFonts w:ascii="Times New Roman" w:cs="Times New Roman" w:eastAsia="Times New Roman" w:hAnsi="Times New Roman"/>
          <w:sz w:val="24"/>
          <w:szCs w:val="24"/>
        </w:rPr>
      </w:pPr>
    </w:p>
    <w:p w:rsidR="004D64CE" w:rsidRDefault="00BF47A6">
      <w:pPr>
        <w:widowControl w:val="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Par ailleurs, le Groupe s’engage à ouvrir des négociations sur ce thème avant le 1</w:t>
      </w:r>
      <w:r>
        <w:rPr>
          <w:rFonts w:ascii="Times New Roman" w:cs="Times New Roman" w:eastAsia="Times New Roman" w:hAnsi="Times New Roman"/>
          <w:sz w:val="24"/>
          <w:szCs w:val="24"/>
          <w:vertAlign w:val="superscript"/>
        </w:rPr>
        <w:t>er</w:t>
      </w:r>
      <w:r>
        <w:rPr>
          <w:rFonts w:ascii="Times New Roman" w:cs="Times New Roman" w:eastAsia="Times New Roman" w:hAnsi="Times New Roman"/>
          <w:sz w:val="24"/>
          <w:szCs w:val="24"/>
        </w:rPr>
        <w:t xml:space="preserve"> juillet 2023.</w:t>
      </w:r>
    </w:p>
    <w:p w:rsidR="004D64CE" w:rsidRDefault="004D64CE">
      <w:pPr>
        <w:widowControl w:val="0"/>
        <w:spacing w:after="0"/>
        <w:jc w:val="center"/>
        <w:rPr>
          <w:rFonts w:ascii="Times New Roman" w:cs="Times New Roman" w:eastAsia="Times New Roman" w:hAnsi="Times New Roman"/>
          <w:sz w:val="32"/>
          <w:szCs w:val="32"/>
        </w:rPr>
      </w:pPr>
    </w:p>
    <w:p w:rsidR="004D64CE" w:rsidRDefault="004D64CE">
      <w:pPr>
        <w:widowControl w:val="0"/>
        <w:spacing w:after="0"/>
        <w:jc w:val="center"/>
        <w:rPr>
          <w:rFonts w:ascii="Times New Roman" w:cs="Times New Roman" w:eastAsia="Times New Roman" w:hAnsi="Times New Roman"/>
          <w:b/>
          <w:sz w:val="32"/>
          <w:szCs w:val="32"/>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Article 7</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Mesures négociées n’entrant pas dans </w:t>
      </w:r>
      <w:proofErr w:type="gramStart"/>
      <w:r>
        <w:rPr>
          <w:rFonts w:ascii="Times New Roman" w:cs="Times New Roman" w:eastAsia="Times New Roman" w:hAnsi="Times New Roman"/>
          <w:b/>
          <w:sz w:val="24"/>
          <w:szCs w:val="24"/>
        </w:rPr>
        <w:t>le champs</w:t>
      </w:r>
      <w:proofErr w:type="gramEnd"/>
      <w:r>
        <w:rPr>
          <w:rFonts w:ascii="Times New Roman" w:cs="Times New Roman" w:eastAsia="Times New Roman" w:hAnsi="Times New Roman"/>
          <w:b/>
          <w:sz w:val="24"/>
          <w:szCs w:val="24"/>
        </w:rPr>
        <w:t xml:space="preserve"> des </w:t>
      </w:r>
      <w:r>
        <w:rPr>
          <w:rFonts w:ascii="Times New Roman" w:cs="Times New Roman" w:eastAsia="Times New Roman" w:hAnsi="Times New Roman"/>
          <w:b/>
          <w:sz w:val="24"/>
          <w:szCs w:val="24"/>
        </w:rPr>
        <w:t>NAO</w:t>
      </w:r>
    </w:p>
    <w:p w:rsidR="004D64CE" w:rsidRDefault="004D64CE">
      <w:pPr>
        <w:widowControl w:val="0"/>
        <w:spacing w:after="0"/>
        <w:rPr>
          <w:rFonts w:ascii="Times New Roman" w:cs="Times New Roman" w:eastAsia="Times New Roman" w:hAnsi="Times New Roman"/>
          <w:sz w:val="24"/>
          <w:szCs w:val="24"/>
          <w:u w:val="single"/>
        </w:rPr>
      </w:pPr>
    </w:p>
    <w:p w:rsidR="004D64CE" w:rsidRDefault="00BF47A6">
      <w:p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Les organisations syndicales ont sollicité pour l’exercice 2023, un budget exceptionnel pour les </w:t>
      </w:r>
      <w:proofErr w:type="spellStart"/>
      <w:r>
        <w:rPr>
          <w:rFonts w:ascii="Times New Roman" w:cs="Times New Roman" w:eastAsia="Times New Roman" w:hAnsi="Times New Roman"/>
          <w:sz w:val="24"/>
          <w:szCs w:val="24"/>
        </w:rPr>
        <w:t>oeuvres</w:t>
      </w:r>
      <w:proofErr w:type="spellEnd"/>
      <w:r>
        <w:rPr>
          <w:rFonts w:ascii="Times New Roman" w:cs="Times New Roman" w:eastAsia="Times New Roman" w:hAnsi="Times New Roman"/>
          <w:sz w:val="24"/>
          <w:szCs w:val="24"/>
        </w:rPr>
        <w:t xml:space="preserve"> sociales du CSE à hauteur de : </w:t>
      </w:r>
    </w:p>
    <w:p w:rsidR="004D64CE" w:rsidRDefault="00BF47A6">
      <w:pPr>
        <w:numPr>
          <w:ilvl w:val="0"/>
          <w:numId w:val="5"/>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16 000 € pour le financement de l’arbre de Noël ;</w:t>
      </w:r>
    </w:p>
    <w:p w:rsidR="004D64CE" w:rsidRDefault="00BF47A6">
      <w:pPr>
        <w:numPr>
          <w:ilvl w:val="0"/>
          <w:numId w:val="5"/>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lastRenderedPageBreak/>
        <w:t xml:space="preserve">7 000 € pour la prise en charge de l’inscription des enfants de </w:t>
      </w:r>
      <w:r>
        <w:rPr>
          <w:rFonts w:ascii="Times New Roman" w:cs="Times New Roman" w:eastAsia="Times New Roman" w:hAnsi="Times New Roman"/>
          <w:sz w:val="24"/>
          <w:szCs w:val="24"/>
        </w:rPr>
        <w:t>moins de 18 ans à une activité sportive, dans la limite de 100 € par enfant ;</w:t>
      </w:r>
    </w:p>
    <w:p w:rsidR="004D64CE" w:rsidRDefault="00BF47A6">
      <w:pPr>
        <w:numPr>
          <w:ilvl w:val="0"/>
          <w:numId w:val="5"/>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13 000 € pour le financement des cadeaux d’anniversaire pour les collaborateurs ;</w:t>
      </w:r>
    </w:p>
    <w:p w:rsidR="004D64CE" w:rsidRDefault="00BF47A6">
      <w:pPr>
        <w:numPr>
          <w:ilvl w:val="0"/>
          <w:numId w:val="5"/>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13 000 € pour la prise en charge de l’inscription des collaborateurs à une activité sportive, da</w:t>
      </w:r>
      <w:r>
        <w:rPr>
          <w:rFonts w:ascii="Times New Roman" w:cs="Times New Roman" w:eastAsia="Times New Roman" w:hAnsi="Times New Roman"/>
          <w:sz w:val="24"/>
          <w:szCs w:val="24"/>
        </w:rPr>
        <w:t>ns la limite de 50 € par collaborateur.</w:t>
      </w:r>
    </w:p>
    <w:p w:rsidR="004D64CE" w:rsidRDefault="004D64CE">
      <w:pPr>
        <w:spacing w:after="0"/>
        <w:jc w:val="both"/>
        <w:rPr>
          <w:rFonts w:ascii="Times New Roman" w:cs="Times New Roman" w:eastAsia="Times New Roman" w:hAnsi="Times New Roman"/>
          <w:sz w:val="24"/>
          <w:szCs w:val="24"/>
        </w:rPr>
      </w:pPr>
    </w:p>
    <w:p w:rsidR="004D64CE" w:rsidRDefault="00BF47A6">
      <w:p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 Groupe s’engage à porter à l’ordre du jour et à valider ces dotations exceptionnelles supplémentaires au titre de l’exercice 2023 lors de la prochaine réunion du CSE.</w:t>
      </w: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 xml:space="preserve">Article </w:t>
      </w:r>
      <w:r>
        <w:rPr>
          <w:rFonts w:ascii="Times New Roman" w:cs="Times New Roman" w:eastAsia="Times New Roman" w:hAnsi="Times New Roman"/>
          <w:b/>
          <w:sz w:val="32"/>
          <w:szCs w:val="32"/>
        </w:rPr>
        <w:t>8</w:t>
      </w:r>
    </w:p>
    <w:p w:rsidR="004D64CE" w:rsidRDefault="00BF47A6">
      <w:pPr>
        <w:widowControl w:val="0"/>
        <w:spacing w:after="0"/>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Durée de l’accord</w:t>
      </w:r>
    </w:p>
    <w:p w:rsidR="004D64CE" w:rsidRDefault="004D64CE">
      <w:pPr>
        <w:widowControl w:val="0"/>
        <w:spacing w:after="0"/>
        <w:rPr>
          <w:rFonts w:ascii="Times New Roman" w:cs="Times New Roman" w:eastAsia="Times New Roman" w:hAnsi="Times New Roman"/>
          <w:sz w:val="24"/>
          <w:szCs w:val="24"/>
          <w:u w:val="single"/>
        </w:rPr>
      </w:pPr>
    </w:p>
    <w:p w:rsidR="004D64CE" w:rsidRDefault="00BF47A6">
      <w:pPr>
        <w:pBdr>
          <w:top w:val="nil"/>
          <w:left w:val="nil"/>
          <w:bottom w:val="nil"/>
          <w:right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Le présent accord est conclu pour une durée déterminée d’un (1) an, soit du 1er janvier 2023 au 31 décembre 2023.</w:t>
      </w:r>
    </w:p>
    <w:p w:rsidR="004D64CE" w:rsidRDefault="004D64CE">
      <w:pPr>
        <w:pBdr>
          <w:top w:val="nil"/>
          <w:left w:val="nil"/>
          <w:bottom w:val="nil"/>
          <w:right w:val="nil"/>
          <w:between w:val="nil"/>
        </w:pBdr>
        <w:spacing w:after="0"/>
        <w:jc w:val="both"/>
        <w:rPr>
          <w:rFonts w:ascii="Times New Roman" w:cs="Times New Roman" w:eastAsia="Times New Roman" w:hAnsi="Times New Roman"/>
          <w:color w:val="000000"/>
          <w:sz w:val="24"/>
          <w:szCs w:val="24"/>
        </w:rPr>
      </w:pPr>
    </w:p>
    <w:p w:rsidR="004D64CE" w:rsidRDefault="004D64CE">
      <w:pPr>
        <w:pBdr>
          <w:top w:val="nil"/>
          <w:left w:val="nil"/>
          <w:bottom w:val="nil"/>
          <w:right w:val="nil"/>
          <w:between w:val="nil"/>
        </w:pBdr>
        <w:spacing w:after="0"/>
        <w:jc w:val="center"/>
        <w:rPr>
          <w:rFonts w:ascii="Times New Roman" w:cs="Times New Roman" w:eastAsia="Times New Roman" w:hAnsi="Times New Roman"/>
          <w:b/>
          <w:sz w:val="32"/>
          <w:szCs w:val="32"/>
        </w:rPr>
      </w:pPr>
    </w:p>
    <w:p w:rsidR="004D64CE" w:rsidRDefault="00BF47A6">
      <w:pPr>
        <w:pBdr>
          <w:top w:val="nil"/>
          <w:left w:val="nil"/>
          <w:bottom w:val="nil"/>
          <w:right w:val="nil"/>
          <w:between w:val="nil"/>
        </w:pBdr>
        <w:spacing w:after="0"/>
        <w:jc w:val="center"/>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rPr>
        <w:t xml:space="preserve">Article </w:t>
      </w:r>
      <w:r>
        <w:rPr>
          <w:rFonts w:ascii="Times New Roman" w:cs="Times New Roman" w:eastAsia="Times New Roman" w:hAnsi="Times New Roman"/>
          <w:b/>
          <w:sz w:val="32"/>
          <w:szCs w:val="32"/>
        </w:rPr>
        <w:t>9</w:t>
      </w:r>
    </w:p>
    <w:p w:rsidR="004D64CE" w:rsidRDefault="00BF47A6">
      <w:pPr>
        <w:pBdr>
          <w:top w:val="nil"/>
          <w:left w:val="nil"/>
          <w:bottom w:val="nil"/>
          <w:right w:val="nil"/>
          <w:between w:val="nil"/>
        </w:pBd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Publicité et formalités de dépôt</w:t>
      </w:r>
    </w:p>
    <w:p w:rsidR="004D64CE" w:rsidRDefault="004D64CE">
      <w:pPr>
        <w:jc w:val="both"/>
        <w:rPr>
          <w:rFonts w:ascii="Times New Roman" w:cs="Times New Roman" w:eastAsia="Times New Roman" w:hAnsi="Times New Roman"/>
          <w:sz w:val="24"/>
          <w:szCs w:val="24"/>
          <w:u w:val="single"/>
        </w:rPr>
      </w:pPr>
    </w:p>
    <w:p w:rsidR="004D64CE" w:rsidRDefault="00BF47A6">
      <w:p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 présent accord sera déposé en trois (3) exemplaires :</w:t>
      </w:r>
    </w:p>
    <w:p w:rsidR="004D64CE" w:rsidRDefault="00BF47A6">
      <w:pPr>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Deux versions sous forme dématérialisée, sur la plate-forme « </w:t>
      </w:r>
      <w:proofErr w:type="spellStart"/>
      <w:r>
        <w:rPr>
          <w:rFonts w:ascii="Times New Roman" w:cs="Times New Roman" w:eastAsia="Times New Roman" w:hAnsi="Times New Roman"/>
          <w:sz w:val="24"/>
          <w:szCs w:val="24"/>
        </w:rPr>
        <w:t>TéléAccords</w:t>
      </w:r>
      <w:proofErr w:type="spellEnd"/>
      <w:r>
        <w:rPr>
          <w:rFonts w:ascii="Times New Roman" w:cs="Times New Roman" w:eastAsia="Times New Roman" w:hAnsi="Times New Roman"/>
          <w:sz w:val="24"/>
          <w:szCs w:val="24"/>
        </w:rPr>
        <w:t xml:space="preserve"> » (https://www.teleaccords.travail-emploi.gouv.fr) : une version intégrale de l’accord signées des parties et une version </w:t>
      </w:r>
      <w:proofErr w:type="gramStart"/>
      <w:r>
        <w:rPr>
          <w:rFonts w:ascii="Times New Roman" w:cs="Times New Roman" w:eastAsia="Times New Roman" w:hAnsi="Times New Roman"/>
          <w:sz w:val="24"/>
          <w:szCs w:val="24"/>
        </w:rPr>
        <w:t>anonymisée .</w:t>
      </w:r>
      <w:proofErr w:type="gramEnd"/>
      <w:r>
        <w:rPr>
          <w:rFonts w:ascii="Times New Roman" w:cs="Times New Roman" w:eastAsia="Times New Roman" w:hAnsi="Times New Roman"/>
          <w:sz w:val="24"/>
          <w:szCs w:val="24"/>
        </w:rPr>
        <w:t xml:space="preserve">  </w:t>
      </w:r>
    </w:p>
    <w:p w:rsidR="004D64CE" w:rsidRDefault="00BF47A6">
      <w:pPr>
        <w:numPr>
          <w:ilvl w:val="1"/>
          <w:numId w:val="4"/>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 exemplaire sur support papier signée des p</w:t>
      </w:r>
      <w:r>
        <w:rPr>
          <w:rFonts w:ascii="Times New Roman" w:cs="Times New Roman" w:eastAsia="Times New Roman" w:hAnsi="Times New Roman"/>
          <w:sz w:val="24"/>
          <w:szCs w:val="24"/>
        </w:rPr>
        <w:t xml:space="preserve">arties au secrétariat du Greffe du Conseil des Prud’hommes de Saint-Denis </w:t>
      </w:r>
    </w:p>
    <w:p w:rsidR="004D64CE" w:rsidRDefault="00BF47A6">
      <w:p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 présent accord sera applicable à compter du jour suivant son dépôt auprès de la DEETS.</w:t>
      </w:r>
    </w:p>
    <w:p w:rsidR="004D64CE" w:rsidRDefault="004D64CE">
      <w:pPr>
        <w:widowControl w:val="0"/>
        <w:spacing w:after="0"/>
        <w:jc w:val="center"/>
        <w:rPr>
          <w:rFonts w:ascii="Times New Roman" w:cs="Times New Roman" w:eastAsia="Times New Roman" w:hAnsi="Times New Roman"/>
          <w:b/>
          <w:sz w:val="32"/>
          <w:szCs w:val="32"/>
        </w:rPr>
      </w:pPr>
    </w:p>
    <w:p w:rsidR="004D64CE" w:rsidRDefault="00BF47A6">
      <w:pPr>
        <w:widowControl w:val="0"/>
        <w:spacing w:after="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 xml:space="preserve">Article </w:t>
      </w:r>
      <w:r>
        <w:rPr>
          <w:rFonts w:ascii="Times New Roman" w:cs="Times New Roman" w:eastAsia="Times New Roman" w:hAnsi="Times New Roman"/>
          <w:b/>
          <w:sz w:val="32"/>
          <w:szCs w:val="32"/>
        </w:rPr>
        <w:t>10</w:t>
      </w:r>
    </w:p>
    <w:p w:rsidR="004D64CE" w:rsidRDefault="00BF47A6">
      <w:pPr>
        <w:pBdr>
          <w:top w:val="nil"/>
          <w:left w:val="nil"/>
          <w:bottom w:val="nil"/>
          <w:right w:val="nil"/>
          <w:between w:val="nil"/>
        </w:pBdr>
        <w:spacing w:after="0"/>
        <w:jc w:val="center"/>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Clôture des négociations annuelles obligatoires au titre de l’année 2023</w:t>
      </w:r>
    </w:p>
    <w:p w:rsidR="004D64CE" w:rsidRDefault="004D64CE">
      <w:pPr>
        <w:jc w:val="both"/>
        <w:rPr>
          <w:rFonts w:ascii="Times New Roman" w:cs="Times New Roman" w:eastAsia="Times New Roman" w:hAnsi="Times New Roman"/>
          <w:sz w:val="24"/>
          <w:szCs w:val="24"/>
        </w:rPr>
      </w:pPr>
    </w:p>
    <w:p w:rsidR="004D64CE" w:rsidRDefault="00BF47A6">
      <w:p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 présent protocole clos les Négociations Annuelles Obligatoires pour l’année 2023 en ce qui concerne tous les points ayant trait à l’évolution des salaires, accessoires de salaire, tous les autres éléments financiers et toutes les autres conditions finan</w:t>
      </w:r>
      <w:r>
        <w:rPr>
          <w:rFonts w:ascii="Times New Roman" w:cs="Times New Roman" w:eastAsia="Times New Roman" w:hAnsi="Times New Roman"/>
          <w:sz w:val="24"/>
          <w:szCs w:val="24"/>
        </w:rPr>
        <w:t>cières, ainsi que pour l’ensemble des autres points visés par la négociation.</w:t>
      </w:r>
    </w:p>
    <w:p w:rsidR="004D64CE" w:rsidRDefault="00BF47A6">
      <w:p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Ce procès-verbal sera communiqué au personnel par voie d’affichage.</w:t>
      </w:r>
    </w:p>
    <w:p w:rsidR="004D64CE" w:rsidRDefault="004D64CE">
      <w:pPr>
        <w:jc w:val="both"/>
        <w:rPr>
          <w:rFonts w:ascii="Times New Roman" w:cs="Times New Roman" w:eastAsia="Times New Roman" w:hAnsi="Times New Roman"/>
          <w:sz w:val="24"/>
          <w:szCs w:val="24"/>
        </w:rPr>
      </w:pPr>
    </w:p>
    <w:p w:rsidR="004D64CE" w:rsidRDefault="00BF47A6">
      <w:p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Fait à Saint Denis, en trois exemplaires, le </w:t>
      </w:r>
      <w:r>
        <w:rPr>
          <w:rFonts w:ascii="Times New Roman" w:cs="Times New Roman" w:eastAsia="Times New Roman" w:hAnsi="Times New Roman"/>
          <w:sz w:val="24"/>
          <w:szCs w:val="24"/>
        </w:rPr>
        <w:t>24</w:t>
      </w:r>
      <w:r>
        <w:rPr>
          <w:rFonts w:ascii="Times New Roman" w:cs="Times New Roman" w:eastAsia="Times New Roman" w:hAnsi="Times New Roman"/>
          <w:sz w:val="24"/>
          <w:szCs w:val="24"/>
        </w:rPr>
        <w:t xml:space="preserve"> février 2023.</w:t>
      </w:r>
    </w:p>
    <w:p w:rsidR="004D64CE" w:rsidRDefault="004D64CE">
      <w:pPr>
        <w:jc w:val="both"/>
        <w:rPr>
          <w:rFonts w:ascii="Times New Roman" w:cs="Times New Roman" w:eastAsia="Times New Roman" w:hAnsi="Times New Roman"/>
          <w:sz w:val="24"/>
          <w:szCs w:val="24"/>
        </w:rPr>
      </w:pPr>
    </w:p>
    <w:p w:rsidR="004D64CE" w:rsidRDefault="004D64CE">
      <w:pPr>
        <w:jc w:val="both"/>
        <w:rPr>
          <w:rFonts w:ascii="Times New Roman" w:cs="Times New Roman" w:eastAsia="Times New Roman" w:hAnsi="Times New Roman"/>
          <w:sz w:val="24"/>
          <w:szCs w:val="24"/>
        </w:rPr>
      </w:pPr>
    </w:p>
    <w:p w:rsidR="004D64CE" w:rsidRDefault="00BF47A6">
      <w:pPr>
        <w:spacing w:after="0"/>
        <w:jc w:val="both"/>
        <w:rPr>
          <w:rFonts w:ascii="Times New Roman" w:cs="Times New Roman" w:eastAsia="Times New Roman" w:hAnsi="Times New Roman"/>
          <w:sz w:val="24"/>
          <w:szCs w:val="24"/>
        </w:rPr>
      </w:pPr>
      <w:r w:rsidRPr="00BF47A6">
        <w:rPr>
          <w:rFonts w:ascii="Times New Roman" w:cs="Times New Roman" w:eastAsia="Times New Roman" w:hAnsi="Times New Roman"/>
          <w:b/>
          <w:sz w:val="24"/>
          <w:szCs w:val="24"/>
        </w:rPr>
        <w:t>XXXXXXXXXXXXX</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proofErr w:type="spellStart"/>
      <w:r w:rsidRPr="00BF47A6">
        <w:rPr>
          <w:rFonts w:ascii="Times New Roman" w:cs="Times New Roman" w:eastAsia="Times New Roman" w:hAnsi="Times New Roman"/>
          <w:b/>
          <w:sz w:val="24"/>
          <w:szCs w:val="24"/>
        </w:rPr>
        <w:t>XXXXXXXXXXXXX</w:t>
      </w:r>
      <w:proofErr w:type="spellEnd"/>
    </w:p>
    <w:p w:rsidR="004D64CE" w:rsidRDefault="00BF47A6">
      <w:p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Pour </w:t>
      </w:r>
      <w:r>
        <w:rPr>
          <w:rFonts w:ascii="Times New Roman" w:cs="Times New Roman" w:eastAsia="Times New Roman" w:hAnsi="Times New Roman"/>
          <w:sz w:val="24"/>
          <w:szCs w:val="24"/>
        </w:rPr>
        <w:t>le Groupe Mutualité de la Réunion</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t>Pour la CFE-CGC</w:t>
      </w: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4D64CE">
      <w:pPr>
        <w:spacing w:after="0"/>
        <w:jc w:val="both"/>
        <w:rPr>
          <w:rFonts w:ascii="Times New Roman" w:cs="Times New Roman" w:eastAsia="Times New Roman" w:hAnsi="Times New Roman"/>
          <w:sz w:val="24"/>
          <w:szCs w:val="24"/>
        </w:rPr>
      </w:pPr>
    </w:p>
    <w:p w:rsidR="004D64CE" w:rsidRDefault="00BF47A6">
      <w:pPr>
        <w:spacing w:after="0"/>
        <w:jc w:val="both"/>
        <w:rPr>
          <w:rFonts w:ascii="Times New Roman" w:cs="Times New Roman" w:eastAsia="Times New Roman" w:hAnsi="Times New Roman"/>
          <w:sz w:val="24"/>
          <w:szCs w:val="24"/>
        </w:rPr>
      </w:pPr>
      <w:r w:rsidRPr="00BF47A6">
        <w:rPr>
          <w:rFonts w:ascii="Times New Roman" w:cs="Times New Roman" w:eastAsia="Times New Roman" w:hAnsi="Times New Roman"/>
          <w:b/>
          <w:sz w:val="24"/>
          <w:szCs w:val="24"/>
        </w:rPr>
        <w:t>XXXXXXXXXXXXX</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proofErr w:type="spellStart"/>
      <w:r w:rsidRPr="00BF47A6">
        <w:rPr>
          <w:rFonts w:ascii="Times New Roman" w:cs="Times New Roman" w:eastAsia="Times New Roman" w:hAnsi="Times New Roman"/>
          <w:b/>
          <w:sz w:val="24"/>
          <w:szCs w:val="24"/>
        </w:rPr>
        <w:t>XXXXXXXXXXXXX</w:t>
      </w:r>
      <w:proofErr w:type="spellEnd"/>
    </w:p>
    <w:p w:rsidR="004D64CE" w:rsidRDefault="00BF47A6">
      <w:p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Pour la CFTC-UR</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t>Pour FO</w:t>
      </w:r>
    </w:p>
    <w:sectPr w:rsidR="004D64CE">
      <w:headerReference r:id="rId7" w:type="default"/>
      <w:footerReference r:id="rId8" w:type="default"/>
      <w:pgSz w:h="16839" w:w="11907"/>
      <w:pgMar w:bottom="1133" w:footer="309" w:gutter="0" w:header="720" w:left="1133" w:right="1133" w:top="1133"/>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F47A6">
      <w:pPr>
        <w:spacing w:after="0" w:line="240" w:lineRule="auto"/>
      </w:pPr>
      <w:r>
        <w:separator/>
      </w:r>
    </w:p>
  </w:endnote>
  <w:endnote w:type="continuationSeparator" w:id="0">
    <w:p w:rsidR="00000000" w:rsidRDefault="00BF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tisSansSerif">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4D64CE" w:rsidRDefault="00BF47A6">
    <w:pPr>
      <w:pBdr>
        <w:top w:val="nil"/>
        <w:left w:val="nil"/>
        <w:bottom w:val="nil"/>
        <w:right w:val="nil"/>
        <w:between w:val="nil"/>
      </w:pBdr>
      <w:tabs>
        <w:tab w:pos="4536" w:val="center"/>
        <w:tab w:pos="9072" w:val="right"/>
      </w:tabs>
      <w:rPr>
        <w:color w:val="000000"/>
      </w:rPr>
    </w:pPr>
    <w:r>
      <w:rPr>
        <w:color w:val="000000"/>
      </w:rPr>
      <w:t xml:space="preserve">Paraphes :                                                                                                                                                   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sur </w:t>
    </w:r>
    <w:r>
      <w:t>10</w:t>
    </w:r>
  </w:p>
  <w:p w:rsidR="004D64CE" w:rsidRDefault="004D64CE">
    <w:pPr>
      <w:widowControl w:val="0"/>
      <w:spacing w:after="0" w:line="240" w:lineRule="auto"/>
      <w:rPr>
        <w:rFonts w:ascii="Verdana" w:cs="Verdana" w:eastAsia="Verdana" w:hAnsi="Verdana"/>
        <w:sz w:val="24"/>
        <w:szCs w:val="24"/>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000000" w:rsidRDefault="00BF47A6">
      <w:pPr>
        <w:spacing w:after="0" w:line="240" w:lineRule="auto"/>
      </w:pPr>
      <w:r>
        <w:separator/>
      </w:r>
    </w:p>
  </w:footnote>
  <w:footnote w:id="0" w:type="continuationSeparator">
    <w:p w:rsidR="00000000" w:rsidRDefault="00BF47A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4D64CE" w:rsidRDefault="00BF47A6">
    <w:pPr>
      <w:pBdr>
        <w:top w:val="nil"/>
        <w:left w:val="nil"/>
        <w:bottom w:val="nil"/>
        <w:right w:val="nil"/>
        <w:between w:val="nil"/>
      </w:pBdr>
      <w:tabs>
        <w:tab w:pos="4536" w:val="center"/>
        <w:tab w:pos="9072" w:val="right"/>
      </w:tabs>
      <w:rPr>
        <w:color w:val="000000"/>
      </w:rPr>
    </w:pPr>
    <w:r>
      <w:rPr>
        <w:noProof/>
        <w:color w:val="000000"/>
      </w:rPr>
      <w:drawing>
        <wp:inline distB="0" distL="114300" distR="114300" distT="0">
          <wp:extent cx="1297940" cy="793115"/>
          <wp:effectExtent b="0" l="0" r="0" t="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97940" cy="793115"/>
                  </a:xfrm>
                  <a:prstGeom prst="rect">
                    <a:avLst/>
                  </a:prstGeom>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832743B"/>
    <w:multiLevelType w:val="multilevel"/>
    <w:tmpl w:val="848C6D82"/>
    <w:lvl w:ilvl="0">
      <w:numFmt w:val="bullet"/>
      <w:lvlText w:val="-"/>
      <w:lvlJc w:val="left"/>
      <w:pPr>
        <w:ind w:hanging="360" w:left="720"/>
      </w:pPr>
      <w:rPr>
        <w:rFonts w:ascii="Calibri" w:cs="Calibri" w:eastAsia="Calibri" w:hAnsi="Calibri"/>
        <w:vertAlign w:val="baseline"/>
      </w:rPr>
    </w:lvl>
    <w:lvl w:ilvl="1">
      <w:start w:val="1"/>
      <w:numFmt w:val="bullet"/>
      <w:lvlText w:val="⮚"/>
      <w:lvlJc w:val="left"/>
      <w:pPr>
        <w:ind w:hanging="360" w:left="1440"/>
      </w:pPr>
      <w:rPr>
        <w:rFonts w:ascii="Noto Sans Symbols" w:cs="Noto Sans Symbols" w:eastAsia="Noto Sans Symbols" w:hAnsi="Noto Sans Symbols"/>
        <w:vertAlign w:val="baseline"/>
      </w:rPr>
    </w:lvl>
    <w:lvl w:ilvl="2">
      <w:numFmt w:val="bullet"/>
      <w:lvlText w:val="●"/>
      <w:lvlJc w:val="left"/>
      <w:pPr>
        <w:ind w:hanging="720" w:left="252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1">
    <w:nsid w:val="2B15019F"/>
    <w:multiLevelType w:val="multilevel"/>
    <w:tmpl w:val="BAE0D7C8"/>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2">
    <w:nsid w:val="354727DE"/>
    <w:multiLevelType w:val="multilevel"/>
    <w:tmpl w:val="39FCFABA"/>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3">
    <w:nsid w:val="44C16EE8"/>
    <w:multiLevelType w:val="multilevel"/>
    <w:tmpl w:val="207A65A8"/>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4A6E261E"/>
    <w:multiLevelType w:val="multilevel"/>
    <w:tmpl w:val="016033E0"/>
    <w:lvl w:ilvl="0">
      <w:start w:val="26"/>
      <w:numFmt w:val="bullet"/>
      <w:lvlText w:val="-"/>
      <w:lvlJc w:val="left"/>
      <w:pPr>
        <w:ind w:hanging="360" w:left="720"/>
      </w:pPr>
      <w:rPr>
        <w:rFonts w:ascii="Arial" w:cs="Arial" w:eastAsia="Arial" w:hAnsi="Arial"/>
        <w:vertAlign w:val="baseline"/>
      </w:rPr>
    </w:lvl>
    <w:lvl w:ilvl="1">
      <w:numFmt w:val="decimal"/>
      <w:lvlText w:val=""/>
      <w:lvlJc w:val="left"/>
      <w:pPr>
        <w:ind w:firstLine="0" w:left="0"/>
      </w:pPr>
      <w:rPr>
        <w:vertAlign w:val="baseline"/>
      </w:rPr>
    </w:lvl>
    <w:lvl w:ilvl="2">
      <w:numFmt w:val="decimal"/>
      <w:lvlText w:val=""/>
      <w:lvlJc w:val="left"/>
      <w:pPr>
        <w:ind w:firstLine="0" w:left="0"/>
      </w:pPr>
      <w:rPr>
        <w:vertAlign w:val="baseline"/>
      </w:rPr>
    </w:lvl>
    <w:lvl w:ilvl="3">
      <w:numFmt w:val="decimal"/>
      <w:lvlText w:val=""/>
      <w:lvlJc w:val="left"/>
      <w:pPr>
        <w:ind w:firstLine="0" w:left="0"/>
      </w:pPr>
      <w:rPr>
        <w:vertAlign w:val="baseline"/>
      </w:rPr>
    </w:lvl>
    <w:lvl w:ilvl="4">
      <w:numFmt w:val="decimal"/>
      <w:lvlText w:val=""/>
      <w:lvlJc w:val="left"/>
      <w:pPr>
        <w:ind w:firstLine="0" w:left="0"/>
      </w:pPr>
      <w:rPr>
        <w:vertAlign w:val="baseline"/>
      </w:rPr>
    </w:lvl>
    <w:lvl w:ilvl="5">
      <w:numFmt w:val="decimal"/>
      <w:lvlText w:val=""/>
      <w:lvlJc w:val="left"/>
      <w:pPr>
        <w:ind w:firstLine="0" w:left="0"/>
      </w:pPr>
      <w:rPr>
        <w:vertAlign w:val="baseline"/>
      </w:rPr>
    </w:lvl>
    <w:lvl w:ilvl="6">
      <w:numFmt w:val="decimal"/>
      <w:lvlText w:val=""/>
      <w:lvlJc w:val="left"/>
      <w:pPr>
        <w:ind w:firstLine="0" w:left="0"/>
      </w:pPr>
      <w:rPr>
        <w:vertAlign w:val="baseline"/>
      </w:rPr>
    </w:lvl>
    <w:lvl w:ilvl="7">
      <w:numFmt w:val="decimal"/>
      <w:lvlText w:val=""/>
      <w:lvlJc w:val="left"/>
      <w:pPr>
        <w:ind w:firstLine="0" w:left="0"/>
      </w:pPr>
      <w:rPr>
        <w:vertAlign w:val="baseline"/>
      </w:rPr>
    </w:lvl>
    <w:lvl w:ilvl="8">
      <w:numFmt w:val="decimal"/>
      <w:lvlText w:val=""/>
      <w:lvlJc w:val="left"/>
      <w:pPr>
        <w:ind w:firstLine="0" w:left="0"/>
      </w:pPr>
      <w:rPr>
        <w:vertAlign w:val="baseline"/>
      </w:rPr>
    </w:lvl>
  </w:abstractNum>
  <w:abstractNum w15:restartNumberingAfterBreak="0" w:abstractNumId="5">
    <w:nsid w:val="4D4A4FF2"/>
    <w:multiLevelType w:val="multilevel"/>
    <w:tmpl w:val="895CFB34"/>
    <w:lvl w:ilvl="0">
      <w:numFmt w:val="bullet"/>
      <w:lvlText w:val="-"/>
      <w:lvlJc w:val="left"/>
      <w:pPr>
        <w:ind w:hanging="359" w:left="644"/>
      </w:pPr>
      <w:rPr>
        <w:rFonts w:ascii="Arial" w:cs="Arial" w:eastAsia="Arial" w:hAnsi="Arial"/>
        <w:sz w:val="22"/>
        <w:szCs w:val="22"/>
        <w:vertAlign w:val="baseline"/>
      </w:rPr>
    </w:lvl>
    <w:lvl w:ilvl="1">
      <w:numFmt w:val="decimal"/>
      <w:lvlText w:val=""/>
      <w:lvlJc w:val="left"/>
      <w:pPr>
        <w:ind w:firstLine="0" w:left="0"/>
      </w:pPr>
      <w:rPr>
        <w:vertAlign w:val="baseline"/>
      </w:rPr>
    </w:lvl>
    <w:lvl w:ilvl="2">
      <w:numFmt w:val="decimal"/>
      <w:lvlText w:val=""/>
      <w:lvlJc w:val="left"/>
      <w:pPr>
        <w:ind w:firstLine="0" w:left="0"/>
      </w:pPr>
      <w:rPr>
        <w:vertAlign w:val="baseline"/>
      </w:rPr>
    </w:lvl>
    <w:lvl w:ilvl="3">
      <w:numFmt w:val="decimal"/>
      <w:lvlText w:val=""/>
      <w:lvlJc w:val="left"/>
      <w:pPr>
        <w:ind w:firstLine="0" w:left="0"/>
      </w:pPr>
      <w:rPr>
        <w:vertAlign w:val="baseline"/>
      </w:rPr>
    </w:lvl>
    <w:lvl w:ilvl="4">
      <w:numFmt w:val="decimal"/>
      <w:lvlText w:val=""/>
      <w:lvlJc w:val="left"/>
      <w:pPr>
        <w:ind w:firstLine="0" w:left="0"/>
      </w:pPr>
      <w:rPr>
        <w:vertAlign w:val="baseline"/>
      </w:rPr>
    </w:lvl>
    <w:lvl w:ilvl="5">
      <w:numFmt w:val="decimal"/>
      <w:lvlText w:val=""/>
      <w:lvlJc w:val="left"/>
      <w:pPr>
        <w:ind w:firstLine="0" w:left="0"/>
      </w:pPr>
      <w:rPr>
        <w:vertAlign w:val="baseline"/>
      </w:rPr>
    </w:lvl>
    <w:lvl w:ilvl="6">
      <w:numFmt w:val="decimal"/>
      <w:lvlText w:val=""/>
      <w:lvlJc w:val="left"/>
      <w:pPr>
        <w:ind w:firstLine="0" w:left="0"/>
      </w:pPr>
      <w:rPr>
        <w:vertAlign w:val="baseline"/>
      </w:rPr>
    </w:lvl>
    <w:lvl w:ilvl="7">
      <w:numFmt w:val="decimal"/>
      <w:lvlText w:val=""/>
      <w:lvlJc w:val="left"/>
      <w:pPr>
        <w:ind w:firstLine="0" w:left="0"/>
      </w:pPr>
      <w:rPr>
        <w:vertAlign w:val="baseline"/>
      </w:rPr>
    </w:lvl>
    <w:lvl w:ilvl="8">
      <w:numFmt w:val="decimal"/>
      <w:lvlText w:val=""/>
      <w:lvlJc w:val="left"/>
      <w:pPr>
        <w:ind w:firstLine="0" w:left="0"/>
      </w:pPr>
      <w:rPr>
        <w:vertAlign w:val="baseline"/>
      </w:rPr>
    </w:lvl>
  </w:abstractNum>
  <w:abstractNum w15:restartNumberingAfterBreak="0" w:abstractNumId="6">
    <w:nsid w:val="4E1A70DC"/>
    <w:multiLevelType w:val="multilevel"/>
    <w:tmpl w:val="D5C46F1E"/>
    <w:lvl w:ilvl="0">
      <w:start w:val="5"/>
      <w:numFmt w:val="bullet"/>
      <w:lvlText w:val="-"/>
      <w:lvlJc w:val="left"/>
      <w:pPr>
        <w:ind w:hanging="360" w:left="2520"/>
      </w:pPr>
      <w:rPr>
        <w:rFonts w:ascii="RotisSansSerif" w:cs="RotisSansSerif" w:eastAsia="RotisSansSerif" w:hAnsi="RotisSansSerif"/>
        <w:color w:val="000000"/>
        <w:vertAlign w:val="baseline"/>
      </w:rPr>
    </w:lvl>
    <w:lvl w:ilvl="1">
      <w:numFmt w:val="decimal"/>
      <w:lvlText w:val=""/>
      <w:lvlJc w:val="left"/>
      <w:pPr>
        <w:ind w:firstLine="0" w:left="0"/>
      </w:pPr>
      <w:rPr>
        <w:vertAlign w:val="baseline"/>
      </w:rPr>
    </w:lvl>
    <w:lvl w:ilvl="2">
      <w:numFmt w:val="decimal"/>
      <w:lvlText w:val=""/>
      <w:lvlJc w:val="left"/>
      <w:pPr>
        <w:ind w:firstLine="0" w:left="0"/>
      </w:pPr>
      <w:rPr>
        <w:vertAlign w:val="baseline"/>
      </w:rPr>
    </w:lvl>
    <w:lvl w:ilvl="3">
      <w:numFmt w:val="decimal"/>
      <w:lvlText w:val=""/>
      <w:lvlJc w:val="left"/>
      <w:pPr>
        <w:ind w:firstLine="0" w:left="0"/>
      </w:pPr>
      <w:rPr>
        <w:vertAlign w:val="baseline"/>
      </w:rPr>
    </w:lvl>
    <w:lvl w:ilvl="4">
      <w:numFmt w:val="decimal"/>
      <w:lvlText w:val=""/>
      <w:lvlJc w:val="left"/>
      <w:pPr>
        <w:ind w:firstLine="0" w:left="0"/>
      </w:pPr>
      <w:rPr>
        <w:vertAlign w:val="baseline"/>
      </w:rPr>
    </w:lvl>
    <w:lvl w:ilvl="5">
      <w:numFmt w:val="decimal"/>
      <w:lvlText w:val=""/>
      <w:lvlJc w:val="left"/>
      <w:pPr>
        <w:ind w:firstLine="0" w:left="0"/>
      </w:pPr>
      <w:rPr>
        <w:vertAlign w:val="baseline"/>
      </w:rPr>
    </w:lvl>
    <w:lvl w:ilvl="6">
      <w:numFmt w:val="decimal"/>
      <w:lvlText w:val=""/>
      <w:lvlJc w:val="left"/>
      <w:pPr>
        <w:ind w:firstLine="0" w:left="0"/>
      </w:pPr>
      <w:rPr>
        <w:vertAlign w:val="baseline"/>
      </w:rPr>
    </w:lvl>
    <w:lvl w:ilvl="7">
      <w:numFmt w:val="decimal"/>
      <w:lvlText w:val=""/>
      <w:lvlJc w:val="left"/>
      <w:pPr>
        <w:ind w:firstLine="0" w:left="0"/>
      </w:pPr>
      <w:rPr>
        <w:vertAlign w:val="baseline"/>
      </w:rPr>
    </w:lvl>
    <w:lvl w:ilvl="8">
      <w:numFmt w:val="decimal"/>
      <w:lvlText w:val=""/>
      <w:lvlJc w:val="left"/>
      <w:pPr>
        <w:ind w:firstLine="0" w:left="0"/>
      </w:pPr>
      <w:rPr>
        <w:vertAlign w:val="baseline"/>
      </w:rPr>
    </w:lvl>
  </w:abstractNum>
  <w:num w:numId="1">
    <w:abstractNumId w:val="4"/>
  </w:num>
  <w:num w:numId="2">
    <w:abstractNumId w:val="5"/>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60"/>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CE"/>
    <w:rsid w:val="004D64CE"/>
    <w:rsid w:val="00BF47A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0640BB7"/>
  <w15:docId w15:val="{B9B1976A-C30E-42F4-818F-BA6A167E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cs="Calibri" w:eastAsia="Calibri" w:hAnsi="Calibri"/>
        <w:sz w:val="22"/>
        <w:szCs w:val="22"/>
        <w:lang w:bidi="ar-SA" w:eastAsia="fr-FR"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Titre1" w:type="paragraph">
    <w:name w:val="heading 1"/>
    <w:basedOn w:val="Normal"/>
    <w:next w:val="Normal"/>
    <w:uiPriority w:val="9"/>
    <w:qFormat/>
    <w:pPr>
      <w:keepNext/>
      <w:keepLines/>
      <w:spacing w:after="120" w:before="480"/>
      <w:outlineLvl w:val="0"/>
    </w:pPr>
    <w:rPr>
      <w:b/>
      <w:sz w:val="48"/>
      <w:szCs w:val="48"/>
    </w:rPr>
  </w:style>
  <w:style w:styleId="Titre2" w:type="paragraph">
    <w:name w:val="heading 2"/>
    <w:basedOn w:val="Normal"/>
    <w:next w:val="Normal"/>
    <w:uiPriority w:val="9"/>
    <w:semiHidden/>
    <w:unhideWhenUsed/>
    <w:qFormat/>
    <w:pPr>
      <w:keepNext/>
      <w:keepLines/>
      <w:spacing w:after="80" w:before="360"/>
      <w:outlineLvl w:val="1"/>
    </w:pPr>
    <w:rPr>
      <w:b/>
      <w:sz w:val="36"/>
      <w:szCs w:val="36"/>
    </w:rPr>
  </w:style>
  <w:style w:styleId="Titre3" w:type="paragraph">
    <w:name w:val="heading 3"/>
    <w:basedOn w:val="Normal"/>
    <w:next w:val="Normal"/>
    <w:uiPriority w:val="9"/>
    <w:semiHidden/>
    <w:unhideWhenUsed/>
    <w:qFormat/>
    <w:pPr>
      <w:keepNext/>
      <w:keepLines/>
      <w:spacing w:after="80" w:before="280"/>
      <w:outlineLvl w:val="2"/>
    </w:pPr>
    <w:rPr>
      <w:b/>
      <w:sz w:val="28"/>
      <w:szCs w:val="28"/>
    </w:rPr>
  </w:style>
  <w:style w:styleId="Titre4" w:type="paragraph">
    <w:name w:val="heading 4"/>
    <w:basedOn w:val="Normal"/>
    <w:next w:val="Normal"/>
    <w:uiPriority w:val="9"/>
    <w:semiHidden/>
    <w:unhideWhenUsed/>
    <w:qFormat/>
    <w:pPr>
      <w:keepNext/>
      <w:keepLines/>
      <w:spacing w:after="40" w:before="240"/>
      <w:outlineLvl w:val="3"/>
    </w:pPr>
    <w:rPr>
      <w:b/>
      <w:sz w:val="24"/>
      <w:szCs w:val="24"/>
    </w:rPr>
  </w:style>
  <w:style w:styleId="Titre5" w:type="paragraph">
    <w:name w:val="heading 5"/>
    <w:basedOn w:val="Normal"/>
    <w:next w:val="Normal"/>
    <w:uiPriority w:val="9"/>
    <w:semiHidden/>
    <w:unhideWhenUsed/>
    <w:qFormat/>
    <w:pPr>
      <w:keepNext/>
      <w:keepLines/>
      <w:spacing w:after="40" w:before="220"/>
      <w:outlineLvl w:val="4"/>
    </w:pPr>
    <w:rPr>
      <w:b/>
    </w:rPr>
  </w:style>
  <w:style w:styleId="Titre6" w:type="paragraph">
    <w:name w:val="heading 6"/>
    <w:basedOn w:val="Normal"/>
    <w:next w:val="Normal"/>
    <w:uiPriority w:val="9"/>
    <w:semiHidden/>
    <w:unhideWhenUsed/>
    <w:qFormat/>
    <w:pPr>
      <w:keepNext/>
      <w:keepLines/>
      <w:spacing w:after="40" w:before="200"/>
      <w:outlineLvl w:val="5"/>
    </w:pPr>
    <w:rPr>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uiPriority w:val="10"/>
    <w:qFormat/>
    <w:pPr>
      <w:keepNext/>
      <w:keepLines/>
      <w:spacing w:after="120" w:before="480"/>
    </w:pPr>
    <w:rPr>
      <w:b/>
      <w:sz w:val="72"/>
      <w:szCs w:val="72"/>
    </w:rPr>
  </w:style>
  <w:style w:styleId="Sous-titr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CellMar>
        <w:top w:type="dxa" w:w="0"/>
        <w:left w:type="dxa" w:w="70"/>
        <w:bottom w:type="dxa" w:w="0"/>
        <w:right w:type="dxa" w:w="70"/>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2904</Words>
  <Characters>15976</Characters>
  <Application>Microsoft Office Word</Application>
  <DocSecurity>0</DocSecurity>
  <Lines>133</Lines>
  <Paragraphs>37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2023-02-27T05:32:00Z</dcterms:created>
  <dcterms:modified xsi:type="dcterms:W3CDTF">2023-02-27T05:32:00Z</dcterms:modified>
  <cp:revision>2</cp:revision>
</cp:coreProperties>
</file>