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Future design and research opportunities · Nava PBC</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Nava design and research portfolio</w:t>
        </w:r>
      </w:hyperlink>
    </w:p>
    <w:p>
      <w:r>
        <w:t>September 8, 2026</w:t>
      </w:r>
    </w:p>
    <w:p>
      <w:r>
        <w:t>Dear Nava design and research team,</w:t>
      </w:r>
    </w:p>
    <w:p>
      <w:pPr>
        <w:spacing w:after="200"/>
      </w:pPr>
      <w:r>
        <w:t>I’m sharing my work for future design and research opportunities at Nava. Nava Labs’ Caseworker Empowerment Toolkit gives staff policy citations they can check before acting. That connection between information, evidence and the next action is central to my current product work. I would bring operational UX and education experience to a public-service team.</w:t>
      </w:r>
    </w:p>
    <w:p>
      <w:pPr>
        <w:spacing w:after="200"/>
      </w:pPr>
      <w:r>
        <w:t>At FactorLab, I design SmartTagIt workflows and document their behavior for engineering. For its Flint assistant, a stopped answer and a lost connection leave different information available. I worked through their messages, recovery actions and return paths. In the About Me experience, I explored how a summary should connect to its evidence, while keeping comparison language from turning every difference into a performance judgment.</w:t>
      </w:r>
    </w:p>
    <w:p>
      <w:pPr>
        <w:spacing w:after="200"/>
      </w:pPr>
      <w:r>
        <w:t>Research helps me decide which change is worth making. At Oak, I connected an evaluation to navigation alternatives and field-level login feedback. In a recent Oppia learning-product review, I asked engineering to clarify autosave and save-on-exit behavior before finalizing the dialog guidance. The wording and the underlying behavior needed to agree.</w:t>
      </w:r>
    </w:p>
    <w:p>
      <w:pPr>
        <w:spacing w:after="200"/>
      </w:pPr>
      <w:r>
        <w:t>My ASU instructional design and conversational AI work also involved making technical ideas usable for learners and staff. On a future Nava project, I would start by learning from people using and delivering the service, identify where rules or system states become confusing, then work with the team to test a manageable change. That is a proposed starting approach, not a claim of prior government-contract delivery.</w:t>
      </w:r>
    </w:p>
    <w:p>
      <w:pPr>
        <w:spacing w:after="200"/>
      </w:pPr>
      <w:r>
        <w:t>The linked portfolio shows the original work behind these examples. I’m based in Mesa, available for U.S. remote work as soon as possible and authorized to work without sponsorship. I would welcome a conversation when a suitable design or research opportunity opens.</w:t>
      </w:r>
    </w:p>
    <w:p>
      <w:r>
        <w:t>Thank you,</w:t>
        <w:br/>
        <w:t>Kyle Hobson</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nava-design-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Nava PBC Design and Research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