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Strike Trust Designer Application</w:t>
      </w:r>
    </w:p>
    <w:p>
      <w:r>
        <w:t xml:space="preserve">Mesa, Arizona  |  </w:t>
      </w:r>
      <w:hyperlink r:id="rId10">
        <w:r>
          <w:rPr>
            <w:color w:val="244D3C"/>
            <w:u w:val="single"/>
          </w:rPr>
          <w:t>JonathanKyleHobson@gmail.com</w:t>
        </w:r>
      </w:hyperlink>
    </w:p>
    <w:p>
      <w:r>
        <w:t>September 8, 2026</w:t>
      </w:r>
    </w:p>
    <w:p>
      <w:r>
        <w:t>Dear Strike team,</w:t>
      </w:r>
    </w:p>
    <w:p>
      <w:pPr>
        <w:spacing w:after="180"/>
      </w:pPr>
      <w:r>
        <w:t>I’m applying for Strike’s Trust Designer role. Security checks, limits and account restrictions need to explain what happened and what remains possible. That connects to decisions I have been making in product interfaces: what the person can see, what an action promises, and how someone recovers when a flow stops.</w:t>
      </w:r>
    </w:p>
    <w:p>
      <w:pPr>
        <w:spacing w:after="180"/>
      </w:pPr>
      <w:r>
        <w:t>At FactorLab, I design mobile and web interactions for SmartTagIt. In Flint, I separated an incomplete answer from a lost connection and designed the actions that follow each condition. I organized those flows in an annotated engineering handoff. For About Me, I worked on summaries and routes into supporting detail so a person could inspect the information behind a recommendation.</w:t>
      </w:r>
    </w:p>
    <w:p>
      <w:pPr>
        <w:spacing w:after="180"/>
      </w:pPr>
      <w:r>
        <w:t>At Oak AI, my research led to specific interface recommendations, including moving login feedback beside the field where someone could act on it and documenting consistent color roles. I worked with the lead designer on the alternatives and kept validation questions visible. Those projects are the strongest evidence for my approach to the feedback and interaction patterns in this role.</w:t>
      </w:r>
    </w:p>
    <w:p>
      <w:pPr>
        <w:spacing w:after="180"/>
      </w:pPr>
      <w:r>
        <w:t xml:space="preserve">Your </w:t>
      </w:r>
      <w:hyperlink r:id="rId11">
        <w:r>
          <w:rPr>
            <w:color w:val="244D3C"/>
            <w:u w:val="single"/>
          </w:rPr>
          <w:t>2024 limits announcement</w:t>
        </w:r>
      </w:hyperlink>
      <w:r>
        <w:t xml:space="preserve"> describes making pending and available balances visible. That is a concrete example of how a product can explain a restriction without leaving someone guessing. I would bring that attention to states and next actions while learning Strike’s security and financial constraints with the team. I’m based in Mesa, Arizona, have full U.S. work authorization and can start as soon as possible.</w:t>
      </w:r>
    </w:p>
    <w:p>
      <w:r>
        <w:t>Thank you,</w:t>
        <w:br/>
        <w:t>Kyle Hobson</w:t>
      </w:r>
    </w:p>
    <w:p>
      <w:pPr>
        <w:spacing w:after="40"/>
      </w:pPr>
      <w:r>
        <w:t>Portfolio prepared for Strike:</w:t>
      </w:r>
    </w:p>
    <w:p>
      <w:pPr>
        <w:spacing w:line="280" w:lineRule="exact"/>
      </w:pPr>
      <w:hyperlink r:id="rId12">
        <w:r>
          <w:rPr>
            <w:color w:val="244D3C"/>
            <w:u w:val="single"/>
          </w:rPr>
          <w:t>https://jonathankhobson.github.io/application-portfolios/strike-trust-designer/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strike.me/blog/announcing-better-limits/" TargetMode="External"/><Relationship Id="rId12" Type="http://schemas.openxmlformats.org/officeDocument/2006/relationships/hyperlink" Target="https://jonathankhobson.github.io/application-portfolios/strike-trus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Strike</dc:title>
  <dc:subject>Trust Designer (Strike)</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