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AI Adoption Specialist application - Blackbaud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Blackbaud application portfolio</w:t>
        </w:r>
      </w:hyperlink>
    </w:p>
    <w:p>
      <w:r>
        <w:t>September 8, 2026</w:t>
      </w:r>
    </w:p>
    <w:p>
      <w:r>
        <w:t>Dear Blackbaud hiring team,</w:t>
      </w:r>
    </w:p>
    <w:p>
      <w:pPr>
        <w:spacing w:after="200"/>
      </w:pPr>
      <w:r>
        <w:t>I’m applying for Blackbaud’s AI Adoption Specialist role, R0014520. Helping people incorporate AI into a real task takes clear guidance, a useful practice opportunity and a way to check what changed. That connects directly to my work across ASU instructional design and AI analysis, Coursera teaching and product UX research.</w:t>
      </w:r>
    </w:p>
    <w:p>
      <w:pPr>
        <w:spacing w:after="200"/>
      </w:pPr>
      <w:r>
        <w:t>At ASU Knowledge Enterprise, I developed digital learning materials and workshops with accessibility improvements and AI-supported content workflows. My published Coursera project teaches beginners to write a prompt, inspect its result, revise the instruction and compare the next draft. I produced original demonstrations and revised quiz content through the review process. Its 4,700+ enrollments as of September 2026 show reach; I would assess workplace adoption through task performance and repeated use in the actual work context.</w:t>
      </w:r>
    </w:p>
    <w:p>
      <w:pPr>
        <w:spacing w:after="200"/>
      </w:pPr>
      <w:r>
        <w:t>My UX and independent AI work add a practical review discipline. For FactorLab’s Flint assistant, I distinguished an interrupted answer from a lost connection and documented the different recovery actions for engineering. In Prompt Compass, a designed regression case checks whether a shorter prompt still preserves required fields and human review conditions. Both examples start with what the person needs to understand and what the system must preserve.</w:t>
      </w:r>
    </w:p>
    <w:p>
      <w:pPr>
        <w:spacing w:after="200"/>
      </w:pPr>
      <w:r>
        <w:t>Blackbaud’s emphasis on human oversight in responsible AI is a reason I’m interested in this role. For an initial adoption effort, I would learn one team’s task and readiness barriers, agree on a worked example and job aid, and test the guidance with representative employees. I would define the baseline and success measures with the product owner, then use observed difficulties and repeat-task evidence to guide revisions. This is the approach I would bring to the team. I’m based in Mesa, authorized to work in the U.S. without sponsorship and available to start as soon as possible.</w:t>
      </w:r>
    </w:p>
    <w:p>
      <w:r>
        <w:t>Thank you,</w:t>
        <w:br/>
        <w:t>Kyle Hobson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blackbaud-ai-ado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Blackbaud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