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Designer - Content Solutions | Fueled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Fueled Content Design team,</w:t>
      </w:r>
    </w:p>
    <w:p>
      <w:pPr>
        <w:spacing w:after="180"/>
      </w:pPr>
      <w:r>
        <w:t>Content-heavy products ask people to make sense of a lot before they can act. Your Content Solutions role interests me because it brings information structure, reusable design patterns, and client communication into the same work. I would like to join Fueled’s contractor network and contribute the product design and research experience shown in this selection.</w:t>
      </w:r>
    </w:p>
    <w:p>
      <w:pPr>
        <w:spacing w:after="180"/>
      </w:pPr>
      <w:r>
        <w:t>At FactorLab, I developed About Me insight widgets for SmartTagIt: summaries, recommendations, Simple 7, comparisons, and accomplishments. I explored their order and density and raised questions about how people would interpret them. A comparison that says someone mentions fatigue less often still needs context before it can be treated as good or bad. I used those interpretation questions to guide the interface discussion with the team.</w:t>
      </w:r>
    </w:p>
    <w:p>
      <w:pPr>
        <w:spacing w:after="180"/>
      </w:pPr>
      <w:r>
        <w:t>I also designed Flint’s mobile question entry, waiting, and recovery states, connecting the flow and next actions in engineering walkthroughs. At Oak AI, I translated usability findings into navigation and login-feedback recommendations and collaborated with the lead UX designer on mockups. These projects show how I move from an unclear problem to an alternative that clients and teammates can discuss.</w:t>
      </w:r>
    </w:p>
    <w:p>
      <w:pPr>
        <w:spacing w:after="180"/>
      </w:pPr>
      <w:r>
        <w:t>Fueled’s work with PMC, including tools for editorial workflows and content discovery, is relevant to the problems I enjoy working through. My strongest demonstrated overlap is information hierarchy, reusable interfaces, and human–AI interaction. I would bring that foundation to your CMS-driven projects while learning the team’s content models and publishing constraints. My ASU instructional-design work and technical communication background also help me organize content around what a person needs to understand and do.</w:t>
      </w:r>
    </w:p>
    <w:p>
      <w:pPr>
        <w:spacing w:after="180"/>
      </w:pPr>
      <w:r>
        <w:t>I bring six years of Figma experience. I am based in Mesa, Arizona, authorized to work in the United States without sponsorship, and available to start as soon as possible during U.S. business hours. I would welcome a conversation about the content and product work coming through your contractor network.</w:t>
      </w:r>
    </w:p>
    <w:p>
      <w:r>
        <w:t>Thank you,</w:t>
        <w:br/>
        <w:t>Kyle Hobson</w:t>
      </w:r>
    </w:p>
    <w:p>
      <w:hyperlink r:id="rId11">
        <w:r>
          <w:rPr>
            <w:color w:val="244D3C"/>
            <w:u w:val="single"/>
          </w:rPr>
          <w:t>View the portfolio and presentation selected for Fueled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fueled-content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Fueled Cover Letter</dc:title>
  <dc:subject>Product Designer - Content Solutions - 5173502008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