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· Timely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Timely product design portfolio</w:t>
        </w:r>
      </w:hyperlink>
    </w:p>
    <w:p>
      <w:r>
        <w:t>September 8, 2026</w:t>
      </w:r>
    </w:p>
    <w:p>
      <w:r>
        <w:t>Dear Timely product team,</w:t>
      </w:r>
    </w:p>
    <w:p>
      <w:pPr>
        <w:spacing w:after="200"/>
      </w:pPr>
      <w:r>
        <w:t>I’m applying for Timely’s Product Designer role. Your Mahwah case study describes making the effects of staffing choices visible before committing to a schedule. I’m interested in making those decisions easier to understand and test. My work combines operational product design at FactorLab, research at Oak and learning and AI experience at ASU.</w:t>
      </w:r>
    </w:p>
    <w:p>
      <w:pPr>
        <w:spacing w:after="200"/>
      </w:pPr>
      <w:r>
        <w:t>At Oak, I connected a desktop usability evaluation to navigation alternatives and field-level login feedback, working with the lead UX designer. The goal was to make each recommendation concrete enough to discuss and act on. At FactorLab, I bring the same approach to Figma prototypes, reusable interface patterns and engineering annotations for SmartTagIt.</w:t>
      </w:r>
    </w:p>
    <w:p>
      <w:pPr>
        <w:spacing w:after="200"/>
      </w:pPr>
      <w:r>
        <w:t>For its Flint assistant, a stopped answer and a lost connection leave different information available. I worked through the messages, recovery actions and return paths for both. In About Me, I explored how feedback summaries connect to their supporting evidence, including comparison language that avoids unsupported performance judgments.</w:t>
      </w:r>
    </w:p>
    <w:p>
      <w:pPr>
        <w:spacing w:after="200"/>
      </w:pPr>
      <w:r>
        <w:t>My ASU work included digital learning materials and conversational AI flows. I proposed a staged prompt workflow with mentor review before personalized guidance reached learners. At Oppia, a recent learning-product review meant clarifying autosave behavior with engineering before finalizing the dialog guidance.</w:t>
      </w:r>
    </w:p>
    <w:p>
      <w:pPr>
        <w:spacing w:after="200"/>
      </w:pPr>
      <w:r>
        <w:t>School master scheduling would be a new domain for me. I would start by observing a scheduler work through one difficult decision, map the constraints with your team and prototype a focused improvement before expanding it. That is a proposed starting approach; the portfolio shows my original design and research work. I’m based in Mesa, available for U.S. remote work as soon as possible and authorized to work without sponsorship.</w:t>
      </w:r>
    </w:p>
    <w:p>
      <w:r>
        <w:t>Thank you,</w:t>
        <w:br/>
        <w:t>Kyle Hobson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timely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Timely Product Designer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