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Researcher | Freelance and Embedded Research at Blink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Blink research team,</w:t>
      </w:r>
    </w:p>
    <w:p>
      <w:pPr>
        <w:spacing w:after="160"/>
      </w:pPr>
      <w:r>
        <w:t>I am interested in joining Blink’s freelance and embedded research network because your work connects research to decisions a client needs to make. Your current focus on AI workflows is especially relevant to my experience in AI products and digital learning. I enjoy the point in a project when a broad concern becomes a study question that the team can act on.</w:t>
      </w:r>
    </w:p>
    <w:p>
      <w:pPr>
        <w:spacing w:after="160"/>
      </w:pPr>
      <w:r>
        <w:t>At Oak AI, I led survey design, launch, and analysis for a creator-audience study with 1,459 completed submissions at the March 14, 2025 snapshot. I combined structured questions about barriers with open responses about useful support. The findings informed a proposed Action Hub direction, while the voluntary sample and self-reported preferences set clear limits on what we could conclude. The next question was whether people could choose and complete an action in a prototype.</w:t>
      </w:r>
    </w:p>
    <w:p>
      <w:pPr>
        <w:spacing w:after="160"/>
      </w:pPr>
      <w:r>
        <w:t>In separate Oak work, I coded privacy-community observations in Dovetail and used the themes to question our audience assumptions. I also conducted a desktop heuristic evaluation and presented recommendations for navigation and error recovery. My portfolio distinguishes those methods: an expert review can identify an interface problem worth investigating, but it does not establish how often users encounter it.</w:t>
      </w:r>
    </w:p>
    <w:p>
      <w:pPr>
        <w:spacing w:after="160"/>
      </w:pPr>
      <w:r>
        <w:t>Today, my contract work at FactorLab connects usability questions with Figma prototypes and engineering decisions. I also serve as UX Research Lead in my volunteer work with Oppia. Across these settings, I make assumptions visible and keep a record of why a recommendation changed. Blink’s emphasis on clear responsibilities, autonomy, and feedback fits how I want to work with a client team.</w:t>
      </w:r>
    </w:p>
    <w:p>
      <w:pPr>
        <w:spacing w:after="160"/>
      </w:pPr>
      <w:r>
        <w:t>I would welcome a conversation about an upcoming research engagement. I am based in Mesa, Arizona, authorized to work in the United States without sponsorship, and available to start as soon as possible. I am open to both freelance projects and embedded roles. The separate portfolio and presentation linked below show my contribution, source evidence, and the next question each study raised.</w:t>
      </w:r>
    </w:p>
    <w:p>
      <w:r>
        <w:t>Thank you,</w:t>
        <w:br/>
        <w:t>Kyle Hobson</w:t>
      </w:r>
    </w:p>
    <w:p>
      <w:r>
        <w:t xml:space="preserve">Selected work: </w:t>
      </w:r>
      <w:hyperlink r:id="rId11">
        <w:r>
          <w:rPr>
            <w:color w:val="244D3C"/>
            <w:u w:val="single"/>
          </w:rPr>
          <w:t>View the Blink research portfolio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blink-ux-resear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— Blink UX Research Cover Letter</dc:title>
  <dc:subject>Blink Senior UX Researcher — General Opportunity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