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ASU EdPlus UX Researcher Senior | JR126787</w:t>
      </w:r>
    </w:p>
    <w:p>
      <w:r>
        <w:t xml:space="preserve">Mesa, Arizona  |  </w:t>
      </w:r>
      <w:hyperlink r:id="rId10">
        <w:r>
          <w:rPr>
            <w:color w:val="244D3C"/>
            <w:u w:val="single"/>
          </w:rPr>
          <w:t>JonathanKyleHobson@gmail.com</w:t>
        </w:r>
      </w:hyperlink>
    </w:p>
    <w:p>
      <w:r>
        <w:t>September 8, 2026</w:t>
      </w:r>
    </w:p>
    <w:p>
      <w:r>
        <w:t>Dear ASU EdPlus team,</w:t>
      </w:r>
    </w:p>
    <w:p>
      <w:pPr>
        <w:spacing w:after="180"/>
      </w:pPr>
      <w:r>
        <w:t>I’m applying for the UX Researcher Senior role at EdPlus. I want my research to help people reach learning opportunities that might otherwise feel out of reach. My work in digital learning, an MS in User Experience from ASU, and product research at Oak AI connect directly to that purpose. I’m interested in conducting research with your product team and helping student researchers develop their judgment.</w:t>
      </w:r>
    </w:p>
    <w:p>
      <w:pPr>
        <w:spacing w:after="180"/>
      </w:pPr>
      <w:r>
        <w:t>One project that shows my approach is the Oak + Qasim audience survey. I led survey design, launch, and analysis; the March 14, 2025 report recorded 1,459 completed submissions. We wanted to understand what kept an interested audience from taking action. I combined structured questions about barriers with open responses about useful support, then translated the findings into a proposed Action Hub with smaller tasks, clearer instructions, and feedback. The research shaped a product direction to test. It did not establish adoption: this was a voluntary sample, and per-item response bases were unavailable.</w:t>
      </w:r>
    </w:p>
    <w:p>
      <w:pPr>
        <w:spacing w:after="180"/>
      </w:pPr>
      <w:r>
        <w:t>In separate Oak research, I coded privacy-community observations in Dovetail and used concerns about control and accountability to question an audience assumption. A desktop evaluation led to recommendations for navigation and error recovery that I presented for backlog planning. Across these projects, I worked to make the evidence and its limits clear enough for others to challenge and use.</w:t>
      </w:r>
    </w:p>
    <w:p>
      <w:pPr>
        <w:spacing w:after="180"/>
      </w:pPr>
      <w:r>
        <w:t>My learning experience includes instructional-design work with ASU Knowledge Enterprise and an ASU Learning Innovations proposal that placed mentor review before AI-generated tasks reached learners. At Oppia, where I volunteer and currently serve as UX Research Lead, I review lesson-player interactions with designers and engineers. I would bring that combination of research and learning context to EdPlus, along with a willingness to learn from your students and team.</w:t>
      </w:r>
    </w:p>
    <w:p>
      <w:pPr>
        <w:spacing w:after="180"/>
      </w:pPr>
      <w:r>
        <w:t>I’m based in Mesa and open to hybrid work in Scottsdale. I’d welcome a conversation about the learner experience your team is investigating next.</w:t>
      </w:r>
    </w:p>
    <w:p>
      <w:r>
        <w:t>Thank you,</w:t>
        <w:br/>
        <w:t>Kyle Hobson</w:t>
      </w:r>
    </w:p>
    <w:p>
      <w:pPr>
        <w:spacing w:after="40"/>
      </w:pPr>
      <w:r>
        <w:t>Portfolio prepared for ASU EdPlus:</w:t>
      </w:r>
    </w:p>
    <w:p>
      <w:pPr>
        <w:spacing w:line="280" w:lineRule="exact"/>
      </w:pPr>
      <w:hyperlink r:id="rId11">
        <w:r>
          <w:rPr>
            <w:color w:val="244D3C"/>
            <w:u w:val="single"/>
          </w:rPr>
          <w:t>https://jonathankhobson.github.io/application-portfolios/asu-edplus-ux-researcher/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asu-edplus-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ASU EdPlus</dc:title>
  <dc:subject>UX Researcher Senior at ASU EdPlus</dc:subject>
  <dc:creator>Jonathan Kyle Hobson</dc:creator>
  <cp:keywords>ASU EdPlus, product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