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II, Notifications · Application to Pinterest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Pinterest team,</w:t>
      </w:r>
    </w:p>
    <w:p>
      <w:pPr>
        <w:spacing w:after="180"/>
      </w:pPr>
      <w:r>
        <w:t>A notification asks someone to interrupt what they are doing. I would want its message, destination, and controls to justify that interruption. That is what draws me to Pinterest’s Product Designer II, Notifications role: the chance to make a small interaction feel useful and give people a clear choice about what happens next.</w:t>
      </w:r>
    </w:p>
    <w:p>
      <w:pPr>
        <w:spacing w:after="180"/>
      </w:pPr>
      <w:r>
        <w:t>At FactorLab, I design web and mobile interactions for SmartTagIt. For the Flint AI assistant, I explored suggested and saved questions, waiting states, and recovery. An incomplete answer and a lost connection needed different actions, with the person’s question preserved. I brought those flows together in an annotated engineering handoff and worked through implementation questions with developers.</w:t>
      </w:r>
    </w:p>
    <w:p>
      <w:pPr>
        <w:spacing w:after="180"/>
      </w:pPr>
      <w:r>
        <w:t>In SmartTagIt’s About Me experience, I connected personal summaries to supporting observations and next actions, while making comparison and wording questions explicit. At Oak AI, I connected evaluation and user research to navigation and error-feedback refinements. Those projects show how I turn an ambiguous experience into specific choices the team can review, prototype, and test.</w:t>
      </w:r>
    </w:p>
    <w:p>
      <w:pPr>
        <w:spacing w:after="180"/>
      </w:pPr>
      <w:r>
        <w:t>I also build AI tools. Prompt Compass began as a public beta that helps an assistant inspect requirements and compare prompt versions; later local evaluation examples check for behavior lost in a rewrite. That practice keeps the review criteria visible as the tools change. I would bring the same care to using AI in exploration while checking whether the resulting interaction is understandable and preserves user control.</w:t>
      </w:r>
    </w:p>
    <w:p>
      <w:pPr>
        <w:spacing w:after="180"/>
      </w:pPr>
      <w:r>
        <w:t>I am based in Mesa, Arizona, can start as soon as possible, and am authorized to work in the United States without sponsorship. I am open to the periodic in-person collaboration described in the role. My tailored portfolio includes the original design evidence, the work stage, and the reasoning behind each recommendation.</w:t>
      </w:r>
    </w:p>
    <w:p>
      <w:r>
        <w:t>Thank you,</w:t>
        <w:br/>
        <w:t>Kyle Hobson</w:t>
      </w:r>
    </w:p>
    <w:p>
      <w:r>
        <w:t xml:space="preserve">Portfolio and tailored presentation: </w:t>
      </w:r>
      <w:hyperlink r:id="rId11">
        <w:r>
          <w:rPr>
            <w:color w:val="244D3C"/>
            <w:u w:val="single"/>
          </w:rPr>
          <w:t>View the Pinterest application portfolio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pinterest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— Pinterest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