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II · Application to Built Technologies</w:t>
      </w:r>
    </w:p>
    <w:p>
      <w:r>
        <w:t xml:space="preserve">Mesa, Arizona  |  </w:t>
      </w:r>
      <w:hyperlink r:id="rId10">
        <w:r>
          <w:rPr>
            <w:color w:val="244D3C"/>
            <w:u w:val="single"/>
          </w:rPr>
          <w:t>JonathanKyleHobson@gmail.com</w:t>
        </w:r>
      </w:hyperlink>
    </w:p>
    <w:p>
      <w:r>
        <w:t>September 8, 2026</w:t>
      </w:r>
    </w:p>
    <w:p>
      <w:r>
        <w:t>Dear Built team,</w:t>
      </w:r>
    </w:p>
    <w:p>
      <w:pPr>
        <w:spacing w:after="180"/>
      </w:pPr>
      <w:r>
        <w:t>A useful interface helps people understand the information in front of them and decide what to do next. At FactorLab, that means working through operational insights, supporting observations, and AI interactions in SmartTagIt. I am applying for Product Designer II at Built because your construction finance workflows call for that same care with meaning, task structure, and clear next actions.</w:t>
      </w:r>
    </w:p>
    <w:p>
      <w:pPr>
        <w:spacing w:after="180"/>
      </w:pPr>
      <w:r>
        <w:t>For SmartTagIt’s About Me experience, I developed information architecture and reusable insight widgets connecting a personal summary with supporting evidence and suggested actions. I compared content densities and raised questions about reference groups and interpretation. A comparison can look precise while leaving people unsure what it means; I make those questions explicit in the design review.</w:t>
      </w:r>
    </w:p>
    <w:p>
      <w:pPr>
        <w:spacing w:after="180"/>
      </w:pPr>
      <w:r>
        <w:t>I also defined entry, waiting, saved-question, and recovery states for the Flint AI assistant, organizing the flows and annotations for engineering. At Oak AI, I connected research and heuristic evaluation to navigation and error-feedback recommendations, collaborating with the lead designer on refinements. These projects show how I move from a problem to a concrete alternative that a team can discuss and implement.</w:t>
      </w:r>
    </w:p>
    <w:p>
      <w:pPr>
        <w:spacing w:after="180"/>
      </w:pPr>
      <w:r>
        <w:t>I would bring that approach to learning Built’s customers and workflows: understand the decision they need to make, choose the right research and prototype for the question, and work through the details with product and engineering. My independent Prompt Compass project also gives me practical experience building tools around AI-assisted work, including checks for requirements that a rewritten prompt might lose.</w:t>
      </w:r>
    </w:p>
    <w:p>
      <w:pPr>
        <w:spacing w:after="180"/>
      </w:pPr>
      <w:r>
        <w:t>I am based in Mesa, Arizona, am authorized to work in the United States without sponsorship, and can start as soon as possible. The accompanying portfolio and presentation bring together the work most relevant to this role.</w:t>
      </w:r>
    </w:p>
    <w:p>
      <w:r>
        <w:t>Thank you,</w:t>
        <w:br/>
        <w:t>Kyle Hobson</w:t>
      </w:r>
    </w:p>
    <w:p>
      <w:r>
        <w:t xml:space="preserve">Portfolio and tailored presentation: </w:t>
      </w:r>
      <w:hyperlink r:id="rId11">
        <w:r>
          <w:rPr>
            <w:color w:val="244D3C"/>
            <w:u w:val="single"/>
          </w:rPr>
          <w:t>View the Built application portfolio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built-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Built Technologies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