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Learning and Development Specialist application</w:t>
      </w:r>
    </w:p>
    <w:p>
      <w:r>
        <w:t xml:space="preserve">Mesa, Arizona  |  </w:t>
      </w:r>
      <w:hyperlink r:id="rId10">
        <w:r>
          <w:rPr>
            <w:color w:val="244D3C"/>
            <w:u w:val="single"/>
          </w:rPr>
          <w:t>JonathanKyleHobson@gmail.com</w:t>
        </w:r>
      </w:hyperlink>
    </w:p>
    <w:p>
      <w:r>
        <w:t>September 8, 2026</w:t>
      </w:r>
    </w:p>
    <w:p>
      <w:r>
        <w:t>Dear Mi-Case team,</w:t>
      </w:r>
    </w:p>
    <w:p>
      <w:pPr>
        <w:spacing w:after="200"/>
      </w:pPr>
      <w:r>
        <w:t>I’m applying for Mi-Case’s Learning and Development Specialist role. Your client implementations need training and documentation that help people use complex software with confidence. My background combines instructional design at Arizona State University, published practical teaching, and UX work that makes software behavior understandable.</w:t>
      </w:r>
    </w:p>
    <w:p>
      <w:pPr>
        <w:spacing w:after="200"/>
      </w:pPr>
      <w:r>
        <w:t>At ASU Knowledge Enterprise, I developed digital learning materials and workshops with accessibility improvements and AI-supported content workflows. For Coursera, I created ChatGPT 4o for Beginners: Create Social Media Content. The project moves from a familiar task through a first attempt and revision, giving beginners a concrete way to practice. It has received more than 4,700 enrollments as of September 2026.</w:t>
      </w:r>
    </w:p>
    <w:p>
      <w:pPr>
        <w:spacing w:after="200"/>
      </w:pPr>
      <w:r>
        <w:t>My current FactorLab work adds a software perspective. I design SmartTagIt workflows and prepare annotated guidance for engineering. In the Flint AI assistant, an interrupted answer and a lost connection needed different explanations and recovery actions. That attention to what happened, what remains available, and what to do next is also useful when writing a user guide or preparing implementation training.</w:t>
      </w:r>
    </w:p>
    <w:p>
      <w:pPr>
        <w:spacing w:after="200"/>
      </w:pPr>
      <w:r>
        <w:t>I would bring that approach to Mi-Case by working with business analysts and project managers to understand the task, establish the correct sequence, and turn it into accessible guidance that can be maintained as the product changes. I have prepared a separate portfolio and presentation with teaching examples and software workflow decisions relevant to this role.</w:t>
      </w:r>
    </w:p>
    <w:p>
      <w:pPr>
        <w:spacing w:after="200"/>
      </w:pPr>
      <w:r>
        <w:t>I’m based in Mesa, Arizona, am authorized to work in the United States without sponsorship, and can start as soon as possible. I would welcome a conversation about the training and documentation your next client rollout will require.</w:t>
      </w:r>
    </w:p>
    <w:p>
      <w:r>
        <w:t>Thank you,</w:t>
        <w:br/>
        <w:t>Kyle Hobson</w:t>
      </w:r>
    </w:p>
    <w:p>
      <w:r>
        <w:t xml:space="preserve">Selected work: </w:t>
      </w:r>
      <w:hyperlink r:id="rId11">
        <w:r>
          <w:rPr>
            <w:color w:val="244D3C"/>
            <w:u w:val="single"/>
          </w:rPr>
          <w:t>Mi-Case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mi-case-learning-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Mi Case Learning and Development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