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Hazard-Indexed Pricing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Hazard-Indexed Pricing: The local hazard rate names the danger required to acquire or transport something, turning exhaustion into price.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Sablewood barter phrase for cost plus danger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The local hazard rate names the danger required to acquire or transport something, turning exhaustion into price.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Hazard-Indexed Pricing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The local hazard rate names the danger required to acquire or transport something, turning exhaustion into price. Give obvious visible facts freely; roll for meaning, risk, leverage, cost, or a hidden angle.</w:t>
      </w:r>
    </w:p>
    <w:p>
      <w:pPr>
        <w:pStyle w:val="Normal"/>
      </w:pPr>
      <w:r>
        <w:t xml:space="preserve">Rolls: entity-hazard-indexed-pricing-engage-hazard-indexed-pricing entity-hazard-indexed-pricing Engage Hazard-Indexed Pricing Engage Hazard-Indexed Pricing Knowledge Finesse Instinct Presence Knowledge Finesse, Instinct, Presence 12 Choose the trait from the player's method, not the entity type. A flat read of Hazard-Indexed Pricing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Search yields context first: spoor, warning marks, tool scratches, route signs, or local testimony unless a scene names treasure.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687e69dda7738d01 | Source hash 6753a06c32e5dca07a19eb73</w:t>
      </w:r>
    </w:p>
    <w:sectPr/>
  </w:body>
</w:document>
</file>